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CF8F4"/>
  <w:body>
    <w:p>
      <w:pPr>
        <w:spacing w:after="240"/>
      </w:pPr>
      <w:r>
        <w:rPr>
          <w:rFonts w:ascii="Microsoft YaHei" w:hAnsi="Microsoft YaHei" w:eastAsia="Microsoft YaHei"/>
          <w:b/>
          <w:color w:val="F25B4B"/>
          <w:sz w:val="18"/>
        </w:rPr>
        <w:t>PHASE 3.0  /  FINAL TRUTH FREEZE</w:t>
      </w:r>
    </w:p>
    <w:p>
      <w:pPr>
        <w:keepNext w:val="0"/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325880" cy="132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2E201E"/>
          <w:sz w:val="64"/>
        </w:rPr>
        <w:t>校园智序·小序</w:t>
      </w:r>
    </w:p>
    <w:p>
      <w:pPr>
        <w:jc w:val="center"/>
      </w:pPr>
      <w:r>
        <w:rPr>
          <w:rFonts w:ascii="Microsoft YaHei" w:hAnsi="Microsoft YaHei" w:eastAsia="Microsoft YaHei"/>
          <w:b/>
          <w:color w:val="C8322A"/>
          <w:sz w:val="44"/>
        </w:rPr>
        <w:t>智能体设计说明书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b w:val="0"/>
          <w:color w:val="7F706C"/>
          <w:sz w:val="26"/>
        </w:rPr>
        <w:t>让复杂的校园教学安排，简单到一句话就能问。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Agent</w:t>
            </w:r>
          </w:p>
        </w:tc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13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CampusTools</w:t>
            </w:r>
          </w:p>
        </w:tc>
        <w:tc>
          <w:tcPr>
            <w:tcW w:type="dxa" w:w="3331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14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bindings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23"/>
              </w:rPr>
              <w:t>生成模型理解任务｜确定性工具计算事实｜关键结论全部可核验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02  /  项目摘要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一句话背后，是一套可核验的校园任务操作系统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围绕真实问题组织协作，把复杂教学时空转化为可执行、可复现的辅助决策。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cantSplit/>
        </w:trPr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01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真实问题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02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自然语言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03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多智能体</w:t>
            </w:r>
          </w:p>
        </w:tc>
        <w:tc>
          <w:tcPr>
            <w:tcW w:type="dxa" w:w="1666"/>
            <w:shd w:fill="C8322A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04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确定性核验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05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结果卡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06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辅助决策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cantSplit/>
        </w:trPr>
        <w:tc>
          <w:tcPr>
            <w:tcW w:type="dxa" w:w="4997"/>
            <w:shd w:fill="F8E7DA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C8322A"/>
                <w:sz w:val="26"/>
              </w:rPr>
              <w:t>它解决什么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课表无冲突却仍有赶场风险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多人共同空闲与空间容量联合筛选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调课前模拟约束，不写入真实数据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从全局负载排名下钻个体风险</w:t>
            </w:r>
          </w:p>
        </w:tc>
        <w:tc>
          <w:tcPr>
            <w:tcW w:type="dxa" w:w="4997"/>
            <w:shd w:fill="EDE4F6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26"/>
              </w:rPr>
              <w:t>它为什么可信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动态校园事实只由 CampusTools 计算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统一结果卡携带 Verified 与 Evidence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数据损坏、歧义或无结果时 fail-closed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主协调不直接调用 CampusTools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21"/>
              </w:rPr>
              <w:t>作品主线：真实问题 → 任务理解 → 协作分工 → 确定性核验 → 可核查结果 → 人作最终判断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03  /  真实需求与痛点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课表没有冲突，不代表教学安排没有风险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校园教学任务跨越时间、空间、人群与规则；单一查询只能看到其中一层。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0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课程冲突</w:t>
            </w:r>
          </w:p>
        </w:tc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每周跨校区赶场</w:t>
            </w:r>
          </w:p>
        </w:tc>
        <w:tc>
          <w:tcPr>
            <w:tcW w:type="dxa" w:w="3331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20′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最短转场间隔</w:t>
            </w:r>
          </w:p>
        </w:tc>
      </w:tr>
    </w:tbl>
    <w:p>
      <w:pPr>
        <w:spacing w:after="180"/>
      </w:pPr>
    </w:p>
    <w:p>
      <w:pPr>
        <w:keepNext w:val="0"/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-risk-1440x9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F706C"/>
          <w:sz w:val="17"/>
        </w:rPr>
        <w:t>匿名演示数据中的教学风险发现：冲突为 0，但跨校区赶场持续发生。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8E7DA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22"/>
              </w:rPr>
              <w:t>真正的问题不是“能不能排”，而是“排完之后是否仍然可行、合理、可解释”。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04  /  已落地验证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前期产品形态累计服务用户 1000+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作品并非从概念页起步，而是从真实校园使用反馈中逐步抽象出任务型智能体能力。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1000+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累计服务用户</w:t>
            </w:r>
          </w:p>
        </w:tc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真实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校园使用环境</w:t>
            </w:r>
          </w:p>
        </w:tc>
        <w:tc>
          <w:tcPr>
            <w:tcW w:type="dxa" w:w="3331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匿名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对外事实口径</w:t>
            </w:r>
          </w:p>
        </w:tc>
      </w:tr>
    </w:tbl>
    <w:p>
      <w:pPr>
        <w:spacing w:after="160"/>
      </w:pPr>
    </w:p>
    <w:p>
      <w:pPr>
        <w:keepNext w:val="0"/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home-1440x9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F706C"/>
          <w:sz w:val="17"/>
        </w:rPr>
        <w:t>Judge Portal 首页：统一品牌、任务入口与比赛叙事。</w:t>
      </w:r>
    </w:p>
    <w:p>
      <w:pPr>
        <w:keepNext w:val="0"/>
        <w:keepLines/>
        <w:spacing w:line="324" w:lineRule="auto" w:after="120"/>
      </w:pPr>
      <w:r>
        <w:rPr>
          <w:rFonts w:ascii="Microsoft YaHei" w:hAnsi="Microsoft YaHei" w:eastAsia="Microsoft YaHei"/>
          <w:b w:val="0"/>
          <w:color w:val="7F706C"/>
          <w:sz w:val="21"/>
        </w:rPr>
        <w:t>对外材料仅保留“真实校园环境、累计服务用户 1000+”这一匿名落地事实，不展示学校、院系、城市、个人身份或内部部署信息。</w:t>
      </w:r>
    </w:p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05  /  产品定位与设计目标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让用户说目标，而不是学习系统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把“查、算、筛、验、解释”组织成一句话即可发起的校园教学任务。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cantSplit/>
        </w:trPr>
        <w:tc>
          <w:tcPr>
            <w:tcW w:type="dxa" w:w="4997"/>
            <w:shd w:fill="F7D6D0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C8322A"/>
                <w:sz w:val="26"/>
              </w:rPr>
              <w:t>产品不是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生成模型自由编造课表事实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另一个后台管理大屏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取代教学管理者的自动决策器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绕过权限与审计的写入入口</w:t>
            </w:r>
          </w:p>
        </w:tc>
        <w:tc>
          <w:tcPr>
            <w:tcW w:type="dxa" w:w="4997"/>
            <w:shd w:fill="EDE4F6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26"/>
              </w:rPr>
              <w:t>产品是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自然语言任务入口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受约束的多智能体协作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确定性校园事实层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给人核验与判断的辅助决策工具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一句话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发起任务</w:t>
            </w:r>
          </w:p>
        </w:tc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一张卡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理解结果</w:t>
            </w:r>
          </w:p>
        </w:tc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一条链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核查证据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8E7DA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28"/>
              </w:rPr>
              <w:t>品牌主张：让复杂的校园教学安排，简单到一句话就能问。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06  /  整体系统架构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4 Agent × 13 CampusTools × 14 bindings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主协调只负责理解与组织；领域 Agent 调用工具；结果回到主协调统一解释。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p>
      <w:pPr>
        <w:keepNext w:val="0"/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-architecture-1920x108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F706C"/>
          <w:sz w:val="17"/>
        </w:rPr>
        <w:t>真实 4173 架构场景：Main → Child → CampusTools → Child → 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0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Main 直接工具绑定</w:t>
            </w:r>
          </w:p>
        </w:tc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14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Child bindings</w:t>
            </w:r>
          </w:p>
        </w:tc>
        <w:tc>
          <w:tcPr>
            <w:tcW w:type="dxa" w:w="3331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0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Child→Child 转移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23"/>
              </w:rPr>
              <w:t>唯一协作路径：Main → Child → Main；主协调不直接调用 CampusTools。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07  /  Multi-Agent 协作机制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理解、分工、核验、回收：每一步都受边界约束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四个角色共享协议与事实层，但各自承担清晰、不可混淆的职责。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边界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Main</w:t>
            </w:r>
          </w:p>
        </w:tc>
        <w:tc>
          <w:tcPr>
            <w:tcW w:type="dxa" w:w="388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理解用户目标、选择领域、统一结果卡</w:t>
            </w:r>
          </w:p>
        </w:tc>
        <w:tc>
          <w:tcPr>
            <w:tcW w:type="dxa" w:w="36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不直接调用 CampusTools</w:t>
            </w:r>
          </w:p>
        </w:tc>
      </w:tr>
      <w:tr>
        <w:trPr>
          <w:cantSplit/>
        </w:trPr>
        <w:tc>
          <w:tcPr>
            <w:tcW w:type="dxa" w:w="18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Schedule</w:t>
            </w:r>
          </w:p>
        </w:tc>
        <w:tc>
          <w:tcPr>
            <w:tcW w:type="dxa" w:w="3888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课表、教室、协同空闲与空间规划</w:t>
            </w:r>
          </w:p>
        </w:tc>
        <w:tc>
          <w:tcPr>
            <w:tcW w:type="dxa" w:w="36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只处理排课与空间任务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Risk</w:t>
            </w:r>
          </w:p>
        </w:tc>
        <w:tc>
          <w:tcPr>
            <w:tcW w:type="dxa" w:w="388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冲突、赶场、约束与 What-if 核验</w:t>
            </w:r>
          </w:p>
        </w:tc>
        <w:tc>
          <w:tcPr>
            <w:tcW w:type="dxa" w:w="36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不得把提醒伪装成失败</w:t>
            </w:r>
          </w:p>
        </w:tc>
      </w:tr>
      <w:tr>
        <w:trPr>
          <w:cantSplit/>
        </w:trPr>
        <w:tc>
          <w:tcPr>
            <w:tcW w:type="dxa" w:w="18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Insight</w:t>
            </w:r>
          </w:p>
        </w:tc>
        <w:tc>
          <w:tcPr>
            <w:tcW w:type="dxa" w:w="3888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负载排名、趋势、对象定位与下钻</w:t>
            </w:r>
          </w:p>
        </w:tc>
        <w:tc>
          <w:tcPr>
            <w:tcW w:type="dxa" w:w="36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风险结论仍需重新调用工具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cantSplit/>
        </w:trPr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01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用户目标</w:t>
            </w:r>
          </w:p>
        </w:tc>
        <w:tc>
          <w:tcPr>
            <w:tcW w:type="dxa" w:w="1666"/>
            <w:shd w:fill="C8322A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02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Main 识别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03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Child 执行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Tools 核验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05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Child 回传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06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Main 解释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EDE4F6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21"/>
              </w:rPr>
              <w:t>同一个 academic_context 作为共享工具形成 14 个 Child bindings，但唯一 CampusTools 数量仍为 13。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08  /  CampusTools 确定性事实层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生成模型负责理解任务，CampusTools 负责事实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所有动态校园结论来自匿名版本化数据、明确输入和可复现算法。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13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唯一工具</w:t>
            </w:r>
          </w:p>
        </w:tc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v3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匿名演示数据</w:t>
            </w:r>
          </w:p>
        </w:tc>
        <w:tc>
          <w:tcPr>
            <w:tcW w:type="dxa" w:w="3331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100%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关键结论可回放</w:t>
            </w:r>
          </w:p>
        </w:tc>
      </w:tr>
    </w:tbl>
    <w:p>
      <w:pPr>
        <w:spacing w:after="1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cantSplit/>
        </w:trPr>
        <w:tc>
          <w:tcPr>
            <w:tcW w:type="dxa" w:w="4997"/>
            <w:shd w:fill="F8E7DA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C8322A"/>
                <w:sz w:val="26"/>
              </w:rPr>
              <w:t>时间与空间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学期与教学周上下文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个人与多人课表交集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教室可用性与容量筛选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时间段与校区关系计算</w:t>
            </w:r>
          </w:p>
        </w:tc>
        <w:tc>
          <w:tcPr>
            <w:tcW w:type="dxa" w:w="4997"/>
            <w:shd w:fill="EDE4F6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26"/>
              </w:rPr>
              <w:t>风险与洞察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课程冲突与跨校区赶场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What-if 调课约束验证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未来多周负载汇总与排名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对象下钻后的二次事实核验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D6D0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22"/>
              </w:rPr>
              <w:t>禁止路径：模型补全课表、从公开检索写入事实、用叙述覆盖确定性结果。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09  /  数据模型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版本化匿名数据，把教学时空拆成可计算对象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当前冻结数据集为 competition-demo-v3；所有 Hero 场景共享同一事实版本。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/>
        </w:trPr>
        <w:tc>
          <w:tcPr>
            <w:tcW w:type="dxa" w:w="2498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校区</w:t>
            </w:r>
          </w:p>
        </w:tc>
        <w:tc>
          <w:tcPr>
            <w:tcW w:type="dxa" w:w="249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6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匿名教学单位</w:t>
            </w:r>
          </w:p>
        </w:tc>
        <w:tc>
          <w:tcPr>
            <w:tcW w:type="dxa" w:w="2498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24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班级</w:t>
            </w:r>
          </w:p>
        </w:tc>
        <w:tc>
          <w:tcPr>
            <w:tcW w:type="dxa" w:w="249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40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教师</w:t>
            </w:r>
          </w:p>
        </w:tc>
      </w:tr>
    </w:tbl>
    <w:p>
      <w:pPr>
        <w:spacing w:after="1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/>
        </w:trPr>
        <w:tc>
          <w:tcPr>
            <w:tcW w:type="dxa" w:w="249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73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课程</w:t>
            </w:r>
          </w:p>
        </w:tc>
        <w:tc>
          <w:tcPr>
            <w:tcW w:type="dxa" w:w="2498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85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教室</w:t>
            </w:r>
          </w:p>
        </w:tc>
        <w:tc>
          <w:tcPr>
            <w:tcW w:type="dxa" w:w="249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175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课次</w:t>
            </w:r>
          </w:p>
        </w:tc>
        <w:tc>
          <w:tcPr>
            <w:tcW w:type="dxa" w:w="2498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36"/>
              </w:rPr>
              <w:t>842b…e808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数据哈希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cantSplit/>
        </w:trPr>
        <w:tc>
          <w:tcPr>
            <w:tcW w:type="dxa" w:w="4997"/>
            <w:shd w:fill="F8E7DA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C8322A"/>
                <w:sz w:val="26"/>
              </w:rPr>
              <w:t>核心关系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lesson 关联课程、教师、班级、教室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week + weekday + periods 定位时间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campus + room 表达空间与容量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派生统计不回写原始对象</w:t>
            </w:r>
          </w:p>
        </w:tc>
        <w:tc>
          <w:tcPr>
            <w:tcW w:type="dxa" w:w="4997"/>
            <w:shd w:fill="EDE4F6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26"/>
              </w:rPr>
              <w:t>版本纪律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schema 先校验结构与引用完整性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工具结果附 dataVersion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Hero 事实与 Golden Result 同源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加载失败保留上一份可用数据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10  /  算法原理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集合运算、约束验证与稳定排序组成可复现链路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每一步都能解释“候选为何进入、为何被筛掉、最终为何被推荐”。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cantSplit/>
        </w:trPr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01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标准化输入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02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枚举候选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03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集合求交</w:t>
            </w:r>
          </w:p>
        </w:tc>
        <w:tc>
          <w:tcPr>
            <w:tcW w:type="dxa" w:w="1666"/>
            <w:shd w:fill="C8322A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04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约束过滤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05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稳定排序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06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证据投影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边界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协同规划</w:t>
            </w:r>
          </w:p>
        </w:tc>
        <w:tc>
          <w:tcPr>
            <w:tcW w:type="dxa" w:w="388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多教师空闲集合求交，再按时段与容量筛选</w:t>
            </w:r>
          </w:p>
        </w:tc>
        <w:tc>
          <w:tcPr>
            <w:tcW w:type="dxa" w:w="36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63 → 7 → A1-201</w:t>
            </w:r>
          </w:p>
        </w:tc>
      </w:tr>
      <w:tr>
        <w:trPr>
          <w:cantSplit/>
        </w:trPr>
        <w:tc>
          <w:tcPr>
            <w:tcW w:type="dxa" w:w="18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风险发现</w:t>
            </w:r>
          </w:p>
        </w:tc>
        <w:tc>
          <w:tcPr>
            <w:tcW w:type="dxa" w:w="3888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按相邻课次比较时间间隔与校区变化</w:t>
            </w:r>
          </w:p>
        </w:tc>
        <w:tc>
          <w:tcPr>
            <w:tcW w:type="dxa" w:w="36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冲突与赶场分开计数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What-if</w:t>
            </w:r>
          </w:p>
        </w:tc>
        <w:tc>
          <w:tcPr>
            <w:tcW w:type="dxa" w:w="388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在内存候选上逐项验证教师、教室、班级与容量</w:t>
            </w:r>
          </w:p>
        </w:tc>
        <w:tc>
          <w:tcPr>
            <w:tcW w:type="dxa" w:w="36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mutatedData=false</w:t>
            </w:r>
          </w:p>
        </w:tc>
      </w:tr>
      <w:tr>
        <w:trPr>
          <w:cantSplit/>
        </w:trPr>
        <w:tc>
          <w:tcPr>
            <w:tcW w:type="dxa" w:w="18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全局洞察</w:t>
            </w:r>
          </w:p>
        </w:tc>
        <w:tc>
          <w:tcPr>
            <w:tcW w:type="dxa" w:w="3888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按周聚合课次/课时并稳定排序，再定位对象</w:t>
            </w:r>
          </w:p>
        </w:tc>
        <w:tc>
          <w:tcPr>
            <w:tcW w:type="dxa" w:w="36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风险需二次核验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26"/>
              </w:rPr>
              <w:t>同一输入、同一数据版本、同一工具版本 → 同一结果。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11  /  Hero 1｜教学风险发现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没有冲突，不等于没有风险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教师025｜第1–4周｜每周14课次｜每周4次20分钟跨校区赶场。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p>
      <w:pPr>
        <w:keepNext w:val="0"/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-risk-1440x9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0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冲突 / 周</w:t>
            </w:r>
          </w:p>
        </w:tc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赶场 / 周</w:t>
            </w:r>
          </w:p>
        </w:tc>
        <w:tc>
          <w:tcPr>
            <w:tcW w:type="dxa" w:w="3331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20′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最短间隔</w:t>
            </w:r>
          </w:p>
        </w:tc>
      </w:tr>
    </w:tbl>
    <w:p>
      <w:pPr>
        <w:keepNext w:val="0"/>
        <w:keepLines/>
        <w:spacing w:line="324" w:lineRule="auto" w:after="120"/>
      </w:pPr>
      <w:r>
        <w:rPr>
          <w:rFonts w:ascii="Microsoft YaHei" w:hAnsi="Microsoft YaHei" w:eastAsia="Microsoft YaHei"/>
          <w:b w:val="0"/>
          <w:color w:val="7F706C"/>
          <w:sz w:val="21"/>
        </w:rPr>
        <w:t>系统把传统冲突检测之外的时空可行性显式标出，让管理者看到“表面不冲突、实际有风险”的教学安排。</w:t>
      </w:r>
    </w:p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12  /  Hero 2｜多人协同规划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三张课表，算出一个共同时间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教师005、006、014｜第1周周四第1–4节｜容量不少于120。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p>
      <w:pPr>
        <w:keepNext w:val="0"/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891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-collaboration-chr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915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63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全校可用教室</w:t>
            </w:r>
          </w:p>
        </w:tc>
        <w:tc>
          <w:tcPr>
            <w:tcW w:type="dxa" w:w="3331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7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容量达标候选</w:t>
            </w:r>
          </w:p>
        </w:tc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A1-201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rank 1｜120座</w:t>
            </w:r>
          </w:p>
        </w:tc>
      </w:tr>
    </w:tbl>
    <w:p>
      <w:pPr>
        <w:keepNext w:val="0"/>
        <w:keepLines/>
        <w:spacing w:line="324" w:lineRule="auto" w:after="120"/>
      </w:pPr>
      <w:r>
        <w:rPr>
          <w:rFonts w:ascii="Microsoft YaHei" w:hAnsi="Microsoft YaHei" w:eastAsia="Microsoft YaHei"/>
          <w:b w:val="0"/>
          <w:color w:val="7F706C"/>
          <w:sz w:val="21"/>
        </w:rPr>
        <w:t>时间交集与空间约束在同一任务中完成，推荐结果同时保留候选数量、容量依据与排序位置。</w:t>
      </w:r>
    </w:p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13  /  Hero 3｜What-if 模拟调课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可行与提醒可以同时成立，而且不会写入真实数据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第1周周一5–6节 → 周四7–8节；自动推荐 A1-201。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p>
      <w:pPr>
        <w:keepNext w:val="0"/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-reschedule-1920x108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true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feasible</w:t>
            </w:r>
          </w:p>
        </w:tc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warning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连续4节提醒</w:t>
            </w:r>
          </w:p>
        </w:tc>
        <w:tc>
          <w:tcPr>
            <w:tcW w:type="dxa" w:w="3331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false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mutatedData</w:t>
            </w:r>
          </w:p>
        </w:tc>
      </w:tr>
    </w:tbl>
    <w:p>
      <w:pPr>
        <w:keepNext w:val="0"/>
        <w:keepLines/>
        <w:spacing w:line="324" w:lineRule="auto" w:after="120"/>
      </w:pPr>
      <w:r>
        <w:rPr>
          <w:rFonts w:ascii="Microsoft YaHei" w:hAnsi="Microsoft YaHei" w:eastAsia="Microsoft YaHei"/>
          <w:b w:val="0"/>
          <w:color w:val="7F706C"/>
          <w:sz w:val="21"/>
        </w:rPr>
        <w:t>板块时间、教师时间、班级时间、教室占用、容量与功能属性逐项核验；提醒不等于不可行，模拟不等于写入。</w:t>
      </w:r>
    </w:p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14  /  Hero 4｜全局教学洞察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从全局排名，下钻到真实风险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未来四周负载 Top1 定位教师025；随后重新调用风险工具核验。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p>
      <w:pPr>
        <w:keepNext w:val="0"/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388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-insight-1366x76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8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56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课次</w:t>
            </w:r>
          </w:p>
        </w:tc>
        <w:tc>
          <w:tcPr>
            <w:tcW w:type="dxa" w:w="3331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112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课时</w:t>
            </w:r>
          </w:p>
        </w:tc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14×4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连续四周负载</w:t>
            </w:r>
          </w:p>
        </w:tc>
      </w:tr>
    </w:tbl>
    <w:p>
      <w:pPr>
        <w:keepNext w:val="0"/>
        <w:keepLines/>
        <w:spacing w:line="324" w:lineRule="auto" w:after="120"/>
      </w:pPr>
      <w:r>
        <w:rPr>
          <w:rFonts w:ascii="Microsoft YaHei" w:hAnsi="Microsoft YaHei" w:eastAsia="Microsoft YaHei"/>
          <w:b w:val="0"/>
          <w:color w:val="7F706C"/>
          <w:sz w:val="21"/>
        </w:rPr>
        <w:t>排名用于定位对象，不替代风险结论。下钻后得到每周冲突0、跨校区赶场4的确定性证据。</w:t>
      </w:r>
    </w:p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15  /  Widget 与 Evidence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Verified 不是装饰，而是一条可复现证据链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统一结果卡把自然语言结论、结构化数据与工具证据投影到同一展示层。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p>
      <w:pPr>
        <w:keepNext w:val="0"/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cantSplit/>
        </w:trPr>
        <w:tc>
          <w:tcPr>
            <w:tcW w:type="dxa" w:w="4997"/>
            <w:shd w:fill="F8E7DA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C8322A"/>
                <w:sz w:val="26"/>
              </w:rPr>
              <w:t>Evidence 至少说明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匿名数据版本与场景摘要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调用工具与核验时间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关键输入、候选计数与过滤结果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状态：verified / degraded / failed</w:t>
            </w:r>
          </w:p>
        </w:tc>
        <w:tc>
          <w:tcPr>
            <w:tcW w:type="dxa" w:w="4997"/>
            <w:shd w:fill="EDE4F6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26"/>
              </w:rPr>
              <w:t>展示纪律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Widget 与文本共享同一事实源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普通对话不堆叠证据卡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无结果、歧义或损坏不制造答案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提醒、失败、降级分别表达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16  /  创新亮点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创新不在“多一个模型”，而在可复制的协作与核验结构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五项评审权重，都落到同一条真实任务链上。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cantSplit/>
        </w:trPr>
        <w:tc>
          <w:tcPr>
            <w:tcW w:type="dxa" w:w="1999"/>
            <w:shd w:fill="F7D6D0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25%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真场景</w:t>
            </w:r>
          </w:p>
        </w:tc>
        <w:tc>
          <w:tcPr>
            <w:tcW w:type="dxa" w:w="1999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25%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创新实用</w:t>
            </w:r>
          </w:p>
        </w:tc>
        <w:tc>
          <w:tcPr>
            <w:tcW w:type="dxa" w:w="1999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20%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技术完整</w:t>
            </w:r>
          </w:p>
        </w:tc>
        <w:tc>
          <w:tcPr>
            <w:tcW w:type="dxa" w:w="1999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15%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数据算法</w:t>
            </w:r>
          </w:p>
        </w:tc>
        <w:tc>
          <w:tcPr>
            <w:tcW w:type="dxa" w:w="1999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15%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体验展示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cantSplit/>
        </w:trPr>
        <w:tc>
          <w:tcPr>
            <w:tcW w:type="dxa" w:w="4997"/>
            <w:shd w:fill="F8E7DA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C8322A"/>
                <w:sz w:val="26"/>
              </w:rPr>
              <w:t>结构创新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Main/Child 分层，避免单体智能体无边界调用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13 个确定性工具承接动态校园事实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What-if 可行性与提醒并存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全局洞察与个体风险二次核验</w:t>
            </w:r>
          </w:p>
        </w:tc>
        <w:tc>
          <w:tcPr>
            <w:tcW w:type="dxa" w:w="4997"/>
            <w:shd w:fill="EDE4F6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26"/>
              </w:rPr>
              <w:t>体验创新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一句话发起跨域教学任务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统一 Widget 展示数字、过程与 Evidence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Auroraqua 式温暖玻璃视觉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4173 Showcase + 4174 Judge Portal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17  /  数据安全、隐私、伦理与合规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匿名、最小化、可审计：先画清边界，再谈智能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对外演示、模型上下文、日志与交付包均采用最小必要原则。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边界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数据</w:t>
            </w:r>
          </w:p>
        </w:tc>
        <w:tc>
          <w:tcPr>
            <w:tcW w:type="dxa" w:w="388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只使用匿名演示数据与公开结构</w:t>
            </w:r>
          </w:p>
        </w:tc>
        <w:tc>
          <w:tcPr>
            <w:tcW w:type="dxa" w:w="36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不含真实课表、个人文件或身份字段</w:t>
            </w:r>
          </w:p>
        </w:tc>
      </w:tr>
      <w:tr>
        <w:trPr>
          <w:cantSplit/>
        </w:trPr>
        <w:tc>
          <w:tcPr>
            <w:tcW w:type="dxa" w:w="18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模型</w:t>
            </w:r>
          </w:p>
        </w:tc>
        <w:tc>
          <w:tcPr>
            <w:tcW w:type="dxa" w:w="3888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只接收脱敏消息与裁剪后的工具结果</w:t>
            </w:r>
          </w:p>
        </w:tc>
        <w:tc>
          <w:tcPr>
            <w:tcW w:type="dxa" w:w="36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不得接收密钥、系统提示或内部地址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写入</w:t>
            </w:r>
          </w:p>
        </w:tc>
        <w:tc>
          <w:tcPr>
            <w:tcW w:type="dxa" w:w="388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What-if 仅内存模拟</w:t>
            </w:r>
          </w:p>
        </w:tc>
        <w:tc>
          <w:tcPr>
            <w:tcW w:type="dxa" w:w="36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mutatedData=false，不绕过审批与审计</w:t>
            </w:r>
          </w:p>
        </w:tc>
      </w:tr>
      <w:tr>
        <w:trPr>
          <w:cantSplit/>
        </w:trPr>
        <w:tc>
          <w:tcPr>
            <w:tcW w:type="dxa" w:w="18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输出</w:t>
            </w:r>
          </w:p>
        </w:tc>
        <w:tc>
          <w:tcPr>
            <w:tcW w:type="dxa" w:w="3888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关键事实必须带 Evidence</w:t>
            </w:r>
          </w:p>
        </w:tc>
        <w:tc>
          <w:tcPr>
            <w:tcW w:type="dxa" w:w="36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不把推测包装为 verified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7D6D0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22"/>
              </w:rPr>
              <w:t>最终对外品牌唯一为“校园智序·小序”；身份线索、真实域名与凭据全部禁止进入产物。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18  /  测试、可靠性与 fail-closed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不制造答案，是面向真实教学任务的底线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结构校验、Golden Result、接口契约、页面测试与端到端链路共同守住事实一致性。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Golden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四个 Hero 结果</w:t>
            </w:r>
          </w:p>
        </w:tc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36"/>
              </w:rPr>
              <w:t>Contract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Widget / OpenAPI</w:t>
            </w:r>
          </w:p>
        </w:tc>
        <w:tc>
          <w:tcPr>
            <w:tcW w:type="dxa" w:w="3331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E2E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Main→Child→Main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cantSplit/>
        </w:trPr>
        <w:tc>
          <w:tcPr>
            <w:tcW w:type="dxa" w:w="4997"/>
            <w:shd w:fill="F8E7DA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C8322A"/>
                <w:sz w:val="26"/>
              </w:rPr>
              <w:t>运行时保护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数据加载失败保留 last-known-good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Provider 失败保留确定性结果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歧义、缺参和损坏返回明确状态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结果卡不得伪造 Thinking/Tool 状态</w:t>
            </w:r>
          </w:p>
        </w:tc>
        <w:tc>
          <w:tcPr>
            <w:tcW w:type="dxa" w:w="4997"/>
            <w:shd w:fill="EDE4F6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26"/>
              </w:rPr>
              <w:t>交付前验证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R51 / R50.4 当前套件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Agent foundation / regression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4173 / 4174 build 与页面测试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匿名、凭据与过期版本扫描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22"/>
              </w:rPr>
              <w:t>fail-closed：无结果、歧义或数据损坏时，明确停止，不补全、不猜测、不静默降级。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19  /  部署与运行方式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展示层、事实层与控制台导出分离交付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程序包只包含复现所需源码、配置、匿名数据、Widget 与最小测试。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cantSplit/>
        </w:trPr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01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匿名数据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02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CampusTools</w:t>
            </w:r>
          </w:p>
        </w:tc>
        <w:tc>
          <w:tcPr>
            <w:tcW w:type="dxa" w:w="1666"/>
            <w:shd w:fill="C8322A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03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ADP Agents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04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统一 Widget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05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4173 展示</w:t>
            </w:r>
          </w:p>
        </w:tc>
        <w:tc>
          <w:tcPr>
            <w:tcW w:type="dxa" w:w="1666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40" w:type="dxa"/>
              <w:start w:w="70" w:type="dxa"/>
              <w:bottom w:w="140" w:type="dxa"/>
              <w:end w:w="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25B4B"/>
                <w:sz w:val="17"/>
              </w:rPr>
              <w:t>06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18"/>
              </w:rPr>
              <w:t>4174 评审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C8322A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边界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程序包</w:t>
            </w:r>
          </w:p>
        </w:tc>
        <w:tc>
          <w:tcPr>
            <w:tcW w:type="dxa" w:w="388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核心计算、OpenAPI、R51 prompts、bindings、v3、Widget、Golden tests</w:t>
            </w:r>
          </w:p>
        </w:tc>
        <w:tc>
          <w:tcPr>
            <w:tcW w:type="dxa" w:w="36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不含仓库历史与无关源码</w:t>
            </w:r>
          </w:p>
        </w:tc>
      </w:tr>
      <w:tr>
        <w:trPr>
          <w:cantSplit/>
        </w:trPr>
        <w:tc>
          <w:tcPr>
            <w:tcW w:type="dxa" w:w="18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人工导出</w:t>
            </w:r>
          </w:p>
        </w:tc>
        <w:tc>
          <w:tcPr>
            <w:tcW w:type="dxa" w:w="3888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ADP 应用 ZIP、自定义插件 ZIP、最终 Widget 导出</w:t>
            </w:r>
          </w:p>
        </w:tc>
        <w:tc>
          <w:tcPr>
            <w:tcW w:type="dxa" w:w="36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由提交人在控制台完成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运行</w:t>
            </w:r>
          </w:p>
        </w:tc>
        <w:tc>
          <w:tcPr>
            <w:tcW w:type="dxa" w:w="3888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先验证数据与绑定，再执行最小高价值测试</w:t>
            </w:r>
          </w:p>
        </w:tc>
        <w:tc>
          <w:tcPr>
            <w:tcW w:type="dxa" w:w="3672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不依赖真实用户数据</w:t>
            </w:r>
          </w:p>
        </w:tc>
      </w:tr>
      <w:tr>
        <w:trPr>
          <w:cantSplit/>
        </w:trPr>
        <w:tc>
          <w:tcPr>
            <w:tcW w:type="dxa" w:w="18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17"/>
              </w:rPr>
              <w:t>发布</w:t>
            </w:r>
          </w:p>
        </w:tc>
        <w:tc>
          <w:tcPr>
            <w:tcW w:type="dxa" w:w="3888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本阶段不改生产配置、不直接部署</w:t>
            </w:r>
          </w:p>
        </w:tc>
        <w:tc>
          <w:tcPr>
            <w:tcW w:type="dxa" w:w="3672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E201E"/>
                <w:sz w:val="17"/>
              </w:rPr>
              <w:t>最终地址与二维码提交前人工加入</w:t>
            </w:r>
          </w:p>
        </w:tc>
      </w:tr>
    </w:tbl>
    <w:p>
      <w:r>
        <w:br w:type="page"/>
      </w:r>
    </w:p>
    <w:p>
      <w:pPr>
        <w:keepNext/>
        <w:keepLines/>
        <w:spacing w:after="100"/>
      </w:pPr>
      <w:r>
        <w:rPr>
          <w:rFonts w:ascii="Microsoft YaHei" w:hAnsi="Microsoft YaHei" w:eastAsia="Microsoft YaHei"/>
          <w:b/>
          <w:color w:val="F25B4B"/>
          <w:sz w:val="18"/>
        </w:rPr>
        <w:t>20  /  推广价值与未来扩展</w:t>
      </w:r>
    </w:p>
    <w:p>
      <w:pPr>
        <w:keepNext/>
        <w:keepLines/>
        <w:spacing w:after="120"/>
      </w:pPr>
      <w:r>
        <w:rPr>
          <w:rFonts w:ascii="Microsoft YaHei" w:hAnsi="Microsoft YaHei" w:eastAsia="Microsoft YaHei"/>
          <w:b/>
          <w:color w:val="2E201E"/>
          <w:sz w:val="50"/>
        </w:rPr>
        <w:t>让教学时空，被理解、被核验、被安排</w:t>
      </w:r>
    </w:p>
    <w:p>
      <w:pPr>
        <w:keepNext/>
        <w:keepLines/>
        <w:spacing w:after="160"/>
      </w:pPr>
      <w:r>
        <w:rPr>
          <w:rFonts w:ascii="Microsoft YaHei" w:hAnsi="Microsoft YaHei" w:eastAsia="Microsoft YaHei"/>
          <w:b w:val="0"/>
          <w:color w:val="7F706C"/>
          <w:sz w:val="21"/>
        </w:rPr>
        <w:t>从排课辅助出发，可扩展到资源调度、教学运行治理与跨部门协同。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"/>
        <w:gridCol w:w="8496"/>
      </w:tblGrid>
      <w:tr>
        <w:trPr>
          <w:trHeight w:val="80" w:hRule="exact"/>
        </w:trPr>
        <w:tc>
          <w:tcPr>
            <w:tcW w:type="dxa" w:w="4997"/>
            <w:shd w:fill="F25B4B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997"/>
            <w:shd w:fill="FCF8F4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3331"/>
            <w:shd w:fill="F8E7DA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48"/>
              </w:rPr>
              <w:t>可复制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协议与工具边界</w:t>
            </w:r>
          </w:p>
        </w:tc>
        <w:tc>
          <w:tcPr>
            <w:tcW w:type="dxa" w:w="3331"/>
            <w:shd w:fill="FFFFFF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可扩展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任务与领域 Agent</w:t>
            </w:r>
          </w:p>
        </w:tc>
        <w:tc>
          <w:tcPr>
            <w:tcW w:type="dxa" w:w="3331"/>
            <w:shd w:fill="EDE4F6"/>
            <w:tcBorders>
              <w:top w:val="single" w:sz="10" w:color="E8DCD6"/>
              <w:left w:val="single" w:sz="10" w:color="E8DCD6"/>
              <w:bottom w:val="single" w:sz="10" w:color="E8DCD6"/>
              <w:right w:val="single" w:sz="10" w:color="E8DCD6"/>
            </w:tcBorders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2E201E"/>
                <w:sz w:val="48"/>
              </w:rPr>
              <w:t>可审计</w:t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7F706C"/>
                <w:sz w:val="18"/>
              </w:rPr>
              <w:t>Evidence 与结果链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16"/>
        <w:gridCol w:w="4716"/>
      </w:tblGrid>
      <w:tr>
        <w:trPr>
          <w:cantSplit/>
        </w:trPr>
        <w:tc>
          <w:tcPr>
            <w:tcW w:type="dxa" w:w="4997"/>
            <w:shd w:fill="F8E7DA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C8322A"/>
                <w:sz w:val="26"/>
              </w:rPr>
              <w:t>近期推广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教务问答与排课辅助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教师协同与教室资源推荐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调课前置核验与风险提醒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教学运行周报与趋势洞察</w:t>
            </w:r>
          </w:p>
        </w:tc>
        <w:tc>
          <w:tcPr>
            <w:tcW w:type="dxa" w:w="4997"/>
            <w:shd w:fill="EDE4F6"/>
            <w:tcBorders>
              <w:top w:val="single" w:sz="14" w:color="FFFFFF"/>
              <w:left w:val="single" w:sz="14" w:color="FFFFFF"/>
              <w:bottom w:val="single" w:sz="14" w:color="FFFFFF"/>
              <w:right w:val="single" w:sz="14" w:color="FFFFFF"/>
            </w:tcBorders>
            <w:tcMar>
              <w:top w:w="170" w:type="dxa"/>
              <w:start w:w="180" w:type="dxa"/>
              <w:bottom w:w="17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E201E"/>
                <w:sz w:val="26"/>
              </w:rPr>
              <w:t>长期扩展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在同一确定性事实层上增加新任务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保持主协调、领域 Agent 与工具分层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新数据先完成匿名化与版本验证</w:t>
            </w:r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color w:val="2E201E"/>
                <w:sz w:val="19"/>
              </w:rPr>
              <w:t>任何高风险写入继续保留人工确认</w:t>
            </w:r>
          </w:p>
        </w:tc>
      </w:tr>
    </w:tbl>
    <w:p>
      <w:pPr>
        <w:spacing w:after="2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shd w:fill="FFFFFF"/>
            <w:tcBorders>
              <w:top w:val="single" w:sz="10" w:color="F7D6D0"/>
              <w:left w:val="single" w:sz="10" w:color="F7D6D0"/>
              <w:bottom w:val="single" w:sz="10" w:color="F7D6D0"/>
              <w:right w:val="single" w:sz="10" w:color="F7D6D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C8322A"/>
                <w:sz w:val="28"/>
              </w:rPr>
              <w:t>校园智序·小序——让复杂的校园教学安排，简单到一句话就能问。</w:t>
            </w:r>
          </w:p>
        </w:tc>
      </w:tr>
    </w:tbl>
    <w:p>
      <w:pPr>
        <w:keepNext w:val="0"/>
        <w:keepLines/>
        <w:spacing w:line="324" w:lineRule="auto" w:after="120"/>
      </w:pPr>
      <w:r>
        <w:rPr>
          <w:rFonts w:ascii="Microsoft YaHei" w:hAnsi="Microsoft YaHei" w:eastAsia="Microsoft YaHei"/>
          <w:b w:val="0"/>
          <w:color w:val="7F706C"/>
          <w:sz w:val="22"/>
        </w:rPr>
        <w:t>总结：生成模型负责理解与组织，CampusTools 负责动态事实，Widget 负责把结论与 Evidence 清楚地呈现给人。</w:t>
      </w:r>
    </w:p>
    <w:sectPr>
      <w:footerReference w:type="default" r:id="rId9"/>
      <w:pgSz w:w="12240" w:h="15840"/>
      <w:pgMar w:top="893" w:right="1123" w:bottom="835" w:left="1123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7F706C"/>
        <w:sz w:val="17"/>
      </w:rPr>
      <w:t xml:space="preserve">校园智序·小序  ·  智能体设计说明书     </w:t>
    </w:r>
    <w:r>
      <w:rPr>
        <w:rFonts w:ascii="Microsoft YaHei" w:hAnsi="Microsoft YaHei" w:eastAsia="Microsoft YaHei"/>
        <w:b w:val="0"/>
        <w:color w:val="7F706C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Microsoft YaHei" w:hAnsi="Microsoft YaHei" w:eastAsia="Microsoft YaHei"/>
      <w:color w:val="2E20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校园智序·小序｜智能体设计说明书</dc:title>
  <dc:subject>Multi-Agent、确定性 CampusTools 与可核查 Widget</dc:subject>
  <dc:creator/>
  <ns0:keywords>校园智序·小序, Multi-Agent, CampusTools, Verified, Evidence</ns0:keywords>
  <dc:description>校园智序·小序参赛材料</dc:description>
  <ns0:lastModifiedBy/>
  <ns0:revision>1</ns0:revision>
  <ns2:created xsi:type="dcterms:W3CDTF">2013-12-23T23:15:00Z</ns2:created>
  <ns2:modified xsi:type="dcterms:W3CDTF">2013-12-23T23:15:00Z</ns2:modified>
  <ns0:category/>
</ns0:coreProperties>
</file>