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2023-05-07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</w:pPr>
      <w:r>
        <w:t xml:space="preserve">Ho = the mean phosphorus content in the burned and unburned sites is not significantly different. Ha = there is a significant difference between mean phosphorus content in the soil of the burned and unburned sites.</w:t>
      </w:r>
    </w:p>
    <w:p>
      <w:pPr>
        <w:numPr>
          <w:ilvl w:val="0"/>
          <w:numId w:val="1001"/>
        </w:numPr>
      </w:pPr>
      <w:r>
        <w:t xml:space="preserve">t-test to determine if the mean of the two areas is significantly different.</w:t>
      </w:r>
    </w:p>
    <w:p>
      <w:pPr>
        <w:numPr>
          <w:ilvl w:val="0"/>
          <w:numId w:val="1001"/>
        </w:numPr>
      </w:pPr>
      <w:r>
        <w:t xml:space="preserve">To perform a successful student’s t-test, we assume that the data sets are evenly distributed and have an equal variance.</w:t>
      </w:r>
    </w:p>
    <w:p>
      <w:pPr>
        <w:numPr>
          <w:ilvl w:val="0"/>
          <w:numId w:val="1001"/>
        </w:numPr>
      </w:pPr>
      <w:r>
        <w:t xml:space="preserve">if the data sets had an unequal variance we could perform a Welch’s t-test.</w:t>
      </w:r>
    </w:p>
    <w:p>
      <w:pPr>
        <w:numPr>
          <w:ilvl w:val="0"/>
          <w:numId w:val="1001"/>
        </w:numPr>
      </w:pPr>
      <w:r>
        <w:t xml:space="preserve">Ho = the mean phosphorus content of the soil before and after the fire is not significantly different. Ha =</w:t>
      </w:r>
    </w:p>
    <w:bookmarkEnd w:id="20"/>
    <w:bookmarkStart w:id="24" w:name="problem-2"/>
    <w:p>
      <w:pPr>
        <w:pStyle w:val="Heading2"/>
      </w:pPr>
      <w:r>
        <w:t xml:space="preserve">Problem 2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 quote, :</w:t>
      </w:r>
      <w:r>
        <w:br/>
      </w:r>
      <w:r>
        <w:rPr>
          <w:rStyle w:val="VerbatimChar"/>
        </w:rPr>
        <w:t xml:space="preserve">## not all columns named in 'colClasses' exist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dterm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Katie Miller</dc:creator>
  <cp:keywords/>
  <dcterms:created xsi:type="dcterms:W3CDTF">2023-05-08T00:12:26Z</dcterms:created>
  <dcterms:modified xsi:type="dcterms:W3CDTF">2023-05-08T00:12:26Z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>word_document</vt:lpwstr>
  </property>
</Properties>
</file>