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before="0" w:after="180"/>
      </w:pPr>
      <w:r>
        <w:rPr>
          <w:rtl w:val="0"/>
          <w:lang w:val="en-US"/>
        </w:rPr>
        <w:t>Hacks are not Hacks: A New Analytical Model for the Role of Cod</w:t>
      </w:r>
      <w:r>
        <w:rPr>
          <w:rtl w:val="0"/>
          <w:lang w:val="en-US"/>
        </w:rPr>
        <w:t>e</w:t>
      </w:r>
      <w:r>
        <w:rPr>
          <w:rtl w:val="0"/>
          <w:lang w:val="en-US"/>
        </w:rPr>
        <w:t xml:space="preserve"> work in Scientific Practice</w:t>
      </w:r>
    </w:p>
    <w:tbl>
      <w:tblPr>
        <w:tblW w:w="100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60"/>
        <w:gridCol w:w="3360"/>
        <w:gridCol w:w="3360"/>
      </w:tblGrid>
      <w:tr>
        <w:tblPrEx>
          <w:shd w:val="clear" w:color="auto" w:fill="ced7e7"/>
        </w:tblPrEx>
        <w:trPr>
          <w:trHeight w:val="1210" w:hRule="atLeast"/>
        </w:trPr>
        <w:tc>
          <w:tcPr>
            <w:tcW w:type="dxa" w:w="3360"/>
            <w:tcBorders>
              <w:top w:val="nil"/>
              <w:left w:val="nil"/>
              <w:bottom w:val="nil"/>
              <w:right w:val="nil"/>
            </w:tcBorders>
            <w:shd w:val="clear" w:color="auto" w:fill="auto"/>
            <w:tcMar>
              <w:top w:type="dxa" w:w="80"/>
              <w:left w:type="dxa" w:w="80"/>
              <w:bottom w:type="dxa" w:w="80"/>
              <w:right w:type="dxa" w:w="80"/>
            </w:tcMar>
            <w:vAlign w:val="top"/>
          </w:tcPr>
          <w:p>
            <w:pPr>
              <w:pStyle w:val="Author Name"/>
            </w:pPr>
            <w:r>
              <w:rPr>
                <w:rtl w:val="0"/>
                <w:lang w:val="en-US"/>
              </w:rPr>
              <w:t>1st Author Name</w:t>
            </w:r>
          </w:p>
          <w:p>
            <w:pPr>
              <w:pStyle w:val="Author Affiliation"/>
            </w:pPr>
            <w:r>
              <w:rPr>
                <w:rtl w:val="0"/>
                <w:lang w:val="en-US"/>
              </w:rPr>
              <w:t>Affiliation</w:t>
            </w:r>
          </w:p>
          <w:p>
            <w:pPr>
              <w:pStyle w:val="Author Affiliation"/>
            </w:pPr>
            <w:r>
              <w:rPr>
                <w:rtl w:val="0"/>
                <w:lang w:val="en-US"/>
              </w:rPr>
              <w:t>City, Country</w:t>
            </w:r>
          </w:p>
          <w:p>
            <w:pPr>
              <w:pStyle w:val="Author Affiliation"/>
            </w:pPr>
            <w:r>
              <w:rPr>
                <w:rtl w:val="0"/>
                <w:lang w:val="en-US"/>
              </w:rPr>
              <w:t>e-mail address</w:t>
            </w:r>
          </w:p>
        </w:tc>
        <w:tc>
          <w:tcPr>
            <w:tcW w:type="dxa" w:w="3360"/>
            <w:tcBorders>
              <w:top w:val="nil"/>
              <w:left w:val="nil"/>
              <w:bottom w:val="nil"/>
              <w:right w:val="nil"/>
            </w:tcBorders>
            <w:shd w:val="clear" w:color="auto" w:fill="auto"/>
            <w:tcMar>
              <w:top w:type="dxa" w:w="80"/>
              <w:left w:type="dxa" w:w="80"/>
              <w:bottom w:type="dxa" w:w="80"/>
              <w:right w:type="dxa" w:w="80"/>
            </w:tcMar>
            <w:vAlign w:val="top"/>
          </w:tcPr>
          <w:p>
            <w:pPr>
              <w:pStyle w:val="Author Name"/>
            </w:pPr>
            <w:r>
              <w:rPr>
                <w:rtl w:val="0"/>
                <w:lang w:val="en-US"/>
              </w:rPr>
              <w:t xml:space="preserve">2nd Author Name </w:t>
            </w:r>
          </w:p>
          <w:p>
            <w:pPr>
              <w:pStyle w:val="Author Affiliation"/>
            </w:pPr>
            <w:r>
              <w:rPr>
                <w:rtl w:val="0"/>
                <w:lang w:val="en-US"/>
              </w:rPr>
              <w:t>Affiliation</w:t>
            </w:r>
          </w:p>
          <w:p>
            <w:pPr>
              <w:pStyle w:val="Author Affiliation"/>
            </w:pPr>
            <w:r>
              <w:rPr>
                <w:rtl w:val="0"/>
                <w:lang w:val="en-US"/>
              </w:rPr>
              <w:t>City, Country</w:t>
            </w:r>
          </w:p>
          <w:p>
            <w:pPr>
              <w:pStyle w:val="Author Affiliation"/>
            </w:pPr>
            <w:r>
              <w:rPr>
                <w:rtl w:val="0"/>
                <w:lang w:val="en-US"/>
              </w:rPr>
              <w:t>e-mail address</w:t>
            </w:r>
          </w:p>
        </w:tc>
        <w:tc>
          <w:tcPr>
            <w:tcW w:type="dxa" w:w="3360"/>
            <w:tcBorders>
              <w:top w:val="nil"/>
              <w:left w:val="nil"/>
              <w:bottom w:val="nil"/>
              <w:right w:val="nil"/>
            </w:tcBorders>
            <w:shd w:val="clear" w:color="auto" w:fill="auto"/>
            <w:tcMar>
              <w:top w:type="dxa" w:w="80"/>
              <w:left w:type="dxa" w:w="80"/>
              <w:bottom w:type="dxa" w:w="80"/>
              <w:right w:type="dxa" w:w="80"/>
            </w:tcMar>
            <w:vAlign w:val="top"/>
          </w:tcPr>
          <w:p>
            <w:pPr>
              <w:pStyle w:val="Author Name"/>
            </w:pPr>
            <w:r>
              <w:rPr>
                <w:rtl w:val="0"/>
                <w:lang w:val="en-US"/>
              </w:rPr>
              <w:t xml:space="preserve">3rd Author Name </w:t>
            </w:r>
          </w:p>
          <w:p>
            <w:pPr>
              <w:pStyle w:val="Author Affiliation"/>
            </w:pPr>
            <w:r>
              <w:rPr>
                <w:rtl w:val="0"/>
                <w:lang w:val="en-US"/>
              </w:rPr>
              <w:t>Affiliation</w:t>
            </w:r>
          </w:p>
          <w:p>
            <w:pPr>
              <w:pStyle w:val="Author Affiliation"/>
            </w:pPr>
            <w:r>
              <w:rPr>
                <w:rtl w:val="0"/>
                <w:lang w:val="en-US"/>
              </w:rPr>
              <w:t>City, Country</w:t>
            </w:r>
          </w:p>
          <w:p>
            <w:pPr>
              <w:pStyle w:val="Author Affiliation"/>
            </w:pPr>
            <w:r>
              <w:rPr>
                <w:rtl w:val="0"/>
                <w:lang w:val="en-US"/>
              </w:rPr>
              <w:t>e-mail address</w:t>
            </w:r>
          </w:p>
        </w:tc>
      </w:tr>
    </w:tbl>
    <w:p>
      <w:pPr>
        <w:pStyle w:val="Title"/>
        <w:widowControl w:val="0"/>
        <w:spacing w:before="0" w:after="180"/>
      </w:pPr>
    </w:p>
    <w:p>
      <w:pPr>
        <w:pStyle w:val="Author"/>
      </w:pPr>
    </w:p>
    <w:p>
      <w:pPr>
        <w:pStyle w:val="Author"/>
        <w:jc w:val="both"/>
        <w:sectPr>
          <w:headerReference w:type="default" r:id="rId4"/>
          <w:footerReference w:type="default" r:id="rId5"/>
          <w:pgSz w:w="12240" w:h="15840" w:orient="portrait"/>
          <w:pgMar w:top="1224" w:right="1080" w:bottom="1440" w:left="1080" w:header="720" w:footer="720"/>
          <w:bidi w:val="0"/>
        </w:sectPr>
      </w:pPr>
    </w:p>
    <w:p>
      <w:pPr>
        <w:pStyle w:val="Heading"/>
        <w:spacing w:before="0"/>
      </w:pPr>
      <w:r>
        <mc:AlternateContent>
          <mc:Choice Requires="wpg">
            <w:drawing>
              <wp:anchor distT="57150" distB="57150" distL="57150" distR="57150" simplePos="0" relativeHeight="251659264" behindDoc="0" locked="0" layoutInCell="1" allowOverlap="1">
                <wp:simplePos x="0" y="0"/>
                <wp:positionH relativeFrom="page">
                  <wp:posOffset>685800</wp:posOffset>
                </wp:positionH>
                <wp:positionV relativeFrom="page">
                  <wp:posOffset>7616825</wp:posOffset>
                </wp:positionV>
                <wp:extent cx="3044825" cy="1732915"/>
                <wp:effectExtent l="0" t="0" r="0" b="0"/>
                <wp:wrapSquare wrapText="bothSides" distL="57150" distR="57150" distT="57150" distB="57150"/>
                <wp:docPr id="1073741827" name="officeArt object"/>
                <wp:cNvGraphicFramePr/>
                <a:graphic xmlns:a="http://schemas.openxmlformats.org/drawingml/2006/main">
                  <a:graphicData uri="http://schemas.microsoft.com/office/word/2010/wordprocessingGroup">
                    <wpg:wgp>
                      <wpg:cNvGrpSpPr/>
                      <wpg:grpSpPr>
                        <a:xfrm>
                          <a:off x="0" y="0"/>
                          <a:ext cx="3044825" cy="1732915"/>
                          <a:chOff x="0" y="0"/>
                          <a:chExt cx="3044825" cy="1732914"/>
                        </a:xfrm>
                      </wpg:grpSpPr>
                      <wps:wsp>
                        <wps:cNvPr id="1073741825" name="Shape 1073741825"/>
                        <wps:cNvSpPr/>
                        <wps:spPr>
                          <a:xfrm>
                            <a:off x="0" y="0"/>
                            <a:ext cx="3044825" cy="1732915"/>
                          </a:xfrm>
                          <a:prstGeom prst="rect">
                            <a:avLst/>
                          </a:prstGeom>
                          <a:solidFill>
                            <a:srgbClr val="FFFFFF"/>
                          </a:solidFill>
                          <a:ln w="12700" cap="flat">
                            <a:noFill/>
                            <a:miter lim="400000"/>
                          </a:ln>
                          <a:effectLst/>
                        </wps:spPr>
                        <wps:bodyPr/>
                      </wps:wsp>
                      <wps:wsp>
                        <wps:cNvPr id="1073741826" name="Shape 1073741826"/>
                        <wps:cNvSpPr/>
                        <wps:spPr>
                          <a:xfrm>
                            <a:off x="0" y="0"/>
                            <a:ext cx="3044825" cy="1732915"/>
                          </a:xfrm>
                          <a:prstGeom prst="rect">
                            <a:avLst/>
                          </a:prstGeom>
                          <a:noFill/>
                          <a:ln w="12700" cap="flat">
                            <a:noFill/>
                            <a:miter lim="400000"/>
                          </a:ln>
                          <a:effectLst/>
                        </wps:spPr>
                        <wps:txbx>
                          <w:txbxContent>
                            <w:p>
                              <w:pPr>
                                <w:pStyle w:val="Body"/>
                                <w:spacing w:after="0"/>
                                <w:rPr>
                                  <w:sz w:val="16"/>
                                  <w:szCs w:val="16"/>
                                </w:rPr>
                              </w:pPr>
                              <w:r>
                                <w:rPr>
                                  <w:sz w:val="16"/>
                                  <w:szCs w:val="16"/>
                                  <w:rtl w:val="0"/>
                                  <w:lang w:val="en-US"/>
                                </w:rPr>
                                <w:t>Paste the appropriate copyright/license statement here. ACM now supports three different publication options:</w:t>
                              </w:r>
                            </w:p>
                            <w:p>
                              <w:pPr>
                                <w:pStyle w:val="Body"/>
                                <w:numPr>
                                  <w:ilvl w:val="0"/>
                                  <w:numId w:val="1"/>
                                </w:numPr>
                                <w:bidi w:val="0"/>
                                <w:spacing w:after="0"/>
                                <w:ind w:right="0"/>
                                <w:jc w:val="both"/>
                                <w:rPr>
                                  <w:sz w:val="16"/>
                                  <w:szCs w:val="16"/>
                                  <w:rtl w:val="0"/>
                                  <w:lang w:val="en-US"/>
                                </w:rPr>
                              </w:pPr>
                              <w:r>
                                <w:rPr>
                                  <w:sz w:val="16"/>
                                  <w:szCs w:val="16"/>
                                  <w:rtl w:val="0"/>
                                  <w:lang w:val="en-US"/>
                                </w:rPr>
                                <w:t>ACM copyright: ACM holds the copyright on the work. This is the historical approach.</w:t>
                              </w:r>
                            </w:p>
                            <w:p>
                              <w:pPr>
                                <w:pStyle w:val="Body"/>
                                <w:numPr>
                                  <w:ilvl w:val="0"/>
                                  <w:numId w:val="1"/>
                                </w:numPr>
                                <w:bidi w:val="0"/>
                                <w:spacing w:after="0"/>
                                <w:ind w:right="0"/>
                                <w:jc w:val="both"/>
                                <w:rPr>
                                  <w:sz w:val="16"/>
                                  <w:szCs w:val="16"/>
                                  <w:rtl w:val="0"/>
                                  <w:lang w:val="en-US"/>
                                </w:rPr>
                              </w:pPr>
                              <w:r>
                                <w:rPr>
                                  <w:sz w:val="16"/>
                                  <w:szCs w:val="16"/>
                                  <w:rtl w:val="0"/>
                                  <w:lang w:val="en-US"/>
                                </w:rPr>
                                <w:t>License: The author(s) retain copyright, but ACM receives an exclusive publication license.</w:t>
                              </w:r>
                            </w:p>
                            <w:p>
                              <w:pPr>
                                <w:pStyle w:val="Body"/>
                                <w:numPr>
                                  <w:ilvl w:val="0"/>
                                  <w:numId w:val="1"/>
                                </w:numPr>
                                <w:bidi w:val="0"/>
                                <w:spacing w:after="0"/>
                                <w:ind w:right="0"/>
                                <w:jc w:val="both"/>
                                <w:rPr>
                                  <w:sz w:val="16"/>
                                  <w:szCs w:val="16"/>
                                  <w:rtl w:val="0"/>
                                  <w:lang w:val="en-US"/>
                                </w:rPr>
                              </w:pPr>
                              <w:r>
                                <w:rPr>
                                  <w:sz w:val="16"/>
                                  <w:szCs w:val="16"/>
                                  <w:rtl w:val="0"/>
                                  <w:lang w:val="en-US"/>
                                </w:rPr>
                                <w:t>Open Access: The author(s) wish to pay for the work to be open access. The additional fee must be paid to ACM.</w:t>
                              </w:r>
                            </w:p>
                            <w:p>
                              <w:pPr>
                                <w:pStyle w:val="Body"/>
                                <w:spacing w:after="0"/>
                                <w:rPr>
                                  <w:sz w:val="16"/>
                                  <w:szCs w:val="16"/>
                                </w:rPr>
                              </w:pPr>
                              <w:r>
                                <w:rPr>
                                  <w:sz w:val="16"/>
                                  <w:szCs w:val="16"/>
                                  <w:rtl w:val="0"/>
                                  <w:lang w:val="en-US"/>
                                </w:rPr>
                                <w:t>This text field is large enough to hold the appropriate release statement assuming it is single-spaced in Times New Roman 8-point font. Please do not change or modify the size of this text box.</w:t>
                              </w:r>
                            </w:p>
                            <w:p>
                              <w:pPr>
                                <w:pStyle w:val="Copyright"/>
                              </w:pPr>
                              <w:r>
                                <w:rPr>
                                  <w:rtl w:val="0"/>
                                </w:rPr>
                                <w:t>Each submission will be assigned a DOI string to be included here.</w:t>
                              </w:r>
                            </w:p>
                          </w:txbxContent>
                        </wps:txbx>
                        <wps:bodyPr wrap="square" lIns="0" tIns="0" rIns="0" bIns="0" numCol="1" anchor="t">
                          <a:noAutofit/>
                        </wps:bodyPr>
                      </wps:wsp>
                    </wpg:wgp>
                  </a:graphicData>
                </a:graphic>
              </wp:anchor>
            </w:drawing>
          </mc:Choice>
          <mc:Fallback>
            <w:pict>
              <v:group id="_x0000_s1026" style="visibility:visible;position:absolute;margin-left:54.0pt;margin-top:599.8pt;width:239.8pt;height:136.4pt;z-index:251659264;mso-position-horizontal:absolute;mso-position-horizontal-relative:page;mso-position-vertical:absolute;mso-position-vertical-relative:page;mso-wrap-distance-left:4.5pt;mso-wrap-distance-top:4.5pt;mso-wrap-distance-right:4.5pt;mso-wrap-distance-bottom:4.5pt;" coordorigin="0,0" coordsize="3044825,1732915">
                <w10:wrap type="square" side="bothSides" anchorx="page" anchory="page"/>
                <v:rect id="_x0000_s1027" style="position:absolute;left:0;top:0;width:3044825;height:1732915;">
                  <v:fill color="#FFFFFF"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3044825;height:1732915;">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rPr>
                            <w:sz w:val="16"/>
                            <w:szCs w:val="16"/>
                          </w:rPr>
                        </w:pPr>
                        <w:r>
                          <w:rPr>
                            <w:sz w:val="16"/>
                            <w:szCs w:val="16"/>
                            <w:rtl w:val="0"/>
                            <w:lang w:val="en-US"/>
                          </w:rPr>
                          <w:t>Paste the appropriate copyright/license statement here. ACM now supports three different publication options:</w:t>
                        </w:r>
                      </w:p>
                      <w:p>
                        <w:pPr>
                          <w:pStyle w:val="Body"/>
                          <w:numPr>
                            <w:ilvl w:val="0"/>
                            <w:numId w:val="1"/>
                          </w:numPr>
                          <w:bidi w:val="0"/>
                          <w:spacing w:after="0"/>
                          <w:ind w:right="0"/>
                          <w:jc w:val="both"/>
                          <w:rPr>
                            <w:sz w:val="16"/>
                            <w:szCs w:val="16"/>
                            <w:rtl w:val="0"/>
                            <w:lang w:val="en-US"/>
                          </w:rPr>
                        </w:pPr>
                        <w:r>
                          <w:rPr>
                            <w:sz w:val="16"/>
                            <w:szCs w:val="16"/>
                            <w:rtl w:val="0"/>
                            <w:lang w:val="en-US"/>
                          </w:rPr>
                          <w:t>ACM copyright: ACM holds the copyright on the work. This is the historical approach.</w:t>
                        </w:r>
                      </w:p>
                      <w:p>
                        <w:pPr>
                          <w:pStyle w:val="Body"/>
                          <w:numPr>
                            <w:ilvl w:val="0"/>
                            <w:numId w:val="1"/>
                          </w:numPr>
                          <w:bidi w:val="0"/>
                          <w:spacing w:after="0"/>
                          <w:ind w:right="0"/>
                          <w:jc w:val="both"/>
                          <w:rPr>
                            <w:sz w:val="16"/>
                            <w:szCs w:val="16"/>
                            <w:rtl w:val="0"/>
                            <w:lang w:val="en-US"/>
                          </w:rPr>
                        </w:pPr>
                        <w:r>
                          <w:rPr>
                            <w:sz w:val="16"/>
                            <w:szCs w:val="16"/>
                            <w:rtl w:val="0"/>
                            <w:lang w:val="en-US"/>
                          </w:rPr>
                          <w:t>License: The author(s) retain copyright, but ACM receives an exclusive publication license.</w:t>
                        </w:r>
                      </w:p>
                      <w:p>
                        <w:pPr>
                          <w:pStyle w:val="Body"/>
                          <w:numPr>
                            <w:ilvl w:val="0"/>
                            <w:numId w:val="1"/>
                          </w:numPr>
                          <w:bidi w:val="0"/>
                          <w:spacing w:after="0"/>
                          <w:ind w:right="0"/>
                          <w:jc w:val="both"/>
                          <w:rPr>
                            <w:sz w:val="16"/>
                            <w:szCs w:val="16"/>
                            <w:rtl w:val="0"/>
                            <w:lang w:val="en-US"/>
                          </w:rPr>
                        </w:pPr>
                        <w:r>
                          <w:rPr>
                            <w:sz w:val="16"/>
                            <w:szCs w:val="16"/>
                            <w:rtl w:val="0"/>
                            <w:lang w:val="en-US"/>
                          </w:rPr>
                          <w:t>Open Access: The author(s) wish to pay for the work to be open access. The additional fee must be paid to ACM.</w:t>
                        </w:r>
                      </w:p>
                      <w:p>
                        <w:pPr>
                          <w:pStyle w:val="Body"/>
                          <w:spacing w:after="0"/>
                          <w:rPr>
                            <w:sz w:val="16"/>
                            <w:szCs w:val="16"/>
                          </w:rPr>
                        </w:pPr>
                        <w:r>
                          <w:rPr>
                            <w:sz w:val="16"/>
                            <w:szCs w:val="16"/>
                            <w:rtl w:val="0"/>
                            <w:lang w:val="en-US"/>
                          </w:rPr>
                          <w:t>This text field is large enough to hold the appropriate release statement assuming it is single-spaced in Times New Roman 8-point font. Please do not change or modify the size of this text box.</w:t>
                        </w:r>
                      </w:p>
                      <w:p>
                        <w:pPr>
                          <w:pStyle w:val="Copyright"/>
                        </w:pPr>
                        <w:r>
                          <w:rPr>
                            <w:rtl w:val="0"/>
                          </w:rPr>
                          <w:t>Each submission will be assigned a DOI string to be included here.</w:t>
                        </w:r>
                      </w:p>
                    </w:txbxContent>
                  </v:textbox>
                </v:rect>
              </v:group>
            </w:pict>
          </mc:Fallback>
        </mc:AlternateContent>
      </w:r>
      <w:r>
        <w:rPr>
          <w:rtl w:val="0"/>
          <w:lang w:val="de-DE"/>
        </w:rPr>
        <w:t>ABSTRACT</w:t>
      </w:r>
    </w:p>
    <w:p>
      <w:pPr>
        <w:pStyle w:val="Body"/>
      </w:pPr>
      <w:r>
        <w:rPr>
          <w:rFonts w:cs="Arial Unicode MS" w:eastAsia="Arial Unicode MS"/>
          <w:rtl w:val="0"/>
          <w:lang w:val="en-US"/>
        </w:rPr>
        <w:t>TBD</w:t>
      </w:r>
    </w:p>
    <w:p>
      <w:pPr>
        <w:pStyle w:val="Heading 2"/>
      </w:pPr>
      <w:r>
        <w:rPr>
          <w:rtl w:val="0"/>
        </w:rPr>
        <w:t>Author Keywords</w:t>
      </w:r>
    </w:p>
    <w:p>
      <w:pPr>
        <w:pStyle w:val="Body"/>
      </w:pPr>
      <w:r>
        <w:rPr>
          <w:rFonts w:cs="Arial Unicode MS" w:eastAsia="Arial Unicode MS"/>
          <w:rtl w:val="0"/>
          <w:lang w:val="en-US"/>
        </w:rPr>
        <w:t>TBD</w:t>
      </w:r>
    </w:p>
    <w:p>
      <w:pPr>
        <w:pStyle w:val="Heading 2"/>
        <w:spacing w:before="0"/>
        <w:jc w:val="left"/>
      </w:pPr>
      <w:r>
        <w:rPr>
          <w:rtl w:val="0"/>
          <w:lang w:val="en-US"/>
        </w:rPr>
        <w:t>ACM Classification Keywords</w:t>
      </w:r>
    </w:p>
    <w:p>
      <w:pPr>
        <w:pStyle w:val="Body"/>
      </w:pPr>
      <w:r>
        <w:rPr>
          <w:rFonts w:cs="Arial Unicode MS" w:eastAsia="Arial Unicode MS"/>
          <w:rtl w:val="0"/>
          <w:lang w:val="en-US"/>
        </w:rPr>
        <w:t>H.5.m. Information interfaces and presentation (e.g., HCI): Miscellaneous; See</w:t>
      </w:r>
      <w:r>
        <w:rPr>
          <w:rStyle w:val="Hyperlink.0"/>
        </w:rPr>
        <w:fldChar w:fldCharType="begin" w:fldLock="0"/>
      </w:r>
      <w:r>
        <w:rPr>
          <w:rStyle w:val="Hyperlink.0"/>
        </w:rPr>
        <w:instrText xml:space="preserve"> HYPERLINK "http://acm.org/about/class/1998"</w:instrText>
      </w:r>
      <w:r>
        <w:rPr>
          <w:rStyle w:val="Hyperlink.0"/>
        </w:rPr>
        <w:fldChar w:fldCharType="separate" w:fldLock="0"/>
      </w:r>
      <w:r>
        <w:rPr>
          <w:rStyle w:val="Hyperlink.0"/>
          <w:rFonts w:cs="Arial Unicode MS" w:eastAsia="Arial Unicode MS"/>
          <w:rtl w:val="0"/>
          <w:lang w:val="en-US"/>
        </w:rPr>
        <w:t xml:space="preserve"> http://acm.org/about/class/1998</w:t>
      </w:r>
      <w:r>
        <w:rPr/>
        <w:fldChar w:fldCharType="end" w:fldLock="0"/>
      </w:r>
      <w:r>
        <w:rPr>
          <w:rFonts w:cs="Arial Unicode MS" w:eastAsia="Arial Unicode MS"/>
          <w:rtl w:val="0"/>
          <w:lang w:val="en-US"/>
        </w:rPr>
        <w:t xml:space="preserve"> for the full list of ACM classifiers. This section is required.</w:t>
      </w:r>
    </w:p>
    <w:p>
      <w:pPr>
        <w:pStyle w:val="Heading"/>
      </w:pPr>
      <w:r>
        <w:rPr>
          <w:rFonts w:cs="Arial Unicode MS" w:eastAsia="Arial Unicode MS"/>
          <w:rtl w:val="0"/>
          <w:lang w:val="en-US"/>
        </w:rPr>
        <w:t>INTRODUCTION</w:t>
      </w:r>
    </w:p>
    <w:p>
      <w:pPr>
        <w:pStyle w:val="Body"/>
      </w:pPr>
      <w:r>
        <w:rPr>
          <w:rFonts w:cs="Arial Unicode MS" w:eastAsia="Arial Unicode MS"/>
          <w:rtl w:val="0"/>
          <w:lang w:val="en-US"/>
        </w:rPr>
        <w:t xml:space="preserve">Code in science matters. Now is a remarkable moment. It is positioned in a history of increased abundance of more varied and </w:t>
      </w:r>
      <w:r>
        <w:rPr>
          <w:rFonts w:cs="Arial Unicode MS" w:eastAsia="Arial Unicode MS"/>
          <w:rtl w:val="0"/>
          <w:lang w:val="en-US"/>
        </w:rPr>
        <w:t>high-resolution</w:t>
      </w:r>
      <w:r>
        <w:rPr>
          <w:rFonts w:cs="Arial Unicode MS" w:eastAsia="Arial Unicode MS"/>
          <w:rtl w:val="0"/>
          <w:lang w:val="en-US"/>
        </w:rPr>
        <w:t xml:space="preserve"> data and more robust computational capabilities.</w:t>
      </w:r>
    </w:p>
    <w:p>
      <w:pPr>
        <w:pStyle w:val="Body"/>
      </w:pPr>
      <w:r>
        <w:rPr>
          <w:rFonts w:cs="Arial Unicode MS" w:eastAsia="Arial Unicode MS"/>
          <w:rtl w:val="0"/>
          <w:lang w:val="en-US"/>
        </w:rPr>
        <w:t xml:space="preserve">In this work, we distinguish programming that MUST work [a la Kelly] from programming that can exist in an experimental, beta flux. Kelly makes this distinction articulated as ..... </w:t>
      </w:r>
    </w:p>
    <w:p>
      <w:pPr>
        <w:pStyle w:val="Body"/>
      </w:pPr>
      <w:r>
        <w:rPr>
          <w:rFonts w:cs="Arial Unicode MS" w:eastAsia="Arial Unicode MS"/>
          <w:rtl w:val="0"/>
          <w:lang w:val="en-US"/>
        </w:rPr>
        <w:t>We conducted a qualitative 18-month study with 46 scientists in four oceanography teams, and up to 100 in various computational skill workshops attended or observed. After data collection, the first author presented some of the findings to the scientists. In this talk, I presented the claim that  the ``best practices'' that they occasionally worried about not pursuing with enough diligence (``_should_ be using gitHub, but haven't gotten around to it....'') were more formal versions of practices already in place, but which extended beyond code to data and figures. For example, through formal software engineering testing was virtually nonexistent in the group studied, all groups engaged in a thorough, systematic validation and verification processes usi</w:t>
      </w:r>
      <w:r>
        <w:rPr>
          <w:rFonts w:cs="Arial Unicode MS" w:eastAsia="Arial Unicode MS"/>
          <w:rtl w:val="0"/>
          <w:lang w:val="en-US"/>
        </w:rPr>
        <w:t>ng</w:t>
      </w:r>
      <w:r>
        <w:rPr>
          <w:rFonts w:cs="Arial Unicode MS" w:eastAsia="Arial Unicode MS"/>
          <w:rtl w:val="0"/>
          <w:lang w:val="en-US"/>
        </w:rPr>
        <w:t xml:space="preserve"> consistent visual artifacts. We deveop this argument further in Section XXX, but the other sections (XX and XX) also take the stance that code work must not be critiqued in isolation of the data and visual products that it requires and enables.</w:t>
      </w:r>
    </w:p>
    <w:p>
      <w:pPr>
        <w:pStyle w:val="Body"/>
      </w:pPr>
      <w:r>
        <w:rPr>
          <w:rFonts w:cs="Arial Unicode MS" w:eastAsia="Arial Unicode MS"/>
          <w:rtl w:val="0"/>
          <w:lang w:val="en-US"/>
        </w:rPr>
        <w:t>The first author presented a preliminary articulation of these ideas to the interested study particupants, and one of the very last questions was: ``so you coverd in your talk some ways in which oceanographers can learned from software engineers and computer scientists, but what can computer scientists learn from oceanographers?'' We believe this is a question of utmost importance in the study of scientific programming practices by computer scientists, and this manuscript offers our answer so far.</w:t>
      </w:r>
    </w:p>
    <w:p>
      <w:pPr>
        <w:pStyle w:val="Heading"/>
        <w:spacing w:before="0"/>
      </w:pPr>
      <w:r>
        <w:rPr>
          <w:rtl w:val="0"/>
          <w:lang w:val="en-US"/>
        </w:rPr>
        <w:t>BACKGROUND</w:t>
      </w:r>
    </w:p>
    <w:p>
      <w:pPr>
        <w:pStyle w:val="Body"/>
      </w:pPr>
      <w:r>
        <w:rPr>
          <w:rFonts w:cs="Arial Unicode MS" w:eastAsia="Arial Unicode MS"/>
          <w:rtl w:val="0"/>
          <w:lang w:val="en-US"/>
        </w:rPr>
        <w:t>The imbrication of social and technological as seen in Leonardi, Orlikowski.</w:t>
      </w:r>
    </w:p>
    <w:p>
      <w:pPr>
        <w:pStyle w:val="Body"/>
      </w:pPr>
      <w:r>
        <w:rPr>
          <w:rFonts w:cs="Arial Unicode MS" w:eastAsia="Arial Unicode MS"/>
          <w:rtl w:val="0"/>
          <w:lang w:val="en-US"/>
        </w:rPr>
        <w:t>The way scientific work practices incorporate material and technical arrangements so that the practice of making a visualization is the science, not merely representing the science (Vertesi).</w:t>
      </w:r>
    </w:p>
    <w:p>
      <w:pPr>
        <w:pStyle w:val="Body"/>
      </w:pPr>
      <w:r>
        <w:rPr>
          <w:rFonts w:cs="Arial Unicode MS" w:eastAsia="Arial Unicode MS"/>
          <w:rtl w:val="0"/>
          <w:lang w:val="en-US"/>
        </w:rPr>
        <w:t>Borgman, Edwards from the dissertation</w:t>
      </w:r>
    </w:p>
    <w:p>
      <w:pPr>
        <w:pStyle w:val="Body"/>
      </w:pPr>
      <w:r>
        <w:rPr>
          <w:rFonts w:cs="Arial Unicode MS" w:eastAsia="Arial Unicode MS"/>
          <w:rtl w:val="0"/>
          <w:lang w:val="de-DE"/>
        </w:rPr>
        <w:t>Steinhart and Jackson 2015 CSCW</w:t>
      </w:r>
    </w:p>
    <w:p>
      <w:pPr>
        <w:pStyle w:val="Body"/>
      </w:pPr>
      <w:r>
        <w:rPr>
          <w:rFonts w:cs="Arial Unicode MS" w:eastAsia="Arial Unicode MS"/>
          <w:rtl w:val="0"/>
          <w:lang w:val="en-US"/>
        </w:rPr>
        <w:t>Paul Edwards Vast Machine 2010 MITP quote data is made, not collected like apples or clams</w:t>
      </w:r>
    </w:p>
    <w:p>
      <w:pPr>
        <w:pStyle w:val="Heading"/>
      </w:pPr>
      <w:r>
        <w:rPr>
          <w:rFonts w:cs="Arial Unicode MS" w:eastAsia="Arial Unicode MS"/>
          <w:rtl w:val="0"/>
          <w:lang w:val="en-US"/>
        </w:rPr>
        <w:t>The MODEL</w:t>
      </w:r>
    </w:p>
    <w:p>
      <w:pPr>
        <w:pStyle w:val="Body"/>
      </w:pPr>
      <w:r>
        <w:rPr>
          <w:rFonts w:cs="Arial Unicode MS" w:eastAsia="Arial Unicode MS"/>
          <w:rtl w:val="0"/>
          <w:lang w:val="en-US"/>
        </w:rPr>
        <w:t>During dissertation research, the first author developed a model of deliberate change in code work based on ethnographic study of four oceanography teams in the Pacific Northwest. Oceanography constituted a</w:t>
      </w:r>
      <w:r>
        <w:rPr>
          <w:rFonts w:cs="Arial Unicode MS" w:eastAsia="Arial Unicode MS"/>
          <w:rtl w:val="0"/>
          <w:lang w:val="en-US"/>
        </w:rPr>
        <w:t xml:space="preserve"> particularly fruitful study context because of its interdisciplinarity.</w:t>
      </w:r>
    </w:p>
    <w:p>
      <w:pPr>
        <w:pStyle w:val="Body"/>
      </w:pPr>
      <w:r>
        <w:rPr>
          <w:rFonts w:cs="Arial Unicode MS" w:eastAsia="Arial Unicode MS"/>
          <w:rtl w:val="0"/>
          <w:lang w:val="en-US"/>
        </w:rPr>
        <w:t>&gt; -Perfect world- the intersection of multiple perfect worlds and the stark distinction between what scientific software advisors think they should be doing and what they do in practice.</w:t>
      </w:r>
    </w:p>
    <w:p>
      <w:pPr>
        <w:pStyle w:val="Body"/>
      </w:pPr>
      <w:r>
        <w:rPr>
          <w:rFonts w:cs="Arial Unicode MS" w:eastAsia="Arial Unicode MS"/>
          <w:rtl w:val="0"/>
          <w:lang w:val="en-US"/>
        </w:rPr>
        <w:t>+ the properties of the perfect world reflect the values of understandability/extensibility/usability as they pertain to various imagined/anticipated audiences</w:t>
      </w:r>
    </w:p>
    <w:p>
      <w:pPr>
        <w:pStyle w:val="Body"/>
      </w:pPr>
    </w:p>
    <w:p>
      <w:pPr>
        <w:pStyle w:val="Body"/>
      </w:pPr>
      <w:r>
        <w:rPr>
          <w:rFonts w:cs="Arial Unicode MS" w:eastAsia="Arial Unicode MS"/>
          <w:rtl w:val="0"/>
          <w:lang w:val="en-US"/>
        </w:rPr>
        <w:t xml:space="preserve">&gt; - Working environment </w:t>
      </w:r>
      <w:r>
        <w:rPr>
          <w:rFonts w:cs="Arial Unicode MS" w:eastAsia="Arial Unicode MS" w:hint="default"/>
          <w:rtl w:val="0"/>
        </w:rPr>
        <w:t xml:space="preserve">– </w:t>
      </w:r>
      <w:r>
        <w:rPr>
          <w:rFonts w:cs="Arial Unicode MS" w:eastAsia="Arial Unicode MS"/>
          <w:rtl w:val="0"/>
          <w:lang w:val="en-US"/>
        </w:rPr>
        <w:t>draws established ideas to show that the material, cognitive, and social resources of a project can shape the questions that can be posed.</w:t>
      </w:r>
    </w:p>
    <w:p>
      <w:pPr>
        <w:pStyle w:val="Body"/>
      </w:pPr>
    </w:p>
    <w:p>
      <w:pPr>
        <w:pStyle w:val="Body"/>
      </w:pPr>
      <w:r>
        <w:rPr>
          <w:rFonts w:cs="Arial Unicode MS" w:eastAsia="Arial Unicode MS"/>
          <w:rtl w:val="0"/>
          <w:lang w:val="en-US"/>
        </w:rPr>
        <w:t>+ "main claim" there IS a difference between code work for software that MUST work (infrastructural) and softwae that is experimental, in development, in "permanent beta" whatever. BUT there IS NOT a distinct "hack made by an indiv scientist, which is ad-hoc idiosyncratic etc" and other kinds of experimental software, without and beyond scientific programming domains.</w:t>
      </w:r>
    </w:p>
    <w:p>
      <w:pPr>
        <w:pStyle w:val="Body"/>
      </w:pPr>
    </w:p>
    <w:p>
      <w:pPr>
        <w:pStyle w:val="Body"/>
      </w:pPr>
      <w:r>
        <w:rPr>
          <w:rFonts w:cs="Arial Unicode MS" w:eastAsia="Arial Unicode MS"/>
          <w:rtl w:val="0"/>
          <w:lang w:val="en-US"/>
        </w:rPr>
        <w:t>FIGURE 1 goes here illustrating the model.</w:t>
      </w:r>
    </w:p>
    <w:p>
      <w:pPr>
        <w:pStyle w:val="Body"/>
      </w:pPr>
    </w:p>
    <w:p>
      <w:pPr>
        <w:pStyle w:val="Body"/>
      </w:pPr>
      <w:r>
        <w:rPr>
          <w:rFonts w:cs="Arial Unicode MS" w:eastAsia="Arial Unicode MS"/>
          <w:rtl w:val="0"/>
          <w:lang w:val="en-US"/>
        </w:rPr>
        <w:t xml:space="preserve">This model is agnostic relative to the specific tool. Indeed, it is very liberal with regard to what constitutes a tool. </w:t>
      </w:r>
    </w:p>
    <w:p>
      <w:pPr>
        <w:pStyle w:val="Heading"/>
      </w:pPr>
      <w:r>
        <w:rPr>
          <w:rFonts w:cs="Arial Unicode MS" w:eastAsia="Arial Unicode MS"/>
          <w:rtl w:val="0"/>
          <w:lang w:val="en-US"/>
        </w:rPr>
        <w:t xml:space="preserve">Three arguments that </w:t>
      </w:r>
      <w:r>
        <w:rPr>
          <w:rFonts w:cs="Arial Unicode MS" w:eastAsia="Arial Unicode MS" w:hint="default"/>
          <w:rtl w:val="0"/>
          <w:lang w:val="en-US"/>
        </w:rPr>
        <w:t>“</w:t>
      </w:r>
      <w:r>
        <w:rPr>
          <w:rFonts w:cs="Arial Unicode MS" w:eastAsia="Arial Unicode MS"/>
          <w:rtl w:val="0"/>
          <w:lang w:val="en-US"/>
        </w:rPr>
        <w:t>hacks</w:t>
      </w:r>
      <w:r>
        <w:rPr>
          <w:rFonts w:cs="Arial Unicode MS" w:eastAsia="Arial Unicode MS" w:hint="default"/>
          <w:rtl w:val="0"/>
          <w:lang w:val="en-US"/>
        </w:rPr>
        <w:t xml:space="preserve">” </w:t>
      </w:r>
      <w:r>
        <w:rPr>
          <w:rFonts w:cs="Arial Unicode MS" w:eastAsia="Arial Unicode MS"/>
          <w:rtl w:val="0"/>
          <w:lang w:val="en-US"/>
        </w:rPr>
        <w:t>are not hacks</w:t>
      </w:r>
    </w:p>
    <w:p>
      <w:pPr>
        <w:pStyle w:val="Body"/>
      </w:pPr>
      <w:r>
        <w:rPr>
          <w:rFonts w:cs="Arial Unicode MS" w:eastAsia="Arial Unicode MS"/>
          <w:rtl w:val="0"/>
          <w:lang w:val="en-US"/>
        </w:rPr>
        <w:t>When I say that the things that are called ``hacks'' are not hacks, I am claiming that they do not po</w:t>
      </w:r>
      <w:r>
        <w:rPr>
          <w:rFonts w:cs="Arial Unicode MS" w:eastAsia="Arial Unicode MS"/>
          <w:rtl w:val="0"/>
          <w:lang w:val="en-US"/>
        </w:rPr>
        <w:t>s</w:t>
      </w:r>
      <w:r>
        <w:rPr>
          <w:rFonts w:cs="Arial Unicode MS" w:eastAsia="Arial Unicode MS"/>
          <w:rtl w:val="0"/>
          <w:lang w:val="en-US"/>
        </w:rPr>
        <w:t xml:space="preserve">sess the qualities that make them seem like hacks: (1) contained to an individual who does not need to include the requirements of others; (2) a ``means to an ends'' meaning that there is no sense of elegance or </w:t>
      </w:r>
      <w:r>
        <w:rPr>
          <w:rFonts w:cs="Arial Unicode MS" w:eastAsia="Arial Unicode MS"/>
          <w:rtl w:val="0"/>
          <w:lang w:val="en-US"/>
        </w:rPr>
        <w:t>intrinsic</w:t>
      </w:r>
      <w:r>
        <w:rPr>
          <w:rFonts w:cs="Arial Unicode MS" w:eastAsia="Arial Unicode MS"/>
          <w:rtl w:val="0"/>
          <w:lang w:val="en-US"/>
        </w:rPr>
        <w:t xml:space="preserve"> value of code driving it; and (3) ad-hoc, ephemeral.</w:t>
      </w:r>
    </w:p>
    <w:p>
      <w:pPr>
        <w:pStyle w:val="Heading 2"/>
      </w:pPr>
      <w:r>
        <w:rPr>
          <w:rtl w:val="0"/>
        </w:rPr>
        <w:t>Code that would not convince peers does not convince the individual</w:t>
      </w:r>
    </w:p>
    <w:p>
      <w:pPr>
        <w:pStyle w:val="Body"/>
      </w:pPr>
    </w:p>
    <w:p>
      <w:pPr>
        <w:pStyle w:val="Heading 2"/>
      </w:pPr>
      <w:r>
        <w:rPr>
          <w:rtl w:val="0"/>
        </w:rPr>
        <w:t>Beauty is in the Eye of the Beholder</w:t>
      </w:r>
    </w:p>
    <w:p>
      <w:pPr>
        <w:pStyle w:val="Body"/>
      </w:pPr>
    </w:p>
    <w:p>
      <w:pPr>
        <w:pStyle w:val="Body"/>
      </w:pPr>
      <w:r>
        <w:rPr>
          <w:rFonts w:cs="Arial Unicode MS" w:eastAsia="Arial Unicode MS"/>
          <w:rtl w:val="0"/>
          <w:lang w:val="en-US"/>
        </w:rPr>
        <w:t>``simply isn't interesting to most computer scientists.'' [B]</w:t>
      </w:r>
    </w:p>
    <w:p>
      <w:pPr>
        <w:pStyle w:val="Body"/>
      </w:pPr>
      <w:r>
        <w:rPr>
          <w:rFonts w:cs="Arial Unicode MS" w:eastAsia="Arial Unicode MS"/>
          <w:rtl w:val="0"/>
          <w:lang w:val="en-US"/>
        </w:rPr>
        <w:t xml:space="preserve">("students will now believe that it's worth learning how to test software systematically") [A] Well OF COURSE they </w:t>
      </w:r>
      <w:r>
        <w:rPr>
          <w:rFonts w:cs="Arial Unicode MS" w:eastAsia="Arial Unicode MS"/>
          <w:rtl w:val="0"/>
          <w:lang w:val="en-US"/>
        </w:rPr>
        <w:t>believe</w:t>
      </w:r>
      <w:r>
        <w:rPr>
          <w:rFonts w:cs="Arial Unicode MS" w:eastAsia="Arial Unicode MS"/>
          <w:rtl w:val="0"/>
          <w:lang w:val="en-US"/>
        </w:rPr>
        <w:t xml:space="preserve"> that! testing and reproducibility are never not on the horizon of the perfect world. But the journey there takes a long time, and is filled with uncertainty. The Incentive is missing for investing in learning any particular thing out of a cornucopia of viable and enticing possibilities.</w:t>
      </w:r>
    </w:p>
    <w:p>
      <w:pPr>
        <w:pStyle w:val="Body"/>
      </w:pPr>
      <w:r>
        <w:rPr>
          <w:rFonts w:cs="Arial Unicode MS" w:eastAsia="Arial Unicode MS"/>
          <w:rtl w:val="0"/>
          <w:lang w:val="en-US"/>
        </w:rPr>
        <w:t xml:space="preserve">For all the </w:t>
      </w:r>
      <w:r>
        <w:rPr>
          <w:rFonts w:cs="Arial Unicode MS" w:eastAsia="Arial Unicode MS"/>
          <w:rtl w:val="0"/>
          <w:lang w:val="en-US"/>
        </w:rPr>
        <w:t>handwringing</w:t>
      </w:r>
      <w:r>
        <w:rPr>
          <w:rFonts w:cs="Arial Unicode MS" w:eastAsia="Arial Unicode MS"/>
          <w:rtl w:val="0"/>
        </w:rPr>
        <w:t xml:space="preserve"> </w:t>
      </w:r>
      <w:r>
        <w:rPr>
          <w:rFonts w:cs="Arial Unicode MS" w:eastAsia="Arial Unicode MS"/>
          <w:rtl w:val="0"/>
          <w:lang w:val="en-US"/>
        </w:rPr>
        <w:t>about</w:t>
      </w:r>
      <w:r>
        <w:rPr>
          <w:rFonts w:cs="Arial Unicode MS" w:eastAsia="Arial Unicode MS"/>
          <w:rtl w:val="0"/>
          <w:lang w:val="en-US"/>
        </w:rPr>
        <w:t xml:space="preserve"> not testing, in a retrospective of learnings from years of SWC workshops, Wilcon writes that the workshops ``don't do as good a job as we would like teaching testing. mechanics of unit testing are straightforward ... and it's easy to come up with representative test cases for things like formatting data files, but what should we tell scinetists about testing the numerical parts of their applications? Once we've covered floating-point roundoff and the need to use `almost equal' instead of `exactly equal', our learners quite reasonable ask, `What would I use as a tolerance for my computaiton?' for which no one has a good answer.'' [B]</w:t>
      </w:r>
    </w:p>
    <w:p>
      <w:pPr>
        <w:pStyle w:val="Body"/>
      </w:pPr>
    </w:p>
    <w:p>
      <w:pPr>
        <w:pStyle w:val="Body"/>
      </w:pPr>
    </w:p>
    <w:p>
      <w:pPr>
        <w:pStyle w:val="Body"/>
      </w:pPr>
      <w:r>
        <w:rPr>
          <w:rFonts w:cs="Arial Unicode MS" w:eastAsia="Arial Unicode MS"/>
          <w:rtl w:val="0"/>
        </w:rPr>
        <w:t>(INCLUDE FIGURE 6.2)</w:t>
      </w:r>
    </w:p>
    <w:p>
      <w:pPr>
        <w:pStyle w:val="Body"/>
      </w:pPr>
    </w:p>
    <w:p>
      <w:pPr>
        <w:pStyle w:val="Body"/>
      </w:pPr>
      <w:r>
        <w:rPr>
          <w:rFonts w:cs="Arial Unicode MS" w:eastAsia="Arial Unicode MS"/>
          <w:rtl w:val="0"/>
          <w:lang w:val="en-US"/>
        </w:rPr>
        <w:t>In this section I make the argument</w:t>
      </w:r>
    </w:p>
    <w:p>
      <w:pPr>
        <w:pStyle w:val="Body"/>
      </w:pPr>
    </w:p>
    <w:p>
      <w:pPr>
        <w:pStyle w:val="Body"/>
      </w:pPr>
      <w:r>
        <w:rPr>
          <w:rFonts w:cs="Arial Unicode MS" w:eastAsia="Arial Unicode MS"/>
          <w:rtl w:val="0"/>
          <w:lang w:val="en-US"/>
        </w:rPr>
        <w:t>``The reason most computational scientists don't care about quality is that there's no incentive for them to do so''[A Greg Wilson] because of publication stuff. We see Howison and Herbsleb making similar incentive arguments that problematize certain software production systems. Young et al and Mislan et al both appeal to ways in which the sharing of data and code respectively can be made more streamlined and accessible, to support the overall value of sharing.</w:t>
      </w:r>
    </w:p>
    <w:p>
      <w:pPr>
        <w:pStyle w:val="Body"/>
      </w:pPr>
    </w:p>
    <w:p>
      <w:pPr>
        <w:pStyle w:val="Heading 2"/>
      </w:pPr>
      <w:r>
        <w:rPr>
          <w:rtl w:val="0"/>
        </w:rPr>
        <w:t>Moments of Flux / No going Back</w:t>
      </w:r>
    </w:p>
    <w:p>
      <w:pPr>
        <w:pStyle w:val="Body"/>
      </w:pPr>
    </w:p>
    <w:p>
      <w:pPr>
        <w:pStyle w:val="Body"/>
      </w:pPr>
      <w:r>
        <w:rPr>
          <w:rFonts w:cs="Arial Unicode MS" w:eastAsia="Arial Unicode MS"/>
          <w:rtl w:val="0"/>
          <w:lang w:val="en-US"/>
        </w:rPr>
        <w:t>The model we introduce in Section XX defines the working environment as subject to deliberate change. There are many options for the direction of this change in any of the myriad small opportunities for decision making. The direction is decided using an imagination of the perfect world.</w:t>
      </w:r>
    </w:p>
    <w:p>
      <w:pPr>
        <w:pStyle w:val="Body"/>
      </w:pPr>
    </w:p>
    <w:p>
      <w:pPr>
        <w:pStyle w:val="Body"/>
      </w:pPr>
      <w:r>
        <w:rPr>
          <w:rFonts w:cs="Arial Unicode MS" w:eastAsia="Arial Unicode MS"/>
          <w:rtl w:val="0"/>
          <w:lang w:val="en-US"/>
        </w:rPr>
        <w:t>Another way to orient change is by appealing to a software advisor. WHAT IS AN SA.</w:t>
      </w:r>
    </w:p>
    <w:p>
      <w:pPr>
        <w:pStyle w:val="Body"/>
      </w:pPr>
    </w:p>
    <w:p>
      <w:pPr>
        <w:pStyle w:val="Body"/>
      </w:pPr>
      <w:r>
        <w:rPr>
          <w:rFonts w:cs="Arial Unicode MS" w:eastAsia="Arial Unicode MS"/>
          <w:rtl w:val="0"/>
          <w:lang w:val="en-US"/>
        </w:rPr>
        <w:t xml:space="preserve">For example, one of the team's SAs says this: </w:t>
      </w:r>
      <w:r>
        <w:rPr>
          <w:rFonts w:cs="Arial Unicode MS" w:eastAsia="Arial Unicode MS" w:hint="default"/>
          <w:rtl w:val="0"/>
          <w:lang w:val="de-DE"/>
        </w:rPr>
        <w:t>“</w:t>
      </w:r>
      <w:r>
        <w:rPr>
          <w:rFonts w:cs="Arial Unicode MS" w:eastAsia="Arial Unicode MS"/>
          <w:rtl w:val="0"/>
          <w:lang w:val="en-US"/>
        </w:rPr>
        <w:t>You know, I just watch them, I can see when their eyes glaze over. The Principal Investigator (PI) is really good at pushing me on it: `do I - as a scientist - really need to know this?</w:t>
      </w:r>
      <w:r>
        <w:rPr>
          <w:rFonts w:cs="Arial Unicode MS" w:eastAsia="Arial Unicode MS" w:hint="default"/>
          <w:rtl w:val="0"/>
        </w:rPr>
        <w:t xml:space="preserve">’ </w:t>
      </w:r>
      <w:r>
        <w:rPr>
          <w:rFonts w:cs="Arial Unicode MS" w:eastAsia="Arial Unicode MS"/>
          <w:rtl w:val="0"/>
          <w:lang w:val="en-US"/>
        </w:rPr>
        <w:t xml:space="preserve">'' An uncharitable reading of this statement seems to reinforce the idea that scientists do not care about the quality of their code, and this dooms them to a life of ad-hoc hacks. However, this was spoken in the context of a group that at the beginning of the study had recently begun adopting version control with some associated growing pains, and by the end had integrated GitHub substantially into collaborative work practices. Furthermore, it was a post-doc and a graduate student who then took the initiative to ask the SA about automating some of the testing in their analytic pipeline, which he was more than delighted to begin explaining. A ``hack''  is typically described as ``not the best way of doing things,'' ``not very elegant,'' ``ugly but it works,'' or </w:t>
      </w:r>
      <w:r>
        <w:rPr>
          <w:rFonts w:cs="Arial Unicode MS" w:eastAsia="Arial Unicode MS"/>
          <w:rtl w:val="0"/>
          <w:lang w:val="en-US"/>
        </w:rPr>
        <w:t>failing</w:t>
      </w:r>
      <w:r>
        <w:rPr>
          <w:rFonts w:cs="Arial Unicode MS" w:eastAsia="Arial Unicode MS"/>
          <w:rtl w:val="0"/>
          <w:lang w:val="en-US"/>
        </w:rPr>
        <w:t xml:space="preserve"> to use something it ``really should be.'' Instead of interpreting these terms at their face judgmental value, we can observe the progression of the ``ugliness'' over time and see that if there is truly a ``perfect world'' that the scientists prioritize, individual small moments of flux will slowly inch those ``hacks'' in that  direction.</w:t>
      </w:r>
    </w:p>
    <w:p>
      <w:pPr>
        <w:pStyle w:val="Heading"/>
      </w:pPr>
      <w:r>
        <w:rPr>
          <w:rFonts w:cs="Arial Unicode MS" w:eastAsia="Arial Unicode MS"/>
          <w:rtl w:val="0"/>
          <w:lang w:val="en-US"/>
        </w:rPr>
        <w:t>implications for practice</w:t>
      </w:r>
    </w:p>
    <w:p>
      <w:pPr>
        <w:pStyle w:val="Body"/>
      </w:pPr>
    </w:p>
    <w:p>
      <w:pPr>
        <w:pStyle w:val="Body"/>
      </w:pPr>
      <w:r>
        <w:rPr>
          <w:rFonts w:cs="Arial Unicode MS" w:eastAsia="Arial Unicode MS"/>
          <w:rtl w:val="0"/>
          <w:lang w:val="en-US"/>
        </w:rPr>
        <w:t>Of the model:</w:t>
      </w:r>
    </w:p>
    <w:p>
      <w:pPr>
        <w:pStyle w:val="Body"/>
      </w:pPr>
    </w:p>
    <w:p>
      <w:pPr>
        <w:pStyle w:val="Body"/>
      </w:pPr>
      <w:r>
        <w:rPr>
          <w:rFonts w:cs="Arial Unicode MS" w:eastAsia="Arial Unicode MS"/>
          <w:rtl w:val="0"/>
          <w:lang w:val="en-US"/>
        </w:rPr>
        <w:t>Reframe dismay or surprise as comparison of working environment to the perfect world. Is the imagination of the perfect world is shared enough to justify deliberate change?</w:t>
      </w:r>
    </w:p>
    <w:p>
      <w:pPr>
        <w:pStyle w:val="Body"/>
      </w:pPr>
    </w:p>
    <w:p>
      <w:pPr>
        <w:pStyle w:val="Body"/>
      </w:pPr>
      <w:r>
        <w:rPr>
          <w:rFonts w:cs="Arial Unicode MS" w:eastAsia="Arial Unicode MS"/>
          <w:rtl w:val="0"/>
          <w:lang w:val="en-US"/>
        </w:rPr>
        <w:t>Necessary for follow-through on change:</w:t>
      </w:r>
      <w:r>
        <w:rPr>
          <w:rFonts w:ascii="Arial Unicode MS" w:cs="Arial Unicode MS" w:hAnsi="Arial Unicode MS" w:eastAsia="Arial Unicode MS"/>
          <w:b w:val="0"/>
          <w:bCs w:val="0"/>
          <w:i w:val="0"/>
          <w:iCs w:val="0"/>
        </w:rPr>
        <w:br w:type="textWrapping"/>
      </w:r>
      <w:r>
        <w:rPr>
          <w:rFonts w:cs="Arial Unicode MS" w:eastAsia="Arial Unicode MS"/>
          <w:rtl w:val="0"/>
          <w:lang w:val="en-US"/>
        </w:rPr>
        <w:t>[ ] awareness - I have heard of it &amp; know what it is</w:t>
      </w:r>
      <w:r>
        <w:rPr>
          <w:rFonts w:ascii="Arial Unicode MS" w:cs="Arial Unicode MS" w:hAnsi="Arial Unicode MS" w:eastAsia="Arial Unicode MS"/>
          <w:b w:val="0"/>
          <w:bCs w:val="0"/>
          <w:i w:val="0"/>
          <w:iCs w:val="0"/>
        </w:rPr>
        <w:br w:type="textWrapping"/>
      </w:r>
      <w:r>
        <w:rPr>
          <w:rFonts w:cs="Arial Unicode MS" w:eastAsia="Arial Unicode MS"/>
          <w:rtl w:val="0"/>
          <w:lang w:val="en-US"/>
        </w:rPr>
        <w:t>[ ] intention - I should probably be using it</w:t>
      </w:r>
      <w:r>
        <w:rPr>
          <w:rFonts w:cs="Arial Unicode MS" w:eastAsia="Arial Unicode MS" w:hint="default"/>
          <w:rtl w:val="0"/>
        </w:rPr>
        <w:t>…</w:t>
      </w:r>
      <w:r>
        <w:rPr>
          <w:rFonts w:ascii="Arial Unicode MS" w:cs="Arial Unicode MS" w:hAnsi="Arial Unicode MS" w:eastAsia="Arial Unicode MS"/>
          <w:b w:val="0"/>
          <w:bCs w:val="0"/>
          <w:i w:val="0"/>
          <w:iCs w:val="0"/>
        </w:rPr>
        <w:br w:type="textWrapping"/>
      </w:r>
      <w:r>
        <w:rPr>
          <w:rFonts w:cs="Arial Unicode MS" w:eastAsia="Arial Unicode MS"/>
          <w:rtl w:val="0"/>
          <w:lang w:val="en-US"/>
        </w:rPr>
        <w:t>[ ] momentum - If I already knew it, I would use it</w:t>
      </w:r>
      <w:r>
        <w:rPr>
          <w:rFonts w:ascii="Arial Unicode MS" w:cs="Arial Unicode MS" w:hAnsi="Arial Unicode MS" w:eastAsia="Arial Unicode MS"/>
          <w:b w:val="0"/>
          <w:bCs w:val="0"/>
          <w:i w:val="0"/>
          <w:iCs w:val="0"/>
        </w:rPr>
        <w:br w:type="textWrapping"/>
      </w:r>
      <w:r>
        <w:rPr>
          <w:rFonts w:cs="Arial Unicode MS" w:eastAsia="Arial Unicode MS"/>
          <w:rtl w:val="0"/>
          <w:lang w:val="en-US"/>
        </w:rPr>
        <w:t>[ ] opportunity - Clear course of action is available</w:t>
      </w:r>
    </w:p>
    <w:p>
      <w:pPr>
        <w:pStyle w:val="Body"/>
      </w:pPr>
    </w:p>
    <w:p>
      <w:pPr>
        <w:pStyle w:val="Body"/>
      </w:pPr>
      <w:r>
        <w:rPr>
          <w:rFonts w:cs="Arial Unicode MS" w:eastAsia="Arial Unicode MS"/>
          <w:rtl w:val="0"/>
          <w:lang w:val="en-US"/>
        </w:rPr>
        <w:t xml:space="preserve">Evaluate not only technical, but social and skills components of the working environment. Never </w:t>
      </w:r>
      <w:r>
        <w:rPr>
          <w:rFonts w:cs="Arial Unicode MS" w:eastAsia="Arial Unicode MS" w:hint="default"/>
          <w:rtl w:val="0"/>
          <w:lang w:val="de-DE"/>
        </w:rPr>
        <w:t>“</w:t>
      </w:r>
      <w:r>
        <w:rPr>
          <w:rFonts w:cs="Arial Unicode MS" w:eastAsia="Arial Unicode MS"/>
          <w:rtl w:val="0"/>
          <w:lang w:val="en-US"/>
        </w:rPr>
        <w:t>back at square one!</w:t>
      </w:r>
      <w:r>
        <w:rPr>
          <w:rFonts w:cs="Arial Unicode MS" w:eastAsia="Arial Unicode MS" w:hint="default"/>
          <w:rtl w:val="0"/>
        </w:rPr>
        <w:t>”</w:t>
      </w:r>
    </w:p>
    <w:p>
      <w:pPr>
        <w:pStyle w:val="Heading"/>
      </w:pPr>
      <w:r>
        <w:rPr>
          <w:rFonts w:cs="Arial Unicode MS" w:eastAsia="Arial Unicode MS"/>
          <w:rtl w:val="0"/>
          <w:lang w:val="de-DE"/>
        </w:rPr>
        <w:t>REFERENCES</w:t>
      </w:r>
    </w:p>
    <w:p>
      <w:pPr>
        <w:pStyle w:val="References"/>
        <w:numPr>
          <w:ilvl w:val="0"/>
          <w:numId w:val="3"/>
        </w:numPr>
        <w:bidi w:val="0"/>
        <w:ind w:right="0"/>
        <w:jc w:val="left"/>
        <w:rPr>
          <w:rFonts w:ascii="Helvetica" w:cs="Helvetica" w:hAnsi="Helvetica" w:eastAsia="Helvetica"/>
          <w:b w:val="1"/>
          <w:bCs w:val="1"/>
          <w:sz w:val="20"/>
          <w:szCs w:val="20"/>
          <w:rtl w:val="0"/>
        </w:rPr>
      </w:pPr>
      <w:bookmarkStart w:name="_Ref279752164" w:id="0"/>
      <w:r>
        <w:rPr>
          <w:rFonts w:ascii="Times New Roman" w:hAnsi="Times New Roman"/>
          <w:b w:val="0"/>
          <w:bCs w:val="0"/>
          <w:sz w:val="20"/>
          <w:szCs w:val="20"/>
          <w:rtl w:val="0"/>
          <w:lang w:val="en-US"/>
        </w:rPr>
        <w:t>@_CHINOSAUR. 2014. VENUE IS TOO COLD. #BINGO #CHI2016. Tweet. (1 May, 2014). Retrieved February 2, 2014 from https://twitter.com/_CHINOSAUR/status/461864317415989248</w:t>
      </w:r>
      <w:bookmarkEnd w:id="0"/>
      <w:bookmarkStart w:name="_Ref279752146" w:id="1"/>
    </w:p>
    <w:p>
      <w:pPr>
        <w:pStyle w:val="References"/>
        <w:numPr>
          <w:ilvl w:val="0"/>
          <w:numId w:val="4"/>
        </w:numPr>
      </w:pPr>
      <w:r>
        <w:rPr>
          <w:rFonts w:cs="Arial Unicode MS" w:eastAsia="Arial Unicode MS"/>
          <w:rtl w:val="0"/>
        </w:rPr>
        <w:t>ACM. How to Classify Works Using ACM</w:t>
      </w:r>
      <w:r>
        <w:rPr>
          <w:rFonts w:cs="Arial Unicode MS" w:eastAsia="Arial Unicode MS" w:hint="default"/>
          <w:rtl w:val="0"/>
        </w:rPr>
        <w:t>’</w:t>
      </w:r>
      <w:r>
        <w:rPr>
          <w:rFonts w:cs="Arial Unicode MS" w:eastAsia="Arial Unicode MS"/>
          <w:rtl w:val="0"/>
        </w:rPr>
        <w:t xml:space="preserve">s Computing Classification System. 2014. Retrieved August 22, 2014 from </w:t>
      </w:r>
      <w:bookmarkEnd w:id="1"/>
      <w:r>
        <w:rPr>
          <w:rStyle w:val="Hyperlink.1"/>
        </w:rPr>
        <w:fldChar w:fldCharType="begin" w:fldLock="0"/>
      </w:r>
      <w:r>
        <w:rPr>
          <w:rStyle w:val="Hyperlink.1"/>
        </w:rPr>
        <w:instrText xml:space="preserve"> HYPERLINK "http://www.acm.org/class/how_to_use.html%2520"</w:instrText>
      </w:r>
      <w:r>
        <w:rPr>
          <w:rStyle w:val="Hyperlink.1"/>
        </w:rPr>
        <w:fldChar w:fldCharType="separate" w:fldLock="0"/>
      </w:r>
      <w:r>
        <w:rPr>
          <w:rStyle w:val="Hyperlink.1"/>
          <w:rFonts w:cs="Arial Unicode MS" w:eastAsia="Arial Unicode MS"/>
          <w:rtl w:val="0"/>
        </w:rPr>
        <w:t>http://www.acm.org/class/how_to_use.html</w:t>
      </w:r>
      <w:r>
        <w:rPr/>
        <w:fldChar w:fldCharType="end" w:fldLock="0"/>
      </w:r>
      <w:r>
        <w:rPr>
          <w:rFonts w:cs="Arial Unicode MS" w:eastAsia="Arial Unicode MS"/>
          <w:rtl w:val="0"/>
        </w:rPr>
        <w:t xml:space="preserve"> </w:t>
      </w:r>
    </w:p>
    <w:p>
      <w:pPr>
        <w:pStyle w:val="References"/>
        <w:numPr>
          <w:ilvl w:val="0"/>
          <w:numId w:val="4"/>
        </w:numPr>
      </w:pPr>
      <w:bookmarkStart w:name="_Ref279752133" w:id="2"/>
      <w:r>
        <w:rPr>
          <w:rFonts w:cs="Arial Unicode MS" w:eastAsia="Arial Unicode MS"/>
          <w:rtl w:val="0"/>
        </w:rPr>
        <w:t xml:space="preserve">Ronald E. Anderson. 1992. Social impacts of computing: Codes of professional ethics. </w:t>
      </w:r>
      <w:r>
        <w:rPr>
          <w:rFonts w:cs="Arial Unicode MS" w:eastAsia="Arial Unicode MS"/>
          <w:i w:val="1"/>
          <w:iCs w:val="1"/>
          <w:rtl w:val="0"/>
          <w:lang w:val="en-US"/>
        </w:rPr>
        <w:t>Soc Sci Comput Rev</w:t>
      </w:r>
      <w:r>
        <w:rPr>
          <w:rFonts w:cs="Arial Unicode MS" w:eastAsia="Arial Unicode MS"/>
          <w:rtl w:val="0"/>
        </w:rPr>
        <w:t xml:space="preserve"> 10, 2: 453-469.</w:t>
      </w:r>
      <w:bookmarkEnd w:id="2"/>
      <w:bookmarkStart w:name="_Ref279752517" w:id="3"/>
      <w:r>
        <w:rPr>
          <w:rFonts w:cs="Arial Unicode MS" w:eastAsia="Arial Unicode MS"/>
          <w:rtl w:val="0"/>
        </w:rPr>
        <w:t xml:space="preserve"> </w:t>
      </w:r>
      <w:bookmarkEnd w:id="3"/>
    </w:p>
    <w:p>
      <w:pPr>
        <w:pStyle w:val="References"/>
        <w:numPr>
          <w:ilvl w:val="0"/>
          <w:numId w:val="4"/>
        </w:numPr>
      </w:pPr>
      <w:bookmarkStart w:name="_Ref279753826" w:id="4"/>
      <w:r>
        <w:rPr>
          <w:rFonts w:cs="Arial Unicode MS" w:eastAsia="Arial Unicode MS"/>
          <w:rtl w:val="0"/>
        </w:rPr>
        <w:t xml:space="preserve">Anna Cavender, Shari Trewin, Vicki Hanson. 2014. Accessible Writing Guide. Retrieved August 22, 2014 from </w:t>
      </w:r>
      <w:bookmarkEnd w:id="4"/>
      <w:r>
        <w:rPr>
          <w:rStyle w:val="Hyperlink.1"/>
        </w:rPr>
        <w:fldChar w:fldCharType="begin" w:fldLock="0"/>
      </w:r>
      <w:r>
        <w:rPr>
          <w:rStyle w:val="Hyperlink.1"/>
        </w:rPr>
        <w:instrText xml:space="preserve"> HYPERLINK "http://www.sigaccess.org/welcome-to-sigaccess/resources/accessible-writing-guide/"</w:instrText>
      </w:r>
      <w:r>
        <w:rPr>
          <w:rStyle w:val="Hyperlink.1"/>
        </w:rPr>
        <w:fldChar w:fldCharType="separate" w:fldLock="0"/>
      </w:r>
      <w:r>
        <w:rPr>
          <w:rStyle w:val="Hyperlink.1"/>
          <w:rFonts w:cs="Arial Unicode MS" w:eastAsia="Arial Unicode MS"/>
          <w:rtl w:val="0"/>
        </w:rPr>
        <w:t>http://www.sigaccess.org/welcome-to-sigaccess/resources/accessible-writing-guide/</w:t>
      </w:r>
      <w:r>
        <w:rPr/>
        <w:fldChar w:fldCharType="end" w:fldLock="0"/>
      </w:r>
      <w:r>
        <w:rPr>
          <w:rFonts w:cs="Arial Unicode MS" w:eastAsia="Arial Unicode MS"/>
          <w:rtl w:val="0"/>
        </w:rPr>
        <w:t xml:space="preserve"> </w:t>
      </w:r>
    </w:p>
    <w:p>
      <w:pPr>
        <w:pStyle w:val="References"/>
        <w:numPr>
          <w:ilvl w:val="0"/>
          <w:numId w:val="4"/>
        </w:numPr>
      </w:pPr>
      <w:bookmarkStart w:name="_Ref279752259" w:id="5"/>
      <w:r>
        <w:rPr>
          <w:rFonts w:cs="Arial Unicode MS" w:eastAsia="Arial Unicode MS"/>
          <w:rtl w:val="0"/>
        </w:rPr>
        <w:t>Morton L. Heilig. 1962. Sensorama Simulator, U.S. Patent 3,050,870, Filed January 10, 1961, issued August 28, 1962.</w:t>
      </w:r>
      <w:bookmarkEnd w:id="5"/>
      <w:bookmarkStart w:name="_Ref279753241" w:id="6"/>
    </w:p>
    <w:p>
      <w:pPr>
        <w:pStyle w:val="References"/>
        <w:numPr>
          <w:ilvl w:val="0"/>
          <w:numId w:val="4"/>
        </w:numPr>
      </w:pPr>
      <w:bookmarkStart w:name="_Ref279752204" w:id="7"/>
      <w:r>
        <w:rPr>
          <w:rFonts w:cs="Arial Unicode MS" w:eastAsia="Arial Unicode MS"/>
          <w:rtl w:val="0"/>
        </w:rPr>
        <w:t xml:space="preserve">Jofish Kaye and Paul Dourish. 2014. Special issue on science fiction and ubiquitous computing. </w:t>
      </w:r>
      <w:r>
        <w:rPr>
          <w:rFonts w:cs="Arial Unicode MS" w:eastAsia="Arial Unicode MS"/>
          <w:i w:val="1"/>
          <w:iCs w:val="1"/>
          <w:rtl w:val="0"/>
          <w:lang w:val="en-US"/>
        </w:rPr>
        <w:t>Personal Ubiquitous Comput</w:t>
      </w:r>
      <w:r>
        <w:rPr>
          <w:rFonts w:cs="Arial Unicode MS" w:eastAsia="Arial Unicode MS"/>
          <w:rtl w:val="0"/>
        </w:rPr>
        <w:t xml:space="preserve">. 18, 4 (April 2014), 765-766. </w:t>
      </w:r>
      <w:r>
        <w:rPr>
          <w:rStyle w:val="Hyperlink.1"/>
        </w:rPr>
        <w:fldChar w:fldCharType="begin" w:fldLock="0"/>
      </w:r>
      <w:r>
        <w:rPr>
          <w:rStyle w:val="Hyperlink.1"/>
        </w:rPr>
        <w:instrText xml:space="preserve"> HYPERLINK "http://dx.doi.org/10.1007/s00779-014-0773-4"</w:instrText>
      </w:r>
      <w:r>
        <w:rPr>
          <w:rStyle w:val="Hyperlink.1"/>
        </w:rPr>
        <w:fldChar w:fldCharType="separate" w:fldLock="0"/>
      </w:r>
      <w:r>
        <w:rPr>
          <w:rStyle w:val="Hyperlink.1"/>
          <w:rFonts w:cs="Arial Unicode MS" w:eastAsia="Arial Unicode MS"/>
          <w:rtl w:val="0"/>
        </w:rPr>
        <w:t>http://dx.doi.org/10.1007/s00779-014-0773-4</w:t>
      </w:r>
      <w:bookmarkEnd w:id="7"/>
      <w:r>
        <w:rPr/>
        <w:fldChar w:fldCharType="end" w:fldLock="0"/>
      </w:r>
    </w:p>
    <w:p>
      <w:pPr>
        <w:pStyle w:val="References"/>
        <w:numPr>
          <w:ilvl w:val="0"/>
          <w:numId w:val="4"/>
        </w:numPr>
      </w:pPr>
      <w:bookmarkStart w:name="_Ref406944911" w:id="8"/>
      <w:r>
        <w:rPr>
          <w:rFonts w:cs="Arial Unicode MS" w:eastAsia="Arial Unicode MS"/>
          <w:rtl w:val="0"/>
        </w:rPr>
        <w:t xml:space="preserve">Scott R. Klemmer, Michael Thomsen, Ethan Phelps-Goodman, Robert Lee, and James A. Landay. 2002. Where do web sites come from?: capturing and interacting with design history. In </w:t>
      </w:r>
      <w:r>
        <w:rPr>
          <w:rFonts w:cs="Arial Unicode MS" w:eastAsia="Arial Unicode MS"/>
          <w:i w:val="1"/>
          <w:iCs w:val="1"/>
          <w:rtl w:val="0"/>
          <w:lang w:val="en-US"/>
        </w:rPr>
        <w:t xml:space="preserve">Proceedings of the SIGCHI Conference on Human Factors in Computing Systems </w:t>
      </w:r>
      <w:r>
        <w:rPr>
          <w:rFonts w:cs="Arial Unicode MS" w:eastAsia="Arial Unicode MS"/>
          <w:rtl w:val="0"/>
        </w:rPr>
        <w:t xml:space="preserve">(CHI '02), 1-8. </w:t>
      </w:r>
      <w:r>
        <w:rPr>
          <w:rStyle w:val="Hyperlink.1"/>
        </w:rPr>
        <w:fldChar w:fldCharType="begin" w:fldLock="0"/>
      </w:r>
      <w:r>
        <w:rPr>
          <w:rStyle w:val="Hyperlink.1"/>
        </w:rPr>
        <w:instrText xml:space="preserve"> HYPERLINK "http://doi.acm.org/10.1145/503376.503378"</w:instrText>
      </w:r>
      <w:r>
        <w:rPr>
          <w:rStyle w:val="Hyperlink.1"/>
        </w:rPr>
        <w:fldChar w:fldCharType="separate" w:fldLock="0"/>
      </w:r>
      <w:r>
        <w:rPr>
          <w:rStyle w:val="Hyperlink.1"/>
          <w:rFonts w:cs="Arial Unicode MS" w:eastAsia="Arial Unicode MS"/>
          <w:rtl w:val="0"/>
        </w:rPr>
        <w:t>http://doi.acm.org/10.1145/503376.503378</w:t>
      </w:r>
      <w:bookmarkEnd w:id="8"/>
      <w:r>
        <w:rPr/>
        <w:fldChar w:fldCharType="end" w:fldLock="0"/>
      </w:r>
    </w:p>
    <w:p>
      <w:pPr>
        <w:pStyle w:val="References"/>
        <w:numPr>
          <w:ilvl w:val="0"/>
          <w:numId w:val="4"/>
        </w:numPr>
      </w:pPr>
      <w:bookmarkStart w:name="_Ref279752219" w:id="9"/>
      <w:r>
        <w:rPr>
          <w:rFonts w:cs="Arial Unicode MS" w:eastAsia="Arial Unicode MS"/>
          <w:rtl w:val="0"/>
        </w:rPr>
        <w:t xml:space="preserve">Psy. 2012. Gangnam Style. Video. (15 July 2012.). Retrieved August 22, 2014 from </w:t>
      </w:r>
      <w:bookmarkEnd w:id="9"/>
      <w:r>
        <w:rPr>
          <w:rStyle w:val="Hyperlink.1"/>
        </w:rPr>
        <w:fldChar w:fldCharType="begin" w:fldLock="0"/>
      </w:r>
      <w:r>
        <w:rPr>
          <w:rStyle w:val="Hyperlink.1"/>
        </w:rPr>
        <w:instrText xml:space="preserve"> HYPERLINK "https://www.youtube.com/watch?v=9bZkp7q19f0"</w:instrText>
      </w:r>
      <w:r>
        <w:rPr>
          <w:rStyle w:val="Hyperlink.1"/>
        </w:rPr>
        <w:fldChar w:fldCharType="separate" w:fldLock="0"/>
      </w:r>
      <w:bookmarkEnd w:id="6"/>
      <w:r>
        <w:rPr>
          <w:rStyle w:val="Hyperlink.1"/>
          <w:rFonts w:cs="Arial Unicode MS" w:eastAsia="Arial Unicode MS"/>
          <w:rtl w:val="0"/>
        </w:rPr>
        <w:t>https://www.youtube.com/watch?v=9bZkp7q19f0</w:t>
      </w:r>
      <w:r>
        <w:rPr/>
        <w:fldChar w:fldCharType="end" w:fldLock="0"/>
      </w:r>
    </w:p>
    <w:p>
      <w:pPr>
        <w:pStyle w:val="References"/>
        <w:numPr>
          <w:ilvl w:val="0"/>
          <w:numId w:val="4"/>
        </w:numPr>
      </w:pPr>
      <w:bookmarkStart w:name="_Ref279752240" w:id="10"/>
      <w:r>
        <w:rPr>
          <w:rFonts w:cs="Arial Unicode MS" w:eastAsia="Arial Unicode MS"/>
          <w:rtl w:val="0"/>
        </w:rPr>
        <w:t xml:space="preserve">Marilyn Schwartz. 1995. </w:t>
      </w:r>
      <w:r>
        <w:rPr>
          <w:rFonts w:cs="Arial Unicode MS" w:eastAsia="Arial Unicode MS"/>
          <w:i w:val="1"/>
          <w:iCs w:val="1"/>
          <w:rtl w:val="0"/>
          <w:lang w:val="en-US"/>
        </w:rPr>
        <w:t>Guidelines for Bias-Free Writing.</w:t>
      </w:r>
      <w:r>
        <w:rPr>
          <w:rFonts w:cs="Arial Unicode MS" w:eastAsia="Arial Unicode MS"/>
          <w:rtl w:val="0"/>
        </w:rPr>
        <w:t xml:space="preserve"> Indiana University Press.</w:t>
      </w:r>
      <w:bookmarkEnd w:id="10"/>
    </w:p>
    <w:p>
      <w:pPr>
        <w:pStyle w:val="References"/>
        <w:numPr>
          <w:ilvl w:val="0"/>
          <w:numId w:val="4"/>
        </w:numPr>
      </w:pPr>
      <w:bookmarkStart w:name="_Ref279752272" w:id="11"/>
      <w:r>
        <w:rPr>
          <w:rFonts w:cs="Arial Unicode MS" w:eastAsia="Arial Unicode MS"/>
          <w:rtl w:val="0"/>
        </w:rPr>
        <w:t xml:space="preserve">Ivan E. Sutherland. 1963. </w:t>
      </w:r>
      <w:r>
        <w:rPr>
          <w:rFonts w:cs="Arial Unicode MS" w:eastAsia="Arial Unicode MS"/>
          <w:i w:val="1"/>
          <w:iCs w:val="1"/>
          <w:rtl w:val="0"/>
          <w:lang w:val="en-US"/>
        </w:rPr>
        <w:t>Sketchpad, a Man-Machine Graphical Communication System</w:t>
      </w:r>
      <w:r>
        <w:rPr>
          <w:rFonts w:cs="Arial Unicode MS" w:eastAsia="Arial Unicode MS"/>
          <w:rtl w:val="0"/>
        </w:rPr>
        <w:t>. Ph.D Dissertation. Massachusetts Institute of Technology, Cambridge, MA.</w:t>
      </w:r>
      <w:bookmarkEnd w:id="11"/>
    </w:p>
    <w:p>
      <w:pPr>
        <w:pStyle w:val="References"/>
        <w:numPr>
          <w:ilvl w:val="0"/>
          <w:numId w:val="4"/>
        </w:numPr>
      </w:pPr>
      <w:bookmarkStart w:name="_Ref279752304" w:id="12"/>
      <w:r>
        <w:rPr>
          <w:rFonts w:cs="Arial Unicode MS" w:eastAsia="Arial Unicode MS"/>
          <w:rtl w:val="0"/>
        </w:rPr>
        <w:t xml:space="preserve">Langdon Winner. 1999. Do artifacts have politics? In </w:t>
      </w:r>
      <w:r>
        <w:rPr>
          <w:rFonts w:cs="Arial Unicode MS" w:eastAsia="Arial Unicode MS"/>
          <w:i w:val="1"/>
          <w:iCs w:val="1"/>
          <w:rtl w:val="0"/>
          <w:lang w:val="en-US"/>
        </w:rPr>
        <w:t>The Social Shaping of Technology</w:t>
      </w:r>
      <w:r>
        <w:rPr>
          <w:rFonts w:cs="Arial Unicode MS" w:eastAsia="Arial Unicode MS"/>
          <w:rtl w:val="0"/>
        </w:rPr>
        <w:t xml:space="preserve"> (2nd. ed.), Donald MacKenzie and Judy Wajcman (eds.). Open University Press, Buckingham, UK, 28-40.</w:t>
      </w:r>
      <w:bookmarkEnd w:id="12"/>
    </w:p>
    <w:sectPr>
      <w:headerReference w:type="default" r:id="rId6"/>
      <w:footerReference w:type="default" r:id="rId7"/>
      <w:type w:val="continuous"/>
      <w:pgSz w:w="12240" w:h="15840" w:orient="portrait"/>
      <w:pgMar w:top="1224" w:right="1080" w:bottom="1440" w:left="1080" w:header="720" w:footer="720"/>
      <w:cols w:space="432"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5"/>
  </w:abstractNum>
  <w:abstractNum w:abstractNumId="2">
    <w:multiLevelType w:val="hybridMultilevel"/>
    <w:styleLink w:val="Imported Style 5"/>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100" w:after="12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Author Name">
    <w:name w:val="Author Name"/>
    <w:next w:val="Author Nam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Affiliation">
    <w:name w:val="Author Affiliation"/>
    <w:next w:val="Author 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120" w:after="0" w:line="240" w:lineRule="auto"/>
      <w:ind w:left="0" w:right="0" w:firstLine="0"/>
      <w:jc w:val="both"/>
      <w:outlineLvl w:val="0"/>
    </w:pPr>
    <w:rPr>
      <w:rFonts w:ascii="Arial" w:cs="Arial" w:hAnsi="Arial" w:eastAsia="Arial"/>
      <w:b w:val="1"/>
      <w:bCs w:val="1"/>
      <w:i w:val="0"/>
      <w:iCs w:val="0"/>
      <w:caps w:val="1"/>
      <w:strike w:val="0"/>
      <w:dstrike w:val="0"/>
      <w:outline w:val="0"/>
      <w:color w:val="000000"/>
      <w:spacing w:val="0"/>
      <w:kern w:val="32"/>
      <w:position w:val="0"/>
      <w:sz w:val="18"/>
      <w:szCs w:val="18"/>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Copyright">
    <w:name w:val="Copyright"/>
    <w:next w:val="Copyrigh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120" w:after="0" w:line="240" w:lineRule="auto"/>
      <w:ind w:left="0" w:right="0" w:firstLine="0"/>
      <w:jc w:val="both"/>
      <w:outlineLvl w:val="1"/>
    </w:pPr>
    <w:rPr>
      <w:rFonts w:ascii="Arial" w:cs="Arial Unicode MS" w:hAnsi="Arial" w:eastAsia="Arial Unicode MS"/>
      <w:b w:val="1"/>
      <w:bCs w:val="1"/>
      <w:i w:val="0"/>
      <w:iCs w:val="0"/>
      <w:caps w:val="0"/>
      <w:smallCaps w:val="0"/>
      <w:strike w:val="0"/>
      <w:dstrike w:val="0"/>
      <w:outline w:val="0"/>
      <w:color w:val="000000"/>
      <w:spacing w:val="0"/>
      <w:kern w:val="32"/>
      <w:position w:val="0"/>
      <w:sz w:val="18"/>
      <w:szCs w:val="18"/>
      <w:u w:val="none" w:color="000000"/>
      <w:vertAlign w:val="baseline"/>
      <w:lang w:val="en-US"/>
    </w:rPr>
  </w:style>
  <w:style w:type="character" w:styleId="Hyperlink.0">
    <w:name w:val="Hyperlink.0"/>
    <w:basedOn w:val="Hyperlink"/>
    <w:next w:val="Hyperlink.0"/>
    <w:rPr>
      <w:color w:val="4173af"/>
      <w:sz w:val="20"/>
      <w:szCs w:val="20"/>
      <w:u w:val="single" w:color="4173af"/>
    </w:rPr>
  </w:style>
  <w:style w:type="paragraph" w:styleId="References">
    <w:name w:val="References"/>
    <w:next w:val="References"/>
    <w:pPr>
      <w:keepNext w:val="0"/>
      <w:keepLines w:val="0"/>
      <w:pageBreakBefore w:val="0"/>
      <w:widowControl w:val="1"/>
      <w:shd w:val="clear" w:color="auto" w:fill="auto"/>
      <w:suppressAutoHyphens w:val="0"/>
      <w:bidi w:val="0"/>
      <w:spacing w:before="0" w:after="8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5">
    <w:name w:val="Imported Style 5"/>
    <w:pPr>
      <w:numPr>
        <w:numId w:val="2"/>
      </w:numPr>
    </w:pPr>
  </w:style>
  <w:style w:type="character" w:styleId="Hyperlink.1">
    <w:name w:val="Hyperlink.1"/>
    <w:basedOn w:val="Hyperlink.0"/>
    <w:next w:val="Hyperlink.1"/>
    <w:rPr>
      <w:color w:val="000000"/>
      <w:u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ctr" defTabSz="457200" rtl="0" fontAlgn="auto" latinLnBrk="0" hangingPunct="0">
          <a:lnSpc>
            <a:spcPct val="100000"/>
          </a:lnSpc>
          <a:spcBef>
            <a:spcPts val="600"/>
          </a:spcBef>
          <a:spcAft>
            <a:spcPts val="0"/>
          </a:spcAft>
          <a:buClrTx/>
          <a:buSzTx/>
          <a:buFontTx/>
          <a:buNone/>
          <a:tabLst/>
          <a:defRPr b="1" baseline="0" cap="none" i="0" spc="0" strike="noStrike" sz="9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