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85" w:rsidRPr="006A27BC" w:rsidRDefault="00516A47">
      <w:pPr>
        <w:rPr>
          <w:rFonts w:ascii="Times New Roman" w:hAnsi="Times New Roman" w:cs="Times New Roman"/>
          <w:b/>
          <w:sz w:val="28"/>
          <w:szCs w:val="24"/>
        </w:rPr>
      </w:pPr>
      <w:r w:rsidRPr="006A27BC">
        <w:rPr>
          <w:rFonts w:ascii="Times New Roman" w:hAnsi="Times New Roman" w:cs="Times New Roman"/>
          <w:b/>
          <w:sz w:val="28"/>
          <w:szCs w:val="24"/>
        </w:rPr>
        <w:t>Сравнительная оценка систем электронного документооборота</w:t>
      </w:r>
    </w:p>
    <w:p w:rsidR="00516A47" w:rsidRPr="006A27BC" w:rsidRDefault="00516A47" w:rsidP="006A27BC">
      <w:pPr>
        <w:rPr>
          <w:rFonts w:ascii="Times New Roman" w:hAnsi="Times New Roman" w:cs="Times New Roman"/>
        </w:rPr>
      </w:pPr>
      <w:proofErr w:type="spellStart"/>
      <w:r w:rsidRPr="006A27BC">
        <w:rPr>
          <w:rFonts w:ascii="Times New Roman" w:hAnsi="Times New Roman" w:cs="Times New Roman"/>
        </w:rPr>
        <w:t>Directum</w:t>
      </w:r>
      <w:proofErr w:type="spellEnd"/>
      <w:r w:rsidRPr="006A27BC">
        <w:rPr>
          <w:rFonts w:ascii="Times New Roman" w:hAnsi="Times New Roman" w:cs="Times New Roman"/>
        </w:rPr>
        <w:t xml:space="preserve"> </w:t>
      </w:r>
      <w:proofErr w:type="gramStart"/>
      <w:r w:rsidRPr="006A27BC">
        <w:rPr>
          <w:rFonts w:ascii="Times New Roman" w:hAnsi="Times New Roman" w:cs="Times New Roman"/>
        </w:rPr>
        <w:t>Представляет</w:t>
      </w:r>
      <w:proofErr w:type="gramEnd"/>
      <w:r w:rsidRPr="006A27BC">
        <w:rPr>
          <w:rFonts w:ascii="Times New Roman" w:hAnsi="Times New Roman" w:cs="Times New Roman"/>
        </w:rPr>
        <w:t xml:space="preserve"> собой ЕСМ-систему с возможностями управления документооборотом, бизнес-процессами и </w:t>
      </w:r>
      <w:proofErr w:type="spellStart"/>
      <w:r w:rsidRPr="006A27BC">
        <w:rPr>
          <w:rFonts w:ascii="Times New Roman" w:hAnsi="Times New Roman" w:cs="Times New Roman"/>
        </w:rPr>
        <w:t>web</w:t>
      </w:r>
      <w:proofErr w:type="spellEnd"/>
      <w:r w:rsidRPr="006A27BC">
        <w:rPr>
          <w:rFonts w:ascii="Times New Roman" w:hAnsi="Times New Roman" w:cs="Times New Roman"/>
        </w:rPr>
        <w:t xml:space="preserve">-контентом. Система включает в себя функции ввода и преобразования документов, управления совместной работой, долговременного хранения документов и обеспечения их целостности, доставки информации. Базовый функционал предоставляется через </w:t>
      </w:r>
      <w:proofErr w:type="spellStart"/>
      <w:r w:rsidRPr="006A27BC">
        <w:rPr>
          <w:rFonts w:ascii="Times New Roman" w:hAnsi="Times New Roman" w:cs="Times New Roman"/>
        </w:rPr>
        <w:t>web</w:t>
      </w:r>
      <w:proofErr w:type="spellEnd"/>
      <w:r w:rsidRPr="006A27BC">
        <w:rPr>
          <w:rFonts w:ascii="Times New Roman" w:hAnsi="Times New Roman" w:cs="Times New Roman"/>
        </w:rPr>
        <w:t xml:space="preserve">-сервер, для среднего бизнеса с подключением от 50 до 200 пользователей разработано облачное решение. Заказчик может самостоятельно определить состав системы. Внедрять и развивать СЭД можно с помощью компании-разработчика или силами собственных IT-специалистов. Интерфейсы всех режимов работы унифицированы, правила обработки документов и заданий настраиваются под конкретные требования. Стоимость внедрения зависит от вида лицензии, например, базовая серверная лицензия в варианте </w:t>
      </w:r>
      <w:proofErr w:type="spellStart"/>
      <w:r w:rsidRPr="006A27BC">
        <w:rPr>
          <w:rFonts w:ascii="Times New Roman" w:hAnsi="Times New Roman" w:cs="Times New Roman"/>
        </w:rPr>
        <w:t>Enterprise</w:t>
      </w:r>
      <w:proofErr w:type="spellEnd"/>
      <w:r w:rsidRPr="006A27BC">
        <w:rPr>
          <w:rFonts w:ascii="Times New Roman" w:hAnsi="Times New Roman" w:cs="Times New Roman"/>
        </w:rPr>
        <w:t xml:space="preserve"> — 33 900 рублей, базовая клиентская лицензия — 13 400 рублей, в варианте </w:t>
      </w:r>
      <w:proofErr w:type="spellStart"/>
      <w:r w:rsidRPr="006A27BC">
        <w:rPr>
          <w:rFonts w:ascii="Times New Roman" w:hAnsi="Times New Roman" w:cs="Times New Roman"/>
        </w:rPr>
        <w:t>Standard</w:t>
      </w:r>
      <w:proofErr w:type="spellEnd"/>
      <w:r w:rsidRPr="006A27BC">
        <w:rPr>
          <w:rFonts w:ascii="Times New Roman" w:hAnsi="Times New Roman" w:cs="Times New Roman"/>
        </w:rPr>
        <w:t xml:space="preserve"> (до 100 пользовательских лицензий) — 19 300 рублей, базовая клиентская лицензия — 7800 рублей [8].</w:t>
      </w:r>
    </w:p>
    <w:p w:rsidR="00516A47" w:rsidRPr="006A27BC" w:rsidRDefault="006A27BC" w:rsidP="006A27BC">
      <w:pPr>
        <w:rPr>
          <w:rFonts w:ascii="Times New Roman" w:hAnsi="Times New Roman" w:cs="Times New Roman"/>
        </w:rPr>
      </w:pPr>
      <w:r w:rsidRPr="006A27BC">
        <w:rPr>
          <w:rFonts w:ascii="Times New Roman" w:hAnsi="Times New Roman" w:cs="Times New Roman"/>
        </w:rPr>
        <w:t xml:space="preserve"> </w:t>
      </w:r>
      <w:r w:rsidR="00516A47" w:rsidRPr="006A27BC">
        <w:rPr>
          <w:rFonts w:ascii="Times New Roman" w:hAnsi="Times New Roman" w:cs="Times New Roman"/>
        </w:rPr>
        <w:t xml:space="preserve">«ДЕЛО» СЭД, включающая полный набор необходимых для управления делопроизводством и документооборотом инструментов: регистрация корреспонденции, перевод документов в электронный вид, быстрый поиск и надежное хранение, контроль исполнения поручений, построение маршрутов под бизнес-процессы. В зависимости от потребностей компании можно организовать полностью электронный документооборот или его смешанный бумажно-электронный вариант. Программа адаптируется под особенности работы любой организации, при необходимости она масштабируется практически без ограничений. «ДЕЛО» является коробочным продуктом и может быть быстро и легко установлена как собственными силами компании, так и с помощью специалистов разработчика. Интерфейс программы достаточно прост, в нем содержится максимум удобных инструментов для облегчения работы пользователя. Цена СЭД «ДЕЛО» зависит от количества рабочих мест. Стоимость одной лицензии при автоматизации 1–5 рабочих мест для СУБД </w:t>
      </w:r>
      <w:proofErr w:type="spellStart"/>
      <w:r w:rsidR="00516A47" w:rsidRPr="006A27BC">
        <w:rPr>
          <w:rFonts w:ascii="Times New Roman" w:hAnsi="Times New Roman" w:cs="Times New Roman"/>
        </w:rPr>
        <w:t>Oracle</w:t>
      </w:r>
      <w:proofErr w:type="spellEnd"/>
      <w:r w:rsidR="00516A47" w:rsidRPr="006A27BC">
        <w:rPr>
          <w:rFonts w:ascii="Times New Roman" w:hAnsi="Times New Roman" w:cs="Times New Roman"/>
        </w:rPr>
        <w:t xml:space="preserve"> составит 13 400 рублей, для СУБД </w:t>
      </w:r>
      <w:proofErr w:type="spellStart"/>
      <w:r w:rsidR="00516A47" w:rsidRPr="006A27BC">
        <w:rPr>
          <w:rFonts w:ascii="Times New Roman" w:hAnsi="Times New Roman" w:cs="Times New Roman"/>
        </w:rPr>
        <w:t>Microsoft</w:t>
      </w:r>
      <w:proofErr w:type="spellEnd"/>
      <w:r w:rsidR="00516A47" w:rsidRPr="006A27BC">
        <w:rPr>
          <w:rFonts w:ascii="Times New Roman" w:hAnsi="Times New Roman" w:cs="Times New Roman"/>
        </w:rPr>
        <w:t xml:space="preserve"> SQL </w:t>
      </w:r>
      <w:proofErr w:type="spellStart"/>
      <w:r w:rsidR="00516A47" w:rsidRPr="006A27BC">
        <w:rPr>
          <w:rFonts w:ascii="Times New Roman" w:hAnsi="Times New Roman" w:cs="Times New Roman"/>
        </w:rPr>
        <w:t>Server</w:t>
      </w:r>
      <w:proofErr w:type="spellEnd"/>
      <w:r w:rsidR="00516A47" w:rsidRPr="006A27BC">
        <w:rPr>
          <w:rFonts w:ascii="Times New Roman" w:hAnsi="Times New Roman" w:cs="Times New Roman"/>
        </w:rPr>
        <w:t xml:space="preserve"> — 9500 рублей[10].</w:t>
      </w:r>
    </w:p>
    <w:p w:rsidR="00516A47" w:rsidRPr="006A27BC" w:rsidRDefault="00516A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516A47" w:rsidRPr="006A27BC" w:rsidTr="006A27BC">
        <w:tc>
          <w:tcPr>
            <w:tcW w:w="2830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19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16A47">
              <w:rPr>
                <w:rFonts w:ascii="Times New Roman" w:eastAsia="Times New Roman" w:hAnsi="Times New Roman" w:cs="Times New Roman"/>
                <w:color w:val="000000"/>
                <w:szCs w:val="24"/>
                <w:shd w:val="clear" w:color="auto" w:fill="EFEFEF"/>
                <w:lang w:eastAsia="ru-RU"/>
              </w:rPr>
              <w:t>Directum</w:t>
            </w:r>
            <w:proofErr w:type="spellEnd"/>
          </w:p>
        </w:tc>
        <w:tc>
          <w:tcPr>
            <w:tcW w:w="3396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516A47">
              <w:rPr>
                <w:rFonts w:ascii="Times New Roman" w:eastAsia="Times New Roman" w:hAnsi="Times New Roman" w:cs="Times New Roman"/>
                <w:color w:val="000000"/>
                <w:szCs w:val="24"/>
                <w:shd w:val="clear" w:color="auto" w:fill="EFEFEF"/>
                <w:lang w:eastAsia="ru-RU"/>
              </w:rPr>
              <w:t>«ДЕЛО»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Серверная ОС</w:t>
            </w:r>
          </w:p>
        </w:tc>
        <w:tc>
          <w:tcPr>
            <w:tcW w:w="3119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Windows Server (2000, 2003, 2008)</w:t>
            </w:r>
          </w:p>
        </w:tc>
        <w:tc>
          <w:tcPr>
            <w:tcW w:w="3396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Windows Server (2000, 2003, 2008)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, UNIX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Клиентская ОС</w:t>
            </w:r>
          </w:p>
        </w:tc>
        <w:tc>
          <w:tcPr>
            <w:tcW w:w="3119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Windows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 xml:space="preserve"> (XP, Vista, 7)</w:t>
            </w:r>
          </w:p>
        </w:tc>
        <w:tc>
          <w:tcPr>
            <w:tcW w:w="3396" w:type="dxa"/>
          </w:tcPr>
          <w:p w:rsidR="00516A47" w:rsidRPr="006A27BC" w:rsidRDefault="00516A47" w:rsidP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Windows (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2000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, Vista, 7)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516A47" w:rsidP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СУБД (используемая платформа)</w:t>
            </w:r>
          </w:p>
        </w:tc>
        <w:tc>
          <w:tcPr>
            <w:tcW w:w="3119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MS SQL Server</w:t>
            </w:r>
          </w:p>
        </w:tc>
        <w:tc>
          <w:tcPr>
            <w:tcW w:w="3396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MS SQL Server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, Oracle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Тип клиентского места</w:t>
            </w:r>
          </w:p>
        </w:tc>
        <w:tc>
          <w:tcPr>
            <w:tcW w:w="3119" w:type="dxa"/>
          </w:tcPr>
          <w:p w:rsidR="00516A47" w:rsidRPr="006A27BC" w:rsidRDefault="00516A47" w:rsidP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 xml:space="preserve">Толстый клиент 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web</w:t>
            </w:r>
            <w:r w:rsidRPr="006A27BC">
              <w:rPr>
                <w:rFonts w:ascii="Times New Roman" w:hAnsi="Times New Roman" w:cs="Times New Roman"/>
                <w:szCs w:val="24"/>
              </w:rPr>
              <w:t>-клиент</w:t>
            </w:r>
          </w:p>
        </w:tc>
        <w:tc>
          <w:tcPr>
            <w:tcW w:w="3396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 xml:space="preserve">Толстый клиент </w:t>
            </w: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web</w:t>
            </w:r>
            <w:r w:rsidRPr="006A27BC">
              <w:rPr>
                <w:rFonts w:ascii="Times New Roman" w:hAnsi="Times New Roman" w:cs="Times New Roman"/>
                <w:szCs w:val="24"/>
              </w:rPr>
              <w:t>-клиент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516A47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Средства работы на мобильных устройствах</w:t>
            </w:r>
          </w:p>
        </w:tc>
        <w:tc>
          <w:tcPr>
            <w:tcW w:w="3119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3396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Поддержка нескольких БД в рамках распределенных холдингов</w:t>
            </w:r>
          </w:p>
        </w:tc>
        <w:tc>
          <w:tcPr>
            <w:tcW w:w="3119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3396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516A47" w:rsidRPr="006A27BC" w:rsidTr="006A27BC">
        <w:tc>
          <w:tcPr>
            <w:tcW w:w="2830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Возможности интеграции</w:t>
            </w:r>
          </w:p>
        </w:tc>
        <w:tc>
          <w:tcPr>
            <w:tcW w:w="3119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 xml:space="preserve">1C, MS Office, OpenOffice, MS SharePoint, Active Directory </w:t>
            </w:r>
          </w:p>
        </w:tc>
        <w:tc>
          <w:tcPr>
            <w:tcW w:w="3396" w:type="dxa"/>
          </w:tcPr>
          <w:p w:rsidR="00516A47" w:rsidRPr="006A27BC" w:rsidRDefault="00F6413A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1C, MS Office</w:t>
            </w:r>
          </w:p>
        </w:tc>
      </w:tr>
      <w:tr w:rsidR="00F6413A" w:rsidRPr="006A27BC" w:rsidTr="006A27BC">
        <w:tc>
          <w:tcPr>
            <w:tcW w:w="2830" w:type="dxa"/>
          </w:tcPr>
          <w:p w:rsidR="00F6413A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  <w:lang w:val="en-US"/>
              </w:rPr>
              <w:t>API</w:t>
            </w:r>
          </w:p>
        </w:tc>
        <w:tc>
          <w:tcPr>
            <w:tcW w:w="3119" w:type="dxa"/>
          </w:tcPr>
          <w:p w:rsidR="00F6413A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  <w:tc>
          <w:tcPr>
            <w:tcW w:w="3396" w:type="dxa"/>
          </w:tcPr>
          <w:p w:rsidR="00F6413A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есть</w:t>
            </w:r>
          </w:p>
        </w:tc>
      </w:tr>
      <w:tr w:rsidR="00F6413A" w:rsidRPr="006A27BC" w:rsidTr="006A27BC">
        <w:tc>
          <w:tcPr>
            <w:tcW w:w="2830" w:type="dxa"/>
          </w:tcPr>
          <w:p w:rsidR="00F6413A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 xml:space="preserve">Демоверсия, </w:t>
            </w:r>
            <w:proofErr w:type="spellStart"/>
            <w:r w:rsidRPr="006A27BC">
              <w:rPr>
                <w:rFonts w:ascii="Times New Roman" w:hAnsi="Times New Roman" w:cs="Times New Roman"/>
                <w:szCs w:val="24"/>
              </w:rPr>
              <w:t>демодоступ</w:t>
            </w:r>
            <w:proofErr w:type="spellEnd"/>
          </w:p>
        </w:tc>
        <w:tc>
          <w:tcPr>
            <w:tcW w:w="3119" w:type="dxa"/>
          </w:tcPr>
          <w:p w:rsidR="00F6413A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3396" w:type="dxa"/>
          </w:tcPr>
          <w:p w:rsidR="00F6413A" w:rsidRPr="006A27BC" w:rsidRDefault="00F6413A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демоверсия</w:t>
            </w:r>
          </w:p>
        </w:tc>
      </w:tr>
      <w:tr w:rsidR="00F6413A" w:rsidRPr="006A27BC" w:rsidTr="006A27BC">
        <w:tc>
          <w:tcPr>
            <w:tcW w:w="2830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Коробочное решение / проектное решение</w:t>
            </w:r>
          </w:p>
        </w:tc>
        <w:tc>
          <w:tcPr>
            <w:tcW w:w="3119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проект</w:t>
            </w:r>
          </w:p>
        </w:tc>
        <w:tc>
          <w:tcPr>
            <w:tcW w:w="3396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проект</w:t>
            </w:r>
          </w:p>
        </w:tc>
      </w:tr>
      <w:tr w:rsidR="00F6413A" w:rsidRPr="006A27BC" w:rsidTr="006A27BC">
        <w:tc>
          <w:tcPr>
            <w:tcW w:w="2830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Политика лицензирования</w:t>
            </w:r>
          </w:p>
        </w:tc>
        <w:tc>
          <w:tcPr>
            <w:tcW w:w="3119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конкурентная</w:t>
            </w:r>
          </w:p>
        </w:tc>
        <w:tc>
          <w:tcPr>
            <w:tcW w:w="3396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конкурентная</w:t>
            </w:r>
          </w:p>
        </w:tc>
      </w:tr>
      <w:tr w:rsidR="00F6413A" w:rsidRPr="006A27BC" w:rsidTr="006A27BC">
        <w:tc>
          <w:tcPr>
            <w:tcW w:w="2830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Стоимость лицензий на 20-100 пользователей без учета стоимости СУБД</w:t>
            </w:r>
          </w:p>
        </w:tc>
        <w:tc>
          <w:tcPr>
            <w:tcW w:w="3119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112 100 / 472 000</w:t>
            </w:r>
          </w:p>
        </w:tc>
        <w:tc>
          <w:tcPr>
            <w:tcW w:w="3396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182 500 / 837 500</w:t>
            </w:r>
          </w:p>
        </w:tc>
      </w:tr>
      <w:tr w:rsidR="00F6413A" w:rsidRPr="006A27BC" w:rsidTr="006A27BC">
        <w:tc>
          <w:tcPr>
            <w:tcW w:w="2830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Сертификация ФСТЭК</w:t>
            </w:r>
          </w:p>
        </w:tc>
        <w:tc>
          <w:tcPr>
            <w:tcW w:w="3119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3396" w:type="dxa"/>
          </w:tcPr>
          <w:p w:rsidR="00F6413A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Делопроизводство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Общий документооборот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Управление договорной деятельностью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-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Электронный архив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Работа с обращениями граждан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lastRenderedPageBreak/>
              <w:t>Управление проектами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-</w:t>
            </w:r>
          </w:p>
        </w:tc>
      </w:tr>
      <w:tr w:rsidR="001711B0" w:rsidRPr="006A27BC" w:rsidTr="006A27BC">
        <w:tc>
          <w:tcPr>
            <w:tcW w:w="2830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Работа с документацией СМК</w:t>
            </w:r>
          </w:p>
        </w:tc>
        <w:tc>
          <w:tcPr>
            <w:tcW w:w="3119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+</w:t>
            </w:r>
          </w:p>
        </w:tc>
        <w:tc>
          <w:tcPr>
            <w:tcW w:w="3396" w:type="dxa"/>
          </w:tcPr>
          <w:p w:rsidR="001711B0" w:rsidRPr="006A27BC" w:rsidRDefault="001711B0">
            <w:pPr>
              <w:rPr>
                <w:rFonts w:ascii="Times New Roman" w:hAnsi="Times New Roman" w:cs="Times New Roman"/>
                <w:szCs w:val="24"/>
              </w:rPr>
            </w:pPr>
            <w:r w:rsidRPr="006A27BC">
              <w:rPr>
                <w:rFonts w:ascii="Times New Roman" w:hAnsi="Times New Roman" w:cs="Times New Roman"/>
                <w:szCs w:val="24"/>
              </w:rPr>
              <w:t>*</w:t>
            </w:r>
          </w:p>
        </w:tc>
      </w:tr>
    </w:tbl>
    <w:p w:rsidR="006A27BC" w:rsidRDefault="006A27BC">
      <w:pPr>
        <w:rPr>
          <w:rFonts w:ascii="Times New Roman" w:hAnsi="Times New Roman" w:cs="Times New Roman"/>
          <w:sz w:val="24"/>
          <w:szCs w:val="24"/>
        </w:rPr>
      </w:pPr>
    </w:p>
    <w:p w:rsidR="00516A47" w:rsidRPr="006A27BC" w:rsidRDefault="006A2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1634" cy="516367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42" cy="51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37CD83" wp14:editId="18D3E48C">
            <wp:extent cx="3306445" cy="7103745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1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BC" w:rsidRPr="006A27BC" w:rsidRDefault="006A27BC">
      <w:pPr>
        <w:rPr>
          <w:rFonts w:ascii="Times New Roman" w:hAnsi="Times New Roman" w:cs="Times New Roman"/>
          <w:sz w:val="24"/>
          <w:szCs w:val="24"/>
        </w:rPr>
      </w:pPr>
    </w:p>
    <w:p w:rsidR="001711B0" w:rsidRPr="006A27BC" w:rsidRDefault="006A2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73286" cy="6817659"/>
            <wp:effectExtent l="0" t="0" r="825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65" cy="68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8D6908" wp14:editId="0D03265C">
            <wp:extent cx="3331845" cy="62185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2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B0" w:rsidRPr="006A27BC" w:rsidRDefault="001711B0">
      <w:pPr>
        <w:rPr>
          <w:rFonts w:ascii="Times New Roman" w:hAnsi="Times New Roman" w:cs="Times New Roman"/>
          <w:sz w:val="24"/>
          <w:szCs w:val="24"/>
        </w:rPr>
      </w:pPr>
    </w:p>
    <w:p w:rsidR="001711B0" w:rsidRPr="006A27BC" w:rsidRDefault="006A2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91319" cy="419548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89" cy="419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6254" cy="4773706"/>
            <wp:effectExtent l="0" t="0" r="444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25" cy="477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B0" w:rsidRPr="006A27BC" w:rsidRDefault="00F3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07715" cy="2379980"/>
            <wp:effectExtent l="0" t="0" r="698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2955" cy="4800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B0" w:rsidRPr="006A27BC" w:rsidRDefault="00F30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1840" cy="32004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1B0" w:rsidRPr="006A27BC" w:rsidSect="006A2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47"/>
    <w:rsid w:val="001711B0"/>
    <w:rsid w:val="002C6085"/>
    <w:rsid w:val="00516A47"/>
    <w:rsid w:val="006A27BC"/>
    <w:rsid w:val="00F30176"/>
    <w:rsid w:val="00F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4AB72-53A8-4869-B4E8-9644AC16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16A47"/>
    <w:rPr>
      <w:color w:val="0000FF"/>
      <w:u w:val="single"/>
    </w:rPr>
  </w:style>
  <w:style w:type="table" w:styleId="a5">
    <w:name w:val="Table Grid"/>
    <w:basedOn w:val="a1"/>
    <w:uiPriority w:val="39"/>
    <w:rsid w:val="0051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2</cp:revision>
  <dcterms:created xsi:type="dcterms:W3CDTF">2019-05-21T21:46:00Z</dcterms:created>
  <dcterms:modified xsi:type="dcterms:W3CDTF">2019-05-21T22:21:00Z</dcterms:modified>
</cp:coreProperties>
</file>