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ProtoPos — Change Report</w:t>
      </w:r>
    </w:p>
    <w:p>
      <w:r>
        <w:t>This document summarises all changes made to the ProtoPos PRO-seq analysis pipeline during the February 2026 review and refactoring session.</w:t>
      </w:r>
    </w:p>
    <w:p>
      <w:pPr>
        <w:pStyle w:val="Heading2"/>
      </w:pPr>
      <w:r>
        <w:t>1. Bug Fixes</w:t>
      </w:r>
    </w:p>
    <w:p>
      <w:pPr>
        <w:pStyle w:val="Heading3"/>
      </w:pPr>
      <w:r>
        <w:t>1.1  Pol II position logic was swapped (Protopos.py)</w:t>
      </w:r>
    </w:p>
    <w:p>
      <w:r>
        <w:rPr>
          <w:b/>
        </w:rPr>
        <w:t xml:space="preserve">Severity: </w:t>
      </w:r>
      <w:r>
        <w:t>High — all Pol II positions were shifted by the full read length.</w:t>
      </w:r>
    </w:p>
    <w:p>
      <w:r>
        <w:t>The original code used the 3′ end of the aligned read (reference_end – 1 for forward reads, reference_start for reverse reads). For standard PRO-seq, the Pol II active site corresponds to the 5′ end of the sequencing read (= 3′ end of the nascent RNA). The logic was swapped:</w:t>
      </w:r>
    </w:p>
    <w:p>
      <w:pPr>
        <w:pStyle w:val="ListBullet"/>
      </w:pPr>
      <w:r>
        <w:t>is_reverse → reference_end – 1  (5′ of read in seq orientation)</w:t>
      </w:r>
    </w:p>
    <w:p>
      <w:pPr>
        <w:pStyle w:val="ListBullet"/>
      </w:pPr>
      <w:r>
        <w:t>not reverse → reference_start  (5′ of read in seq orientation)</w:t>
      </w:r>
    </w:p>
    <w:p>
      <w:r>
        <w:t>The function was renamed from three_prime_position() to pol2_position() to clarify its biological meaning.</w:t>
      </w:r>
    </w:p>
    <w:p>
      <w:pPr>
        <w:pStyle w:val="Heading3"/>
      </w:pPr>
      <w:r>
        <w:t>1.2  No UMI deduplication (proseqanalysis.sh)</w:t>
      </w:r>
    </w:p>
    <w:p>
      <w:r>
        <w:rPr>
          <w:b/>
        </w:rPr>
        <w:t xml:space="preserve">Severity: </w:t>
      </w:r>
      <w:r>
        <w:t>High — PCR duplicates inflated the signal.</w:t>
      </w:r>
    </w:p>
    <w:p>
      <w:r>
        <w:t>Modern PRO-seq protocols (Mahat et al., 2016) include UMIs. The pipeline was missing umi_tools extract (before trimming) and umi_tools dedup (after alignment). Both steps were added with configurable UMI_PATTERN and protocol-verification notes.</w:t>
      </w:r>
    </w:p>
    <w:p>
      <w:pPr>
        <w:pStyle w:val="Heading3"/>
      </w:pPr>
      <w:r>
        <w:t>1.3  No adapter sequence specified in fastp</w:t>
      </w:r>
    </w:p>
    <w:p>
      <w:r>
        <w:rPr>
          <w:b/>
        </w:rPr>
        <w:t xml:space="preserve">Severity: </w:t>
      </w:r>
      <w:r>
        <w:t>Low–medium.</w:t>
      </w:r>
    </w:p>
    <w:p>
      <w:r>
        <w:t>fastp was relying on auto-detection. The standard PRO-seq 3′ RNA adapter (TGGAATTCTCGGGTGCCAAGG, Illumina TruSeq small RNA) is now explicitly specified via --adapter_sequence.</w:t>
      </w:r>
    </w:p>
    <w:p>
      <w:pPr>
        <w:pStyle w:val="Heading3"/>
      </w:pPr>
      <w:r>
        <w:t>1.4  Unnecessary BAM → SAM conversion</w:t>
      </w:r>
    </w:p>
    <w:p>
      <w:r>
        <w:rPr>
          <w:b/>
        </w:rPr>
        <w:t xml:space="preserve">Severity: </w:t>
      </w:r>
      <w:r>
        <w:t>Low (wasteful, not incorrect).</w:t>
      </w:r>
    </w:p>
    <w:p>
      <w:r>
        <w:t>STAR output BAM was being converted to SAM for Protopos.py. Since pysam reads BAM natively, this step was removed entirely. All I/O now uses BAM format.</w:t>
      </w:r>
    </w:p>
    <w:p>
      <w:pPr>
        <w:pStyle w:val="Heading2"/>
      </w:pPr>
      <w:r>
        <w:t>2. Aligner Change: STAR → Bowtie2</w:t>
      </w:r>
    </w:p>
    <w:p>
      <w:r>
        <w:t>PRO-seq captures nascent unspliced RNA. A splice-aware aligner (STAR) is unnecessary and can introduce artefacts by trying to split reads across introns. The pipeline was switched to bowtie2 (--very-sensitive, single-end, splice-unaware), which is more appropriate for nascent RNA data and requires far less RAM (~200 MB for chr22 vs ~32 GB for STAR on the full genome).</w:t>
      </w:r>
    </w:p>
    <w:p>
      <w:pPr>
        <w:pStyle w:val="Heading2"/>
      </w:pPr>
      <w:r>
        <w:t>3. Project Structure Overhaul</w:t>
      </w:r>
    </w:p>
    <w:p>
      <w:pPr>
        <w:pStyle w:val="Heading3"/>
      </w:pPr>
      <w:r>
        <w:t>3.1  CLAUDE.md</w:t>
      </w:r>
    </w:p>
    <w:p>
      <w:r>
        <w:t>A comprehensive CLAUDE.md was written following the POLYARIS template. It covers: project overview, directory structure, how to run, environment expectations, coding style (Google-style docstrings, full-stop comments, title/subtitle markers), biological correctness rules (Pol II position, strandedness, coordinate systems, UMI detection, aligner choice), the author header block convention, and git policy.</w:t>
      </w:r>
    </w:p>
    <w:p>
      <w:pPr>
        <w:pStyle w:val="Heading3"/>
      </w:pPr>
      <w:r>
        <w:t>3.2  .gitignore</w:t>
      </w:r>
    </w:p>
    <w:p>
      <w:r>
        <w:t>Rewritten following the POLYARIS pattern: each data directory has its contents ignored but its structure preserved via .gitkeep files. Large bioinformatics formats (*.bam, *.bai, *.bigWig, *.fa, *.gtf, etc.) are globally ignored.</w:t>
      </w:r>
    </w:p>
    <w:p>
      <w:pPr>
        <w:pStyle w:val="Heading3"/>
      </w:pPr>
      <w:r>
        <w:t>3.3  .gitkeep files</w:t>
      </w:r>
    </w:p>
    <w:p>
      <w:r>
        <w:t>Added to all output directories: data/, fastq/, umi/, fastp/, qc/, alignments/, bowtie2_index/, results/, scripts/.</w:t>
      </w:r>
    </w:p>
    <w:p>
      <w:pPr>
        <w:pStyle w:val="Heading3"/>
      </w:pPr>
      <w:r>
        <w:t>3.4  Author header blocks</w:t>
      </w:r>
    </w:p>
    <w:p>
      <w:r>
        <w:t>All Python files now include the POLYARIS-style author header block with authors, affiliation, script description, dependencies, and usage.</w:t>
      </w:r>
    </w:p>
    <w:p>
      <w:pPr>
        <w:pStyle w:val="Heading2"/>
      </w:pPr>
      <w:r>
        <w:t>4. Pipeline Additions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 Download</w:t>
            </w:r>
          </w:p>
        </w:tc>
        <w:tc>
          <w:tcPr>
            <w:tcW w:type="dxa" w:w="2880"/>
          </w:tcPr>
          <w:p>
            <w:r>
              <w:t>fasterq-dump</w:t>
            </w:r>
          </w:p>
        </w:tc>
        <w:tc>
          <w:tcPr>
            <w:tcW w:type="dxa" w:w="2880"/>
          </w:tcPr>
          <w:p>
            <w:r>
              <w:t>From SRA, single-end or paired-end.</w:t>
            </w:r>
          </w:p>
        </w:tc>
      </w:tr>
      <w:tr>
        <w:tc>
          <w:tcPr>
            <w:tcW w:type="dxa" w:w="2880"/>
          </w:tcPr>
          <w:p>
            <w:r>
              <w:t>2. UMI extraction</w:t>
            </w:r>
          </w:p>
        </w:tc>
        <w:tc>
          <w:tcPr>
            <w:tcW w:type="dxa" w:w="2880"/>
          </w:tcPr>
          <w:p>
            <w:r>
              <w:t>umi_tools extract</w:t>
            </w:r>
          </w:p>
        </w:tc>
        <w:tc>
          <w:tcPr>
            <w:tcW w:type="dxa" w:w="2880"/>
          </w:tcPr>
          <w:p>
            <w:r>
              <w:t>Dual-UMI pattern NNNNNNX for qPRO-seq.</w:t>
            </w:r>
          </w:p>
        </w:tc>
      </w:tr>
      <w:tr>
        <w:tc>
          <w:tcPr>
            <w:tcW w:type="dxa" w:w="2880"/>
          </w:tcPr>
          <w:p>
            <w:r>
              <w:t>3. Adapter trimming</w:t>
            </w:r>
          </w:p>
        </w:tc>
        <w:tc>
          <w:tcPr>
            <w:tcW w:type="dxa" w:w="2880"/>
          </w:tcPr>
          <w:p>
            <w:r>
              <w:t>fastp</w:t>
            </w:r>
          </w:p>
        </w:tc>
        <w:tc>
          <w:tcPr>
            <w:tcW w:type="dxa" w:w="2880"/>
          </w:tcPr>
          <w:p>
            <w:r>
              <w:t>Explicit adapter + spacer-base trim.</w:t>
            </w:r>
          </w:p>
        </w:tc>
      </w:tr>
      <w:tr>
        <w:tc>
          <w:tcPr>
            <w:tcW w:type="dxa" w:w="2880"/>
          </w:tcPr>
          <w:p>
            <w:r>
              <w:t>4. Alignment</w:t>
            </w:r>
          </w:p>
        </w:tc>
        <w:tc>
          <w:tcPr>
            <w:tcW w:type="dxa" w:w="2880"/>
          </w:tcPr>
          <w:p>
            <w:r>
              <w:t>bowtie2</w:t>
            </w:r>
          </w:p>
        </w:tc>
        <w:tc>
          <w:tcPr>
            <w:tcW w:type="dxa" w:w="2880"/>
          </w:tcPr>
          <w:p>
            <w:r>
              <w:t>Splice-unaware, --very-sensitive, MAPQ≥10.</w:t>
            </w:r>
          </w:p>
        </w:tc>
      </w:tr>
      <w:tr>
        <w:tc>
          <w:tcPr>
            <w:tcW w:type="dxa" w:w="2880"/>
          </w:tcPr>
          <w:p>
            <w:r>
              <w:t>5. Deduplication</w:t>
            </w:r>
          </w:p>
        </w:tc>
        <w:tc>
          <w:tcPr>
            <w:tcW w:type="dxa" w:w="2880"/>
          </w:tcPr>
          <w:p>
            <w:r>
              <w:t>umi_tools dedup</w:t>
            </w:r>
          </w:p>
        </w:tc>
        <w:tc>
          <w:tcPr>
            <w:tcW w:type="dxa" w:w="2880"/>
          </w:tcPr>
          <w:p>
            <w:r>
              <w:t>UMI-based; removes PCR duplicates.</w:t>
            </w:r>
          </w:p>
        </w:tc>
      </w:tr>
      <w:tr>
        <w:tc>
          <w:tcPr>
            <w:tcW w:type="dxa" w:w="2880"/>
          </w:tcPr>
          <w:p>
            <w:r>
              <w:t>6. Pol II extraction</w:t>
            </w:r>
          </w:p>
        </w:tc>
        <w:tc>
          <w:tcPr>
            <w:tcW w:type="dxa" w:w="2880"/>
          </w:tcPr>
          <w:p>
            <w:r>
              <w:t>Protopos.py</w:t>
            </w:r>
          </w:p>
        </w:tc>
        <w:tc>
          <w:tcPr>
            <w:tcW w:type="dxa" w:w="2880"/>
          </w:tcPr>
          <w:p>
            <w:r>
              <w:t>5′ end of read = Pol II position.</w:t>
            </w:r>
          </w:p>
        </w:tc>
      </w:tr>
      <w:tr>
        <w:tc>
          <w:tcPr>
            <w:tcW w:type="dxa" w:w="2880"/>
          </w:tcPr>
          <w:p>
            <w:r>
              <w:t>7. Metagene figure</w:t>
            </w:r>
          </w:p>
        </w:tc>
        <w:tc>
          <w:tcPr>
            <w:tcW w:type="dxa" w:w="2880"/>
          </w:tcPr>
          <w:p>
            <w:r>
              <w:t>steady_state_figure.py</w:t>
            </w:r>
          </w:p>
        </w:tc>
        <w:tc>
          <w:tcPr>
            <w:tcW w:type="dxa" w:w="2880"/>
          </w:tcPr>
          <w:p>
            <w:r>
              <w:t>TSS-anchored, gene-body normalised.</w:t>
            </w:r>
          </w:p>
        </w:tc>
      </w:tr>
    </w:tbl>
    <w:p>
      <w:pPr>
        <w:pStyle w:val="Heading2"/>
      </w:pPr>
      <w:r>
        <w:t>5. Validation on Real Data</w:t>
      </w:r>
    </w:p>
    <w:p>
      <w:pPr>
        <w:pStyle w:val="Heading3"/>
      </w:pPr>
      <w:r>
        <w:t>5.1  Non-UMI dataset (GSE181161, SRR15304569)</w:t>
      </w:r>
    </w:p>
    <w:p>
      <w:r>
        <w:t>500K reads from K562 PRO-seq (no UMIs, confirmed by G-bias at position 1). Aligned to chr22 with bowtie2. Position-based dedup removed 6.7% duplicates. Pol II positions verified: forward reads use reference_start, reverse reads use reference_end – 1.</w:t>
      </w:r>
    </w:p>
    <w:p>
      <w:pPr>
        <w:pStyle w:val="Heading3"/>
      </w:pPr>
      <w:r>
        <w:t>5.2  UMI dataset (GSE154746, SRR11793827 — qPRO-seq)</w:t>
      </w:r>
    </w:p>
    <w:p>
      <w:r>
        <w:t>1M reads from qPRO-seq K562 (dual UMIs confirmed by uniform base composition at positions 1–6 of both R1 and R2). Pipeline summary: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Raw reads (R1)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  <w:tr>
        <w:tc>
          <w:tcPr>
            <w:tcW w:type="dxa" w:w="4320"/>
          </w:tcPr>
          <w:p>
            <w:r>
              <w:t>After UMI extraction</w:t>
            </w:r>
          </w:p>
        </w:tc>
        <w:tc>
          <w:tcPr>
            <w:tcW w:type="dxa" w:w="4320"/>
          </w:tcPr>
          <w:p>
            <w:r>
              <w:t>1,000,000 (6+6 nt dual UMI → read name)</w:t>
            </w:r>
          </w:p>
        </w:tc>
      </w:tr>
      <w:tr>
        <w:tc>
          <w:tcPr>
            <w:tcW w:type="dxa" w:w="4320"/>
          </w:tcPr>
          <w:p>
            <w:r>
              <w:t>After fastp trimming</w:t>
            </w:r>
          </w:p>
        </w:tc>
        <w:tc>
          <w:tcPr>
            <w:tcW w:type="dxa" w:w="4320"/>
          </w:tcPr>
          <w:p>
            <w:r>
              <w:t>886,165 (spacer base + adapter removed)</w:t>
            </w:r>
          </w:p>
        </w:tc>
      </w:tr>
      <w:tr>
        <w:tc>
          <w:tcPr>
            <w:tcW w:type="dxa" w:w="4320"/>
          </w:tcPr>
          <w:p>
            <w:r>
              <w:t>Mapped to chr22 (MAPQ≥10)</w:t>
            </w:r>
          </w:p>
        </w:tc>
        <w:tc>
          <w:tcPr>
            <w:tcW w:type="dxa" w:w="4320"/>
          </w:tcPr>
          <w:p>
            <w:r>
              <w:t>38,029</w:t>
            </w:r>
          </w:p>
        </w:tc>
      </w:tr>
      <w:tr>
        <w:tc>
          <w:tcPr>
            <w:tcW w:type="dxa" w:w="4320"/>
          </w:tcPr>
          <w:p>
            <w:r>
              <w:t>After UMI dedup</w:t>
            </w:r>
          </w:p>
        </w:tc>
        <w:tc>
          <w:tcPr>
            <w:tcW w:type="dxa" w:w="4320"/>
          </w:tcPr>
          <w:p>
            <w:r>
              <w:t>37,448 (1.5% PCR duplicates)</w:t>
            </w:r>
          </w:p>
        </w:tc>
      </w:tr>
      <w:tr>
        <w:tc>
          <w:tcPr>
            <w:tcW w:type="dxa" w:w="4320"/>
          </w:tcPr>
          <w:p>
            <w:r>
              <w:t>Pol II positions extracted</w:t>
            </w:r>
          </w:p>
        </w:tc>
        <w:tc>
          <w:tcPr>
            <w:tcW w:type="dxa" w:w="4320"/>
          </w:tcPr>
          <w:p>
            <w:r>
              <w:t>37,448</w:t>
            </w:r>
          </w:p>
        </w:tc>
      </w:tr>
      <w:tr>
        <w:tc>
          <w:tcPr>
            <w:tcW w:type="dxa" w:w="4320"/>
          </w:tcPr>
          <w:p>
            <w:r>
              <w:t>Genes in metagene profile</w:t>
            </w:r>
          </w:p>
        </w:tc>
        <w:tc>
          <w:tcPr>
            <w:tcW w:type="dxa" w:w="4320"/>
          </w:tcPr>
          <w:p>
            <w:r>
              <w:t>195 (chr22 protein-coding)</w:t>
            </w:r>
          </w:p>
        </w:tc>
      </w:tr>
    </w:tbl>
    <w:p>
      <w:pPr>
        <w:pStyle w:val="Heading2"/>
      </w:pPr>
      <w:r>
        <w:t>6. Steady-State Metagene Figure</w:t>
      </w:r>
    </w:p>
    <w:p>
      <w:r>
        <w:t>The metagene plot below shows the normalised Pol II density around the TSS across 195 protein-coding genes on chr22. The sharp peak at +30–50 bp downstream of the TSS is the promoter-proximal pausing signal — the canonical hallmark of PRO-seq steady-state data. Signal is ~14-fold enriched over the gene body at the pause site.</w:t>
      </w:r>
    </w:p>
    <w:p>
      <w:r>
        <w:drawing>
          <wp:inline xmlns:a="http://schemas.openxmlformats.org/drawingml/2006/main" xmlns:pic="http://schemas.openxmlformats.org/drawingml/2006/picture">
            <wp:extent cx="54864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dy_state_metag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Files 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Protopos.py</w:t>
            </w:r>
          </w:p>
        </w:tc>
        <w:tc>
          <w:tcPr>
            <w:tcW w:type="dxa" w:w="4320"/>
          </w:tcPr>
          <w:p>
            <w:r>
              <w:t>Swapped Pol II logic, BAM I/O, sort+index, author header, Google docstrings.</w:t>
            </w:r>
          </w:p>
        </w:tc>
      </w:tr>
      <w:tr>
        <w:tc>
          <w:tcPr>
            <w:tcW w:type="dxa" w:w="4320"/>
          </w:tcPr>
          <w:p>
            <w:r>
              <w:t>proseqanalysis.sh</w:t>
            </w:r>
          </w:p>
        </w:tc>
        <w:tc>
          <w:tcPr>
            <w:tcW w:type="dxa" w:w="4320"/>
          </w:tcPr>
          <w:p>
            <w:r>
              <w:t>STAR→bowtie2, UMI extract/dedup, explicit adapter, removed SAM conversion.</w:t>
            </w:r>
          </w:p>
        </w:tc>
      </w:tr>
      <w:tr>
        <w:tc>
          <w:tcPr>
            <w:tcW w:type="dxa" w:w="4320"/>
          </w:tcPr>
          <w:p>
            <w:r>
              <w:t>RNAPsignal.py</w:t>
            </w:r>
          </w:p>
        </w:tc>
        <w:tc>
          <w:tcPr>
            <w:tcW w:type="dxa" w:w="4320"/>
          </w:tcPr>
          <w:p>
            <w:r>
              <w:t>Unchanged (already correct).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Rewritten with POLYARIS-style .gitkeep pattern.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New file, adapted from POLYARIS CLAUDE.md.</w:t>
            </w:r>
          </w:p>
        </w:tc>
      </w:tr>
      <w:tr>
        <w:tc>
          <w:tcPr>
            <w:tcW w:type="dxa" w:w="4320"/>
          </w:tcPr>
          <w:p>
            <w:r>
              <w:t>scripts/steady_state_figure.py</w:t>
            </w:r>
          </w:p>
        </w:tc>
        <w:tc>
          <w:tcPr>
            <w:tcW w:type="dxa" w:w="4320"/>
          </w:tcPr>
          <w:p>
            <w:r>
              <w:t>New file, metagene Pol II profile with strand-aware counting.</w:t>
            </w:r>
          </w:p>
        </w:tc>
      </w:tr>
      <w:tr>
        <w:tc>
          <w:tcPr>
            <w:tcW w:type="dxa" w:w="4320"/>
          </w:tcPr>
          <w:p>
            <w:r>
              <w:t>data/.gitkeep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fastq/.gitkeep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umi/.gitkeep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fastp/.gitkeep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qc/.gitkeep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alignments/.gitkeep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bowtie2_index/.gitkeep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results/.gitkeep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  <w:tr>
        <w:tc>
          <w:tcPr>
            <w:tcW w:type="dxa" w:w="4320"/>
          </w:tcPr>
          <w:p>
            <w:r>
              <w:t>scripts/.gitkeep</w:t>
            </w:r>
          </w:p>
        </w:tc>
        <w:tc>
          <w:tcPr>
            <w:tcW w:type="dxa" w:w="4320"/>
          </w:tcPr>
          <w:p>
            <w:r>
              <w:t>New file.</w:t>
            </w:r>
          </w:p>
        </w:tc>
      </w:tr>
    </w:tbl>
    <w:p/>
    <w:p>
      <w:r>
        <w:t>The ProtoPos CLAUDE.md at ../Botos_Transcription_Simulation_Project/ProtoPos/ was also updated to fix the incorrect strand-handling statement and reflect the new directory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