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Дослідницьке обґрунтування послідовності блоків на головній Site24</w:t>
      </w:r>
    </w:p>
    <w:p>
      <w:pPr>
        <w:pStyle w:val="Heading2"/>
      </w:pPr>
      <w:r>
        <w:t xml:space="preserve">Контекст</w:t>
      </w:r>
    </w:p>
    <w:p>
      <w:pPr>
        <w:spacing w:after="80" w:before="80" w:line="300"/>
      </w:pPr>
      <w:r>
        <w:t xml:space="preserve">Головна прев'ю-версії </w:t>
      </w:r>
      <w:hyperlink w:history="1" r:id="rIdeiwkf0x5snwxjf3bx3mrk">
        <w:r>
          <w:rPr>
            <w:rStyle w:val="Hyperlink"/>
            <w:color w:val="0563C1"/>
            <w:u w:val="single"/>
          </w:rPr>
          <w:t xml:space="preserve">site24.sprava1.com</w:t>
        </w:r>
      </w:hyperlink>
      <w:r>
        <w:t xml:space="preserve"> налічує 24 блоки. Запропоновано перерозподілити у 22 блоки за логічними секціями для бренд-запиту:</w:t>
      </w:r>
    </w:p>
    <w:p>
      <w:pPr>
        <w:pBdr>
          <w:left w:val="single" w:color="999999" w:sz="18" w:space="12"/>
        </w:pBdr>
        <w:spacing w:after="120" w:before="120"/>
        <w:ind w:left="480"/>
      </w:pPr>
      <w:r>
        <w:rPr>
          <w:b/>
          <w:bCs/>
          <w:i/>
          <w:iCs/>
        </w:rPr>
        <w:t xml:space="preserve">хто</w:t>
      </w:r>
      <w:r>
        <w:rPr>
          <w:i/>
          <w:iCs/>
        </w:rPr>
        <w:t xml:space="preserve"> (Hero + Партнерства + Stats) → </w:t>
      </w:r>
      <w:r>
        <w:rPr>
          <w:b/>
          <w:bCs/>
          <w:i/>
          <w:iCs/>
        </w:rPr>
        <w:t xml:space="preserve">що</w:t>
      </w:r>
      <w:r>
        <w:rPr>
          <w:i/>
          <w:iCs/>
        </w:rPr>
        <w:t xml:space="preserve"> (Послуги + benefit map + SEO vs PPC + Ніші) → </w:t>
      </w:r>
      <w:r>
        <w:rPr>
          <w:b/>
          <w:bCs/>
          <w:i/>
          <w:iCs/>
        </w:rPr>
        <w:t xml:space="preserve">як</w:t>
      </w:r>
      <w:r>
        <w:rPr>
          <w:i/>
          <w:iCs/>
        </w:rPr>
        <w:t xml:space="preserve"> (Чому Site24 + Команда) → </w:t>
      </w:r>
      <w:r>
        <w:rPr>
          <w:b/>
          <w:bCs/>
          <w:i/>
          <w:iCs/>
        </w:rPr>
        <w:t xml:space="preserve">довіра</w:t>
      </w:r>
      <w:r>
        <w:rPr>
          <w:i/>
          <w:iCs/>
        </w:rPr>
        <w:t xml:space="preserve"> (Логотипи → Кейси → CTA-банер → Відгуки → Звітність) → </w:t>
      </w:r>
      <w:r>
        <w:rPr>
          <w:b/>
          <w:bCs/>
          <w:i/>
          <w:iCs/>
        </w:rPr>
        <w:t xml:space="preserve">рішення</w:t>
      </w:r>
      <w:r>
        <w:rPr>
          <w:i/>
          <w:iCs/>
        </w:rPr>
        <w:t xml:space="preserve"> (Тарифи + бонус) → </w:t>
      </w:r>
      <w:r>
        <w:rPr>
          <w:b/>
          <w:bCs/>
          <w:i/>
          <w:iCs/>
        </w:rPr>
        <w:t xml:space="preserve">експертиза</w:t>
      </w:r>
      <w:r>
        <w:rPr>
          <w:i/>
          <w:iCs/>
        </w:rPr>
        <w:t xml:space="preserve"> (Виступи + Інструменти + Блог) → </w:t>
      </w:r>
      <w:r>
        <w:rPr>
          <w:b/>
          <w:bCs/>
          <w:i/>
          <w:iCs/>
        </w:rPr>
        <w:t xml:space="preserve">зняття заперечень</w:t>
      </w:r>
      <w:r>
        <w:rPr>
          <w:i/>
          <w:iCs/>
        </w:rPr>
        <w:t xml:space="preserve"> (FAQ) → </w:t>
      </w:r>
      <w:r>
        <w:rPr>
          <w:b/>
          <w:bCs/>
          <w:i/>
          <w:iCs/>
        </w:rPr>
        <w:t xml:space="preserve">дія</w:t>
      </w:r>
      <w:r>
        <w:rPr>
          <w:i/>
          <w:iCs/>
        </w:rPr>
        <w:t xml:space="preserve"> (Форма)</w:t>
      </w:r>
    </w:p>
    <w:p>
      <w:pPr>
        <w:spacing w:after="80" w:before="80" w:line="300"/>
      </w:pPr>
      <w:r>
        <w:t xml:space="preserve">Це не радикальне скорочення, а </w:t>
      </w:r>
      <w:r>
        <w:rPr>
          <w:b/>
          <w:bCs/>
        </w:rPr>
        <w:t xml:space="preserve">консолідація дублів</w:t>
      </w:r>
      <w:r>
        <w:t xml:space="preserve"> (2 Stats → 1, 3 "Чому" блоки → 1, 2 графіки → ілюстрація всередині блоку Звітність, 2 форми → 1) + </w:t>
      </w:r>
      <w:r>
        <w:rPr>
          <w:b/>
          <w:bCs/>
        </w:rPr>
        <w:t xml:space="preserve">перерозподіл за логічними секціями</w:t>
      </w:r>
      <w:r>
        <w:t xml:space="preserve">.</w:t>
      </w:r>
    </w:p>
    <w:p>
      <w:pPr>
        <w:spacing w:after="80" w:before="80" w:line="300"/>
      </w:pPr>
      <w:r>
        <w:t xml:space="preserve">Документ обґрунтовує саме цю послідовність — з конкретними джерелами першого рівня (NN/g, Gartner, Forrester, TrustRadius, Demand Gen Report, Wyzowl, Edelman, CXL, Conductor) та класичними фреймворками (Schwartz, Cialdini, Hick, Miller).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5 опорних аргументів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Бренд-запит = Most Aware (Schwartz).</w:t>
      </w:r>
      <w:r>
        <w:t xml:space="preserve"> Людина, яка вводить "Site24" — у п'ятій стадії за Schwartz: знає продукт, чекає поштовху. Їй потрібні підтвердження вибору + умови угоди, не "продаж проблеми". Класичний agency-template для cold-traffic тут програє. </w:t>
      </w:r>
      <w:hyperlink w:history="1" r:id="rIdjmy9igwfcxbebkgywtxfo">
        <w:r>
          <w:rPr>
            <w:rStyle w:val="Hyperlink"/>
            <w:color w:val="0563C1"/>
            <w:u w:val="single"/>
          </w:rPr>
          <w:t xml:space="preserve">Schwartz Pyramid of Awareness</w:t>
        </w:r>
      </w:hyperlink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Above-the-fold вирішує — 57% уваги, 74% на перших двох екранах.</w:t>
      </w:r>
      <w:r>
        <w:t xml:space="preserve"> NN/g eyetracking 2018 (57 453 фіксації). Hero + Партнерства + Stats мусять давати повну "візитку" одразу. </w:t>
      </w:r>
      <w:hyperlink w:history="1" r:id="rIdmciaxohytxofhtgrab3qp">
        <w:r>
          <w:rPr>
            <w:rStyle w:val="Hyperlink"/>
            <w:color w:val="0563C1"/>
            <w:u w:val="single"/>
          </w:rPr>
          <w:t xml:space="preserve">NN/g — Scrolling and Attention</w:t>
        </w:r>
      </w:hyperlink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Ціни на сторінці — або −54% покупців.</w:t>
      </w:r>
      <w:r>
        <w:t xml:space="preserve"> TrustRadius 2024 B2B Buying Disconnect: відсутність цін — №1 причина (54%) виключення вендора, 71% більш схильні купити при видимих цінах, 81% хочуть знайти ціну самостійно. </w:t>
      </w:r>
      <w:hyperlink w:history="1" r:id="rIdur2lm1jllwp7u69ejfedq">
        <w:r>
          <w:rPr>
            <w:rStyle w:val="Hyperlink"/>
            <w:color w:val="0563C1"/>
            <w:u w:val="single"/>
          </w:rPr>
          <w:t xml:space="preserve">TrustRadius — Tech Buyers Demand Honest Pricing</w:t>
        </w:r>
      </w:hyperlink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Кейси — найвпливовіший формат соцдоказу для B2B.</w:t>
      </w:r>
      <w:r>
        <w:t xml:space="preserve"> Demand Gen Report: case studies впливають на 73% B2B-рішень. Forrester: медіана читання кейса &lt;60 сек — лишається тільки цифра. Тому кейси (раціональний доказ) йдуть перед відгуками (емоційний). </w:t>
      </w:r>
      <w:hyperlink w:history="1" r:id="rIdajiuxsh6perldclq5gahs">
        <w:r>
          <w:rPr>
            <w:rStyle w:val="Hyperlink"/>
            <w:color w:val="0563C1"/>
            <w:u w:val="single"/>
          </w:rPr>
          <w:t xml:space="preserve">Demand Gen Report Content Preferences</w:t>
        </w:r>
      </w:hyperlink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Відеовідгуки — найвищий драйвер довіри з невикористаних.</w:t>
      </w:r>
      <w:r>
        <w:t xml:space="preserve"> Wyzowl 2024: 79% переконані купити після відеовідгуку, 9 з 10 довіряють клієнту більше ніж бренду, 86% маркетологів фіксують ріст конверсії від відео. </w:t>
      </w:r>
      <w:hyperlink w:history="1" r:id="rId-wngdp_ispmhhv8mkxo7s">
        <w:r>
          <w:rPr>
            <w:rStyle w:val="Hyperlink"/>
            <w:color w:val="0563C1"/>
            <w:u w:val="single"/>
          </w:rPr>
          <w:t xml:space="preserve">Wyzowl Video Marketing Statistics</w:t>
        </w:r>
      </w:hyperlink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Глобальна логіка послідовності</w:t>
      </w:r>
    </w:p>
    <w:p>
      <w:pPr>
        <w:pStyle w:val="Heading3"/>
      </w:pPr>
      <w:r>
        <w:t xml:space="preserve">Бренд-запит = Most Aware</w:t>
      </w:r>
    </w:p>
    <w:p>
      <w:pPr>
        <w:spacing w:after="80" w:before="80" w:line="300"/>
      </w:pPr>
      <w:r>
        <w:t xml:space="preserve">Schwartz "Breakthrough Advertising" (1966): 5 стадій — Unaware → Problem Aware → Solution Aware → Product Aware → </w:t>
      </w:r>
      <w:r>
        <w:rPr>
          <w:b/>
          <w:bCs/>
        </w:rPr>
        <w:t xml:space="preserve">Most Aware</w:t>
      </w:r>
      <w:r>
        <w:t xml:space="preserve">. На останній стадії потрібен поштовх до угоди, не освіта. </w:t>
      </w:r>
      <w:hyperlink w:history="1" r:id="rId2-rfmlrcbmkrhffc1lx07">
        <w:r>
          <w:rPr>
            <w:rStyle w:val="Hyperlink"/>
            <w:color w:val="0563C1"/>
            <w:u w:val="single"/>
          </w:rPr>
          <w:t xml:space="preserve">Schwartz 5 Stages — Lead Generation</w:t>
        </w:r>
      </w:hyperlink>
    </w:p>
    <w:p>
      <w:pPr>
        <w:spacing w:after="80" w:before="80" w:line="300"/>
      </w:pPr>
      <w:r>
        <w:t xml:space="preserve">Підтверджено сучасними B2B-buyer research: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Gartner 2025-2026:</w:t>
      </w:r>
      <w:r>
        <w:t xml:space="preserve"> 67% B2B-покупців обирають rep-free досвід; 92% починають з вже-обраним вендором; 41% мають єдиного preferred-вендора до формального вибору; лише 17% часу — на зустрічі з вендорами. </w:t>
      </w:r>
      <w:hyperlink w:history="1" r:id="rId80v4xcyd5ay6uwvyrivqk">
        <w:r>
          <w:rPr>
            <w:rStyle w:val="Hyperlink"/>
            <w:color w:val="0563C1"/>
            <w:u w:val="single"/>
          </w:rPr>
          <w:t xml:space="preserve">Gartner B2B Buying Journey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Forrester:</w:t>
      </w:r>
      <w:r>
        <w:t xml:space="preserve"> 57% покупців дізнаються про слабкості вендора з незалежних джерел — власна сторінка має домінувати у видачі підтверджень.</w:t>
      </w:r>
    </w:p>
    <w:p>
      <w:pPr>
        <w:spacing w:after="80" w:before="80" w:line="300"/>
      </w:pPr>
      <w:r>
        <w:t xml:space="preserve">Послідовність "хто/що/як/довіра/рішення/експертиза/зняття заперечень/дія" — адаптація AIDA для brand-aware трафіку, де A та I скорочені (бренд уже відпрацював), а вага зміщена на Desire (довіра + рішення) і Action.</w:t>
      </w:r>
    </w:p>
    <w:p>
      <w:pPr>
        <w:pStyle w:val="Heading3"/>
      </w:pPr>
      <w:r>
        <w:t xml:space="preserve">StoryBrand SB7 як перевірка</w:t>
      </w:r>
    </w:p>
    <w:p>
      <w:pPr>
        <w:spacing w:after="80" w:before="80" w:line="300"/>
      </w:pPr>
      <w:r>
        <w:t xml:space="preserve">Donald Miller: Hero → Problem → Guide → Plan → CTA → Stakes → Success. Для бренд-запиту "Problem" вже вирішена, тому послідовність деформується у: Hero (УТП агенції) → Guide (партнерства/команда) → Plan (послуги/тарифи) → Proof (логотипи/кейси/відгуки/звітність) → CTA. Дзеркало запропонованих 22 блоків. </w:t>
      </w:r>
      <w:hyperlink w:history="1" r:id="rIda5e_b_fzt6kyeoyq8gwlz">
        <w:r>
          <w:rPr>
            <w:rStyle w:val="Hyperlink"/>
            <w:color w:val="0563C1"/>
            <w:u w:val="single"/>
          </w:rPr>
          <w:t xml:space="preserve">StoryBrand SB7</w:t>
        </w:r>
      </w:hyperlink>
    </w:p>
    <w:p>
      <w:pPr>
        <w:pStyle w:val="Heading3"/>
      </w:pPr>
      <w:r>
        <w:t xml:space="preserve">Консолідація 24 → 22 блоки = Hick's Law</w:t>
      </w:r>
    </w:p>
    <w:p>
      <w:pPr>
        <w:spacing w:after="80" w:before="80" w:line="300"/>
      </w:pPr>
      <w:r>
        <w:t xml:space="preserve">Hick's Law: час на рішення росте логарифмічно з кількістю варіантів. Класичне дослідження Iyengar з варенням: 24 види = 3% покупок, 6 видів = 30% (×10). У нашому випадку — не радикальне скорочення, а консолідація дублів: 2 Stats-блоки → 1 (одна цифра "1000+" дублювалась), 3 "Чому ми" блоки → 1, 2 графіки → ілюстрації всередині Звітності, 2 форми → 1 фінальна. </w:t>
      </w:r>
      <w:hyperlink w:history="1" r:id="rIditghu4krn8ixy8sel7mnc">
        <w:r>
          <w:rPr>
            <w:rStyle w:val="Hyperlink"/>
            <w:color w:val="0563C1"/>
            <w:u w:val="single"/>
          </w:rPr>
          <w:t xml:space="preserve">Laws of UX — Hick's Law</w:t>
        </w:r>
      </w:hyperlink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Поблочне обґрунтування</w:t>
      </w:r>
    </w:p>
    <w:p>
      <w:pPr>
        <w:pStyle w:val="Heading3"/>
      </w:pPr>
      <w:r>
        <w:t xml:space="preserve">ХТО</w:t>
      </w:r>
    </w:p>
    <w:p>
      <w:pPr>
        <w:spacing w:after="80" w:before="80" w:line="300"/>
      </w:pPr>
      <w:r>
        <w:t xml:space="preserve">#### Блок 1 — Hero (УТП з цифрами + hard-CTA)</w:t>
      </w:r>
    </w:p>
    <w:p>
      <w:pPr>
        <w:spacing w:after="80" w:before="80" w:line="300"/>
      </w:pPr>
      <w:r>
        <w:t xml:space="preserve">Conductor: заголовки з числами і конкретною аудиторією конвертять на 36% краще за generic. NN/g: перші 11 символів headline визначають подальше прочитання — конкретика на початку рядка. Hard-CTA "Обговорити проект" — для Most Aware (вони вже знають бренд, готові до контакту). Soft-CTA в Hero не ставимо — лід-магніт без контексту ("який звіт? за що?") не працює; він спрацює нижче, у блоці Звітність. </w:t>
      </w:r>
      <w:hyperlink w:history="1" r:id="rIdtkagkofnkfeultm9wsm3s">
        <w:r>
          <w:rPr>
            <w:rStyle w:val="Hyperlink"/>
            <w:color w:val="0563C1"/>
            <w:u w:val="single"/>
          </w:rPr>
          <w:t xml:space="preserve">CXL — Landing Page Anatomy</w:t>
        </w:r>
      </w:hyperlink>
    </w:p>
    <w:p>
      <w:pPr>
        <w:spacing w:after="80" w:before="80" w:line="300"/>
      </w:pPr>
      <w:r>
        <w:t xml:space="preserve">#### Блок 2 — Партнерства (Google Partner + Clutch)</w:t>
      </w:r>
    </w:p>
    <w:p>
      <w:pPr>
        <w:spacing w:after="80" w:before="80" w:line="300"/>
      </w:pPr>
      <w:r>
        <w:t xml:space="preserve">Trust-блок з 3-5 логотипами/бейджами під заголовком знижує bounce 15-25%; правильно розташовані trust-сигнали для B2B SaaS дають +20-40% конверсії; розташування біля CTA "стабільно перевершує footer на 40-60%" в A/B-тестах. Cialdini Authority: third-party endorsement (Google, Clutch) — скорочений шлях до довіри. Edelman 2025: бренди залишаються найбільш-довіреною інституцією. </w:t>
      </w:r>
      <w:hyperlink w:history="1" r:id="rIdllsubs8zgmjeg8azfstcb">
        <w:r>
          <w:rPr>
            <w:rStyle w:val="Hyperlink"/>
            <w:color w:val="0563C1"/>
            <w:u w:val="single"/>
          </w:rPr>
          <w:t xml:space="preserve">Hashmeta — Trust Blocks Conversion</w:t>
        </w:r>
      </w:hyperlink>
    </w:p>
    <w:p>
      <w:pPr>
        <w:spacing w:after="80" w:before="80" w:line="300"/>
      </w:pPr>
      <w:r>
        <w:t xml:space="preserve">#### Блок 3 — Stats (4 опорні цифри)</w:t>
      </w:r>
    </w:p>
    <w:p>
      <w:pPr>
        <w:spacing w:after="80" w:before="80" w:line="300"/>
      </w:pPr>
      <w:r>
        <w:t xml:space="preserve">Один блок замість двох розкиданих + скорочення з 6 цифр до 4: </w:t>
      </w:r>
      <w:r>
        <w:rPr>
          <w:b/>
          <w:bCs/>
        </w:rPr>
        <w:t xml:space="preserve">86% (повернення клієнтів — найсильніший trust-signal), 1000+ клієнтів, 30+ ніш, 9 років</w:t>
      </w:r>
      <w:r>
        <w:t xml:space="preserve">. PPC-метрики (150+ кампаній) і кількість запитів (155К) — у сервісні сторінки SEO/PPC. Hick's Law: менше цифр — глибше запам'ятовуються. CXL: специфіка ("+247%") виглядає достовірніше за округлене ("+250%") — подавати точно, не округлено.</w:t>
      </w:r>
    </w:p>
    <w:p>
      <w:pPr>
        <w:pStyle w:val="Heading3"/>
      </w:pPr>
      <w:r>
        <w:t xml:space="preserve">ЩО</w:t>
      </w:r>
    </w:p>
    <w:p>
      <w:pPr>
        <w:spacing w:after="80" w:before="80" w:line="300"/>
      </w:pPr>
      <w:r>
        <w:t xml:space="preserve">#### Блок 4 — Послуги SEO/PPC</w:t>
      </w:r>
    </w:p>
    <w:p>
      <w:pPr>
        <w:spacing w:after="80" w:before="80" w:line="300"/>
      </w:pPr>
      <w:r>
        <w:t xml:space="preserve">SB7-крок "Plan": людина зрозуміла, що це Site24 і він авторитет — далі очікує побачити, що саме отримає. Цей блок — короткий опис двох сервісів; розгорнутий — на сервісних сторінках.</w:t>
      </w:r>
    </w:p>
    <w:p>
      <w:pPr>
        <w:spacing w:after="80" w:before="80" w:line="300"/>
      </w:pPr>
      <w:r>
        <w:t xml:space="preserve">#### Блок 5 — "Що отримаєте" + chart (benefit map)</w:t>
      </w:r>
    </w:p>
    <w:p>
      <w:pPr>
        <w:spacing w:after="80" w:before="80" w:line="300"/>
      </w:pPr>
      <w:r>
        <w:t xml:space="preserve">Benefit-orientation блок: переводить опис послуги ("ми робимо SEO") у результат для клієнта ("ви отримаєте трафік / лідів / продаж"). CXL: benefit-driven copy конвертує вище за feature-driven. Графік-ілюстрація закріплює абстрактне поняття "ріст" візуально.</w:t>
      </w:r>
    </w:p>
    <w:p>
      <w:pPr>
        <w:spacing w:after="80" w:before="80" w:line="300"/>
      </w:pPr>
      <w:r>
        <w:t xml:space="preserve">#### Блок 6 — SEO vs PPC ("Що обрати? Порада від Site24")</w:t>
      </w:r>
    </w:p>
    <w:p>
      <w:pPr>
        <w:spacing w:after="80" w:before="80" w:line="300"/>
      </w:pPr>
      <w:r>
        <w:t xml:space="preserve">Decision-aid блок: для МСБ-власника, який не розуміє різниці між SEO і PPC, цей блок знімає основне заперечення "не знаю що мені треба". Експертна порада від агенції позиціонує Site24 як консультанта, а не продавця. На поточній сторінці є — лишаємо.</w:t>
      </w:r>
    </w:p>
    <w:p>
      <w:pPr>
        <w:spacing w:after="80" w:before="80" w:line="300"/>
      </w:pPr>
      <w:r>
        <w:t xml:space="preserve">#### Блок 7 — Рішення для ніші + карта міжнародного досвіду</w:t>
      </w:r>
    </w:p>
    <w:p>
      <w:pPr>
        <w:spacing w:after="80" w:before="80" w:line="300"/>
      </w:pPr>
      <w:r>
        <w:t xml:space="preserve">Demand Gen Report: B2B-buyers віддають перевагу industry-relevant контенту; segmentation за industry — топ engagement driver. Карта міжнародного досвіду (Україна/Польща/США/UK/Канада) додає authority. На поточній сторінці карта без підписів країн — додати назви + кількість проектів.</w:t>
      </w:r>
    </w:p>
    <w:p>
      <w:pPr>
        <w:pStyle w:val="Heading3"/>
      </w:pPr>
      <w:r>
        <w:t xml:space="preserve">ЯК</w:t>
      </w:r>
    </w:p>
    <w:p>
      <w:pPr>
        <w:spacing w:after="80" w:before="80" w:line="300"/>
      </w:pPr>
      <w:r>
        <w:t xml:space="preserve">#### Блок 8 — Чому Site24 (4-5 пунктів)</w:t>
      </w:r>
    </w:p>
    <w:p>
      <w:pPr>
        <w:spacing w:after="80" w:before="80" w:line="300"/>
      </w:pPr>
      <w:r>
        <w:t xml:space="preserve">Об'єднання 3 поточних блоків з тим самим змістом ("Переваги роботи з Site24" + "Гнучкість у підходах" + "Чому наш клієнт-сервіс найкращий") в один з пунктами: Прозорість + Експертність + Гнучкість + Клієнт-сервіс + ROI. Hick's Law: 3 блоки на однакову інформацію = подвоєний-потроєний cognitive load.</w:t>
      </w:r>
    </w:p>
    <w:p>
      <w:pPr>
        <w:spacing w:after="80" w:before="80" w:line="300"/>
      </w:pPr>
      <w:r>
        <w:t xml:space="preserve">#### Блок 9 — Команда (реальні фото)</w:t>
      </w:r>
    </w:p>
    <w:p>
      <w:pPr>
        <w:spacing w:after="80" w:before="80" w:line="300"/>
      </w:pPr>
      <w:r>
        <w:t xml:space="preserve">NN/g eyetracking: користувачі витрачають на 10% більше часу на портрети членів команди ніж на біографії, хоч біо займають у 316% більше місця. Стокові фото ігноруються мозком як "ad". На Pro nas вже є командне фото — перевикористати тут. </w:t>
      </w:r>
      <w:hyperlink w:history="1" r:id="rIddtf6asec3qx3c2kvk2asc">
        <w:r>
          <w:rPr>
            <w:rStyle w:val="Hyperlink"/>
            <w:color w:val="0563C1"/>
            <w:u w:val="single"/>
          </w:rPr>
          <w:t xml:space="preserve">NN/g — Photos as Web Content</w:t>
        </w:r>
      </w:hyperlink>
    </w:p>
    <w:p>
      <w:pPr>
        <w:pStyle w:val="Heading3"/>
      </w:pPr>
      <w:r>
        <w:t xml:space="preserve">ДОВІРА</w:t>
      </w:r>
    </w:p>
    <w:p>
      <w:pPr>
        <w:spacing w:after="80" w:before="80" w:line="300"/>
      </w:pPr>
      <w:r>
        <w:t xml:space="preserve">#### Блок 10 — Логотипи клієнтів (lineup)</w:t>
      </w:r>
    </w:p>
    <w:p>
      <w:pPr>
        <w:spacing w:after="80" w:before="80" w:line="300"/>
      </w:pPr>
      <w:r>
        <w:t xml:space="preserve">Hashmeta: lineup з 3-5 впізнаваних брендів одразу під Hero знижує bounce на 15-25%. У нашій послідовності lineup розташований ближче до Кейсів — як bridge від загального brand-portfolio до deep-dive у конкретні приклади.</w:t>
      </w:r>
    </w:p>
    <w:p>
      <w:pPr>
        <w:spacing w:after="80" w:before="80" w:line="300"/>
      </w:pPr>
      <w:r>
        <w:t xml:space="preserve">#### Блок 11 — Кейси з логотипами і метриками</w:t>
      </w:r>
    </w:p>
    <w:p>
      <w:pPr>
        <w:spacing w:after="80" w:before="80" w:line="300"/>
      </w:pPr>
      <w:r>
        <w:t xml:space="preserve">Demand Gen Report: case studies впливають на 73% B2B-рішень; case studies + webinar — топ-2 формати (40% buyers); інтерактивні кейси +31% engagement. Forrester: медіана &lt;60 сек на кейс — лишається тільки цифра. Тому метрики ("+250% доходу") + видимий логотип клієнта &gt; "Кейс №1" + опис без даних. </w:t>
      </w:r>
      <w:hyperlink w:history="1" r:id="rIdc9aqsp3bbvtake_bukjcu">
        <w:r>
          <w:rPr>
            <w:rStyle w:val="Hyperlink"/>
            <w:color w:val="0563C1"/>
            <w:u w:val="single"/>
          </w:rPr>
          <w:t xml:space="preserve">Demand Gen Report — Content Preferences</w:t>
        </w:r>
      </w:hyperlink>
    </w:p>
    <w:p>
      <w:pPr>
        <w:spacing w:after="80" w:before="80" w:line="300"/>
      </w:pPr>
      <w:r>
        <w:t xml:space="preserve">#### Блок 12 — CTA-банер темно-синій (мід-page вихід)</w:t>
      </w:r>
    </w:p>
    <w:p>
      <w:pPr>
        <w:spacing w:after="80" w:before="80" w:line="300"/>
      </w:pPr>
      <w:r>
        <w:t xml:space="preserve">Після Кейсів частина юзерів вже переконана найсильнішим proof-блоком (73% за Demand Gen) — їм потрібен exit-point до фінальної форми, а не ще 9 скролів. Темно-синій бренд-блок візуально маркує розрив "доказ → дія". Це </w:t>
      </w:r>
      <w:r>
        <w:rPr>
          <w:b/>
          <w:bCs/>
        </w:rPr>
        <w:t xml:space="preserve">CTA-банер, не форма</w:t>
      </w:r>
      <w:r>
        <w:t xml:space="preserve"> (heading + кнопка з якорем </w:t>
      </w:r>
      <w:r>
        <w:rPr>
          <w:rFonts w:ascii="Courier New" w:cs="Courier New" w:eastAsia="Courier New" w:hAnsi="Courier New"/>
        </w:rPr>
        <w:t xml:space="preserve">#final-form</w:t>
      </w:r>
      <w:r>
        <w:t xml:space="preserve">) — для готових юзерів дає короткий шлях, для решти — нечутливий проскрол. </w:t>
      </w:r>
      <w:hyperlink w:history="1" r:id="rIdikfr0cb8ew22yqpdmxv-h">
        <w:r>
          <w:rPr>
            <w:rStyle w:val="Hyperlink"/>
            <w:color w:val="0563C1"/>
            <w:u w:val="single"/>
          </w:rPr>
          <w:t xml:space="preserve">KlientBoost — Form Elements</w:t>
        </w:r>
      </w:hyperlink>
    </w:p>
    <w:p>
      <w:pPr>
        <w:spacing w:after="80" w:before="80" w:line="300"/>
      </w:pPr>
      <w:r>
        <w:t xml:space="preserve">#### Блок 13 — Відгуки + 2-3 відеовідгуки</w:t>
      </w:r>
    </w:p>
    <w:p>
      <w:pPr>
        <w:spacing w:after="80" w:before="80" w:line="300"/>
      </w:pPr>
      <w:r>
        <w:t xml:space="preserve">Wyzowl 2024-2025: 79% переконані купити після відеовідгуку; 9 з 10 довіряють клієнту &gt; бренду; 86% маркетологів — ріст конверсії; 92% B2B-покупців читають ревью + дивляться testimonials перед покупкою. На поточному сайті 6 текстових відгуків без сегментації, без відео — додати 2-3 відео від найсильніших клієнтів (LeBoutique / Plastics / GigaKyiv). Послідовність кейси→відгуки — Cialdini consistency: cognitive buy-in перед emotional resonance. </w:t>
      </w:r>
      <w:hyperlink w:history="1" r:id="rId93hl9bpfkifllwwpc-uol">
        <w:r>
          <w:rPr>
            <w:rStyle w:val="Hyperlink"/>
            <w:color w:val="0563C1"/>
            <w:u w:val="single"/>
          </w:rPr>
          <w:t xml:space="preserve">Wyzowl Video Marketing Statistics</w:t>
        </w:r>
      </w:hyperlink>
    </w:p>
    <w:p>
      <w:pPr>
        <w:spacing w:after="80" w:before="80" w:line="300"/>
      </w:pPr>
      <w:r>
        <w:t xml:space="preserve">#### Блок 14 — Звітність + ілюстрація дашборду + soft-CTA</w:t>
      </w:r>
    </w:p>
    <w:p>
      <w:pPr>
        <w:spacing w:after="80" w:before="80" w:line="300"/>
      </w:pPr>
      <w:r>
        <w:t xml:space="preserve">Найсильніший proof-блок для CMO-персони — показує </w:t>
      </w:r>
      <w:r>
        <w:rPr>
          <w:b/>
          <w:bCs/>
        </w:rPr>
        <w:t xml:space="preserve">прозорість процесу</w:t>
      </w:r>
      <w:r>
        <w:t xml:space="preserve">, не лише результат. 2 поточні графіки (Total visits + Зростання прибутку) інтегруються сюди як ілюстрації типового звіту, не як окремий блок (поточний блок-графік порожній і ламаний). Лід-магніт "Отримати приклад звіту" має нативний контекст — на відміну від Hero, тут юзер вже розуміє, який саме звіт пропонується. HubSpot: лід-магніти з реальним value дають у 2-3 рази вищий opt-in rate ніж generic "subscribe to newsletter".</w:t>
      </w:r>
    </w:p>
    <w:p>
      <w:pPr>
        <w:pStyle w:val="Heading3"/>
      </w:pPr>
      <w:r>
        <w:t xml:space="preserve">РІШЕННЯ</w:t>
      </w:r>
    </w:p>
    <w:p>
      <w:pPr>
        <w:spacing w:after="80" w:before="80" w:line="300"/>
      </w:pPr>
      <w:r>
        <w:t xml:space="preserve">#### Блок 15 — Тарифи (з "Що входить")</w:t>
      </w:r>
    </w:p>
    <w:p>
      <w:pPr>
        <w:spacing w:after="80" w:before="80" w:line="300"/>
      </w:pPr>
      <w:r>
        <w:t xml:space="preserve">TrustRadius 2024: 54% B2B-покупців виключають вендорів без цін на сайті (#1), 71% більш схильні купити при видимих цінах, 81% шукають ціну самостійно, 38% виключають вендорів, які змушують контактувати з sales. "Що входить" під ціною = price anchoring (Ariely): 5-7 пунктів пояснюють диференціацію тарифів. CTA "Замовити консультацію" під кожним тарифом — momentum зі стадії "обрав" у "пишу". </w:t>
      </w:r>
      <w:hyperlink w:history="1" r:id="rIdafb6kmkkv-z-vgs1wpzbx">
        <w:r>
          <w:rPr>
            <w:rStyle w:val="Hyperlink"/>
            <w:color w:val="0563C1"/>
            <w:u w:val="single"/>
          </w:rPr>
          <w:t xml:space="preserve">TrustRadius — Tech Buyers Demand Honest Pricing</w:t>
        </w:r>
      </w:hyperlink>
    </w:p>
    <w:p>
      <w:pPr>
        <w:spacing w:after="80" w:before="80" w:line="300"/>
      </w:pPr>
      <w:r>
        <w:t xml:space="preserve">#### Блок 16 — Бонус 10 000 грн для нових Google Ads</w:t>
      </w:r>
    </w:p>
    <w:p>
      <w:pPr>
        <w:spacing w:after="80" w:before="80" w:line="300"/>
      </w:pPr>
      <w:r>
        <w:t xml:space="preserve">Окремий offer-блок з власним CTA "Активувати бонус". Відокремлення від загальних Тарифів дозволяє виділити акційну умову візуально (не змішується з регулярними планами) і дає додаткову точку входу для тих, хто готовий тільки на стартову умову, а не на повний пакет.</w:t>
      </w:r>
    </w:p>
    <w:p>
      <w:pPr>
        <w:pStyle w:val="Heading3"/>
      </w:pPr>
      <w:r>
        <w:t xml:space="preserve">ЕКСПЕРТИЗА</w:t>
      </w:r>
    </w:p>
    <w:p>
      <w:pPr>
        <w:spacing w:after="80" w:before="80" w:line="300"/>
      </w:pPr>
      <w:r>
        <w:t xml:space="preserve">#### Блок 17 — Виступи і експертиза (конференції 2024-2025)</w:t>
      </w:r>
    </w:p>
    <w:p>
      <w:pPr>
        <w:spacing w:after="80" w:before="80" w:line="300"/>
      </w:pPr>
      <w:r>
        <w:t xml:space="preserve">Authority signal: де керівники Site24 виступали як експерти, які теми розкривали. На поточній головній блок є, але з контентом 2016 року (баг каруселі) — оновити свіжими виступами. Підкріплює положення "9 років постійного розвитку".</w:t>
      </w:r>
    </w:p>
    <w:p>
      <w:pPr>
        <w:spacing w:after="80" w:before="80" w:line="300"/>
      </w:pPr>
      <w:r>
        <w:t xml:space="preserve">#### Блок 18 — Інструменти</w:t>
      </w:r>
    </w:p>
    <w:p>
      <w:pPr>
        <w:spacing w:after="80" w:before="80" w:line="300"/>
      </w:pPr>
      <w:r>
        <w:t xml:space="preserve">Self-service ресурс для Most Aware відвідувачів, які хочуть швидко "доторкнутись" до експертизи без контакту з sales. Підкріплює Gartner-факт: 67% B2B-покупців обирають rep-free досвід.</w:t>
      </w:r>
    </w:p>
    <w:p>
      <w:pPr>
        <w:spacing w:after="80" w:before="80" w:line="300"/>
      </w:pPr>
      <w:r>
        <w:t xml:space="preserve">#### Блок 19 — Блог</w:t>
      </w:r>
    </w:p>
    <w:p>
      <w:pPr>
        <w:spacing w:after="80" w:before="80" w:line="300"/>
      </w:pPr>
      <w:r>
        <w:t xml:space="preserve">Depth-proof експертизи, фундамент для довгострокового SEO-капіталу самого Site24. На цьому етапі воронки — для validation ("у них є контент і думки"), не для conversion.</w:t>
      </w:r>
    </w:p>
    <w:p>
      <w:pPr>
        <w:pStyle w:val="Heading3"/>
      </w:pPr>
      <w:r>
        <w:t xml:space="preserve">ЗНЯТТЯ ЗАПЕРЕЧЕНЬ</w:t>
      </w:r>
    </w:p>
    <w:p>
      <w:pPr>
        <w:spacing w:after="80" w:before="80" w:line="300"/>
      </w:pPr>
      <w:r>
        <w:t xml:space="preserve">#### Блок 20 — FAQ (3-4 питання про болі МСБ)</w:t>
      </w:r>
    </w:p>
    <w:p>
      <w:pPr>
        <w:spacing w:after="80" w:before="80" w:line="300"/>
      </w:pPr>
      <w:r>
        <w:t xml:space="preserve">Cortés / Boagworld / PPC Hero: FAQ перед фінальною формою знімає останні заперечення безпосередньо перед conversion-моментом. Питання мають закривати реальні болі МСБ-власника ("Як ви гарантуєте результат?", "Що буде, якщо результату не буде?", "Скільки коштуватиме після першого етапу?"), не generic. CTA в FAQ не ставимо — наступний блок одразу Форма, дублювання зайве. </w:t>
      </w:r>
      <w:hyperlink w:history="1" r:id="rIdtaehziv3hmivmtlcs3ymy">
        <w:r>
          <w:rPr>
            <w:rStyle w:val="Hyperlink"/>
            <w:color w:val="0563C1"/>
            <w:u w:val="single"/>
          </w:rPr>
          <w:t xml:space="preserve">Boagworld — Objection Handling</w:t>
        </w:r>
      </w:hyperlink>
    </w:p>
    <w:p>
      <w:pPr>
        <w:pStyle w:val="Heading3"/>
      </w:pPr>
      <w:r>
        <w:t xml:space="preserve">ДІЯ</w:t>
      </w:r>
    </w:p>
    <w:p>
      <w:pPr>
        <w:spacing w:after="80" w:before="80" w:line="300"/>
      </w:pPr>
      <w:r>
        <w:t xml:space="preserve">#### Блок 21 — Форма (фінальний CTA)</w:t>
      </w:r>
    </w:p>
    <w:p>
      <w:pPr>
        <w:spacing w:after="80" w:before="80" w:line="300"/>
      </w:pPr>
      <w:r>
        <w:t xml:space="preserve">Для bottom-funnel сторінок єдиний primary CTA конвертить краще за множинні форми. Поточна Форма #1 на 5-му скролі (до показу команди, кейсів, відгуків) розриває логічний ланцюг "хто/що → як → довіра" — її прибрати, лишити тільки фінальну. Скорочення форми з 11 до 4 полів = +120% conversion. Sticky-CTA дає +11% lift, але виноситься у наступний раунд.</w:t>
      </w:r>
    </w:p>
    <w:p>
      <w:pPr>
        <w:spacing w:after="80" w:before="80" w:line="300"/>
      </w:pPr>
      <w:r>
        <w:t xml:space="preserve">#### Блок 22 — Футер</w:t>
      </w:r>
    </w:p>
    <w:p>
      <w:pPr>
        <w:spacing w:after="80" w:before="80" w:line="300"/>
      </w:pPr>
      <w:r>
        <w:t xml:space="preserve">Контакти, юридична інформація, соцмережі, копірайт.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Counter-evidence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Trust badges на B2B services дають менший lift, ніж на e-commerce.</w:t>
      </w:r>
      <w:r>
        <w:t xml:space="preserve"> Більшість Baymard-research — про checkout-trust на e-commerce. Для B2B-services lift скромніший і менш дослідженний; вагу мають впізнавані бейджі (Google, Clutch), не generic "SSL secured". Не перебільшувати +40%.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"Universal 2-3× video conversion lift" не доведений.</w:t>
      </w:r>
      <w:r>
        <w:t xml:space="preserve"> Wyzowl + інші дають широкий діапазон +25-200%. Формулювання має бути "відеовідгук — найкраща перевірена форма соцдоказу для B2B (79% buyers переконані)", не "втричі більше лідів".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Послідовність кейси→відгуки — best-practice, не eyetracking-факт.</w:t>
      </w:r>
      <w:r>
        <w:t xml:space="preserve"> Cialdini consistency — теорія впливу, не A/B-тест. Великих eyetracking-досліджень про порядок саме цих двох блоків немає. Аргумент логічний, але слабший за TrustRadius/Wyzowl/Gartner-цифри.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Soft-CTA в Hero без контексту не працює.</w:t>
      </w:r>
      <w:r>
        <w:t xml:space="preserve"> Лід-магніт "Отримати приклад звіту" в Hero сприймається як generic — людина ще не розуміє контексту ("який звіт, навіщо"). Soft-CTA працюють у блоках з нативним контекстом (тут — Звітність).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Schwartz Awareness Stages — фреймворк 1966, не peer-reviewed.</w:t>
      </w:r>
      <w:r>
        <w:t xml:space="preserve"> Це не наукова стаття, але класика з постійними цитуваннями (CXL, Copyhackers, MarketingProfs); є сучасні адаптації. Як аргумент "чому бренд-запит інший" — підходить.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b/>
          <w:bCs/>
        </w:rPr>
        <w:t xml:space="preserve">"Page fold більше не існує."</w:t>
      </w:r>
      <w:r>
        <w:t xml:space="preserve"> Аргумент популярний у 2010-х, але NN/g 2018 (57 453 fixations) показав, що pattern зберігається — 57% уваги все одно над фолдом. Цитувати свіжі дані NN/g, не старі гайди.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Sources</w:t>
      </w:r>
    </w:p>
    <w:p>
      <w:pPr>
        <w:pStyle w:val="Heading3"/>
      </w:pPr>
      <w:r>
        <w:t xml:space="preserve">Above-the-fold і scroll behaviour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apstqcyqyeoveyb4qd0yn">
        <w:r>
          <w:rPr>
            <w:rStyle w:val="Hyperlink"/>
            <w:color w:val="0563C1"/>
            <w:u w:val="single"/>
          </w:rPr>
          <w:t xml:space="preserve">NN/g — Scrolling and Attention (Original Research, 2018)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zfp_dz_ibqkypwaobtugp">
        <w:r>
          <w:rPr>
            <w:rStyle w:val="Hyperlink"/>
            <w:color w:val="0563C1"/>
            <w:u w:val="single"/>
          </w:rPr>
          <w:t xml:space="preserve">NN/g — The Fold Manifesto</w:t>
        </w:r>
      </w:hyperlink>
    </w:p>
    <w:p>
      <w:pPr>
        <w:pStyle w:val="Heading3"/>
      </w:pPr>
      <w:r>
        <w:t xml:space="preserve">B2B buyer journey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dgjbsv3sojwhzhydcqv8s">
        <w:r>
          <w:rPr>
            <w:rStyle w:val="Hyperlink"/>
            <w:color w:val="0563C1"/>
            <w:u w:val="single"/>
          </w:rPr>
          <w:t xml:space="preserve">Gartner — B2B Buying Journey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r56vc2_xpe468paim1oe_">
        <w:r>
          <w:rPr>
            <w:rStyle w:val="Hyperlink"/>
            <w:color w:val="0563C1"/>
            <w:u w:val="single"/>
          </w:rPr>
          <w:t xml:space="preserve">Gartner Sales Survey 67% Rep-Free (2026)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ohfy-zir-h0ifsmoufymi">
        <w:r>
          <w:rPr>
            <w:rStyle w:val="Hyperlink"/>
            <w:color w:val="0563C1"/>
            <w:u w:val="single"/>
          </w:rPr>
          <w:t xml:space="preserve">Brixon — Modern B2B Buying Journey 80%</w:t>
        </w:r>
      </w:hyperlink>
    </w:p>
    <w:p>
      <w:pPr>
        <w:pStyle w:val="Heading3"/>
      </w:pPr>
      <w:r>
        <w:t xml:space="preserve">Trust і social proof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1ou0cyn-noabq3qnyaki5">
        <w:r>
          <w:rPr>
            <w:rStyle w:val="Hyperlink"/>
            <w:color w:val="0563C1"/>
            <w:u w:val="single"/>
          </w:rPr>
          <w:t xml:space="preserve">Edelman Trust Barometer 2025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jt56ox8k-abzadqog68pp">
        <w:r>
          <w:rPr>
            <w:rStyle w:val="Hyperlink"/>
            <w:color w:val="0563C1"/>
            <w:u w:val="single"/>
          </w:rPr>
          <w:t xml:space="preserve">Hashmeta — Trust Blocks Conversion +20-40%</w:t>
        </w:r>
      </w:hyperlink>
    </w:p>
    <w:p>
      <w:pPr>
        <w:pStyle w:val="Heading3"/>
      </w:pPr>
      <w:r>
        <w:t xml:space="preserve">Pricing transparency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ovvarkjnumnidbo7eupfi">
        <w:r>
          <w:rPr>
            <w:rStyle w:val="Hyperlink"/>
            <w:color w:val="0563C1"/>
            <w:u w:val="single"/>
          </w:rPr>
          <w:t xml:space="preserve">TrustRadius — Tech Buyers Demand Honest Pricing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igtyynry0xjiafiq7m2nt">
        <w:r>
          <w:rPr>
            <w:rStyle w:val="Hyperlink"/>
            <w:color w:val="0563C1"/>
            <w:u w:val="single"/>
          </w:rPr>
          <w:t xml:space="preserve">TrustRadius — 2024 Year of Brand Crisis</w:t>
        </w:r>
      </w:hyperlink>
    </w:p>
    <w:p>
      <w:pPr>
        <w:pStyle w:val="Heading3"/>
      </w:pPr>
      <w:r>
        <w:t xml:space="preserve">Case studies, testimonials, video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_wkrdw5yr7uu6uld2s0qg">
        <w:r>
          <w:rPr>
            <w:rStyle w:val="Hyperlink"/>
            <w:color w:val="0563C1"/>
            <w:u w:val="single"/>
          </w:rPr>
          <w:t xml:space="preserve">Demand Gen Report — Content Preferences Survey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a5dx3mwleiqixe2qoy1if">
        <w:r>
          <w:rPr>
            <w:rStyle w:val="Hyperlink"/>
            <w:color w:val="0563C1"/>
            <w:u w:val="single"/>
          </w:rPr>
          <w:t xml:space="preserve">Wyzowl — Video Marketing Statistics 2026</w:t>
        </w:r>
      </w:hyperlink>
    </w:p>
    <w:p>
      <w:pPr>
        <w:pStyle w:val="Heading3"/>
      </w:pPr>
      <w:r>
        <w:t xml:space="preserve">About Us / team photos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zfnowxgr-pcxfoysueeb_">
        <w:r>
          <w:rPr>
            <w:rStyle w:val="Hyperlink"/>
            <w:color w:val="0563C1"/>
            <w:u w:val="single"/>
          </w:rPr>
          <w:t xml:space="preserve">NN/g — Photos as Web Content</w:t>
        </w:r>
      </w:hyperlink>
    </w:p>
    <w:p>
      <w:pPr>
        <w:pStyle w:val="Heading3"/>
      </w:pPr>
      <w:r>
        <w:t xml:space="preserve">Headlines / value proposition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pmxeadpotz9kmqju01o1l">
        <w:r>
          <w:rPr>
            <w:rStyle w:val="Hyperlink"/>
            <w:color w:val="0563C1"/>
            <w:u w:val="single"/>
          </w:rPr>
          <w:t xml:space="preserve">CXL — Landing Page Anatomy</w:t>
        </w:r>
      </w:hyperlink>
    </w:p>
    <w:p>
      <w:pPr>
        <w:pStyle w:val="Heading3"/>
      </w:pPr>
      <w:r>
        <w:t xml:space="preserve">Awareness stages і фреймворки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4jxug7ci24gwl2ghvawzi">
        <w:r>
          <w:rPr>
            <w:rStyle w:val="Hyperlink"/>
            <w:color w:val="0563C1"/>
            <w:u w:val="single"/>
          </w:rPr>
          <w:t xml:space="preserve">Schwartz Pyramid of Awareness Guide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k_ahgsasnggvdaxlen3hc">
        <w:r>
          <w:rPr>
            <w:rStyle w:val="Hyperlink"/>
            <w:color w:val="0563C1"/>
            <w:u w:val="single"/>
          </w:rPr>
          <w:t xml:space="preserve">Schwartz 5 Stages — Lead Generation Framework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g6q4mv6-kki4-2hm-5y7s">
        <w:r>
          <w:rPr>
            <w:rStyle w:val="Hyperlink"/>
            <w:color w:val="0563C1"/>
            <w:u w:val="single"/>
          </w:rPr>
          <w:t xml:space="preserve">StoryBrand SB7 Framework</w:t>
        </w:r>
      </w:hyperlink>
    </w:p>
    <w:p>
      <w:pPr>
        <w:pStyle w:val="Heading3"/>
      </w:pPr>
      <w:r>
        <w:t xml:space="preserve">Cognitive load / Hick's Law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uckblgtwbm1rx_z9t72jk">
        <w:r>
          <w:rPr>
            <w:rStyle w:val="Hyperlink"/>
            <w:color w:val="0563C1"/>
            <w:u w:val="single"/>
          </w:rPr>
          <w:t xml:space="preserve">Laws of UX — Hick's Law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jereprlj2l9sx_8zfg-kb">
        <w:r>
          <w:rPr>
            <w:rStyle w:val="Hyperlink"/>
            <w:color w:val="0563C1"/>
            <w:u w:val="single"/>
          </w:rPr>
          <w:t xml:space="preserve">VWO — Hick's Law and Choices</w:t>
        </w:r>
      </w:hyperlink>
    </w:p>
    <w:p>
      <w:pPr>
        <w:pStyle w:val="Heading3"/>
      </w:pPr>
      <w:r>
        <w:t xml:space="preserve">FAQ / objection handling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vw8ywsr_kxwny-3xyrqrl">
        <w:r>
          <w:rPr>
            <w:rStyle w:val="Hyperlink"/>
            <w:color w:val="0563C1"/>
            <w:u w:val="single"/>
          </w:rPr>
          <w:t xml:space="preserve">Boagworld — Objection Handling Conversion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mqokj5gdvh1opjq3xeqlg">
        <w:r>
          <w:rPr>
            <w:rStyle w:val="Hyperlink"/>
            <w:color w:val="0563C1"/>
            <w:u w:val="single"/>
          </w:rPr>
          <w:t xml:space="preserve">PPC Hero — Overcome Objections on Landing Page</w:t>
        </w:r>
      </w:hyperlink>
    </w:p>
    <w:p>
      <w:pPr>
        <w:pStyle w:val="Heading3"/>
      </w:pPr>
      <w:r>
        <w:t xml:space="preserve">Forms / final CTA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p_nbwkc5as6j34ksx1rwo">
        <w:r>
          <w:rPr>
            <w:rStyle w:val="Hyperlink"/>
            <w:color w:val="0563C1"/>
            <w:u w:val="single"/>
          </w:rPr>
          <w:t xml:space="preserve">KlientBoost — 17 Data-Backed Form Elements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szpv7s00j-mgdzyoyej9i">
        <w:r>
          <w:rPr>
            <w:rStyle w:val="Hyperlink"/>
            <w:color w:val="0563C1"/>
            <w:u w:val="single"/>
          </w:rPr>
          <w:t xml:space="preserve">Digital Applied — 2,000 Landing Pages Tested 2026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iwkf0x5snwxjf3bx3mrk" Type="http://schemas.openxmlformats.org/officeDocument/2006/relationships/hyperlink" Target="https://site24.sprava1.com/" TargetMode="External"/><Relationship Id="rIdjmy9igwfcxbebkgywtxfo" Type="http://schemas.openxmlformats.org/officeDocument/2006/relationships/hyperlink" Target="https://b-plannow.com/en/the-schwartz-pyramid-guide-to-the-5-levels-of-customer-awareness/" TargetMode="External"/><Relationship Id="rIdmciaxohytxofhtgrab3qp" Type="http://schemas.openxmlformats.org/officeDocument/2006/relationships/hyperlink" Target="https://www.nngroup.com/articles/scrolling-and-attention-original-research/" TargetMode="External"/><Relationship Id="rIdur2lm1jllwp7u69ejfedq" Type="http://schemas.openxmlformats.org/officeDocument/2006/relationships/hyperlink" Target="https://solutions.trustradius.com/vendor-blog/tech-buyers-demand-honest-and-up-front-pricing-info/" TargetMode="External"/><Relationship Id="rIdajiuxsh6perldclq5gahs" Type="http://schemas.openxmlformats.org/officeDocument/2006/relationships/hyperlink" Target="https://www.demandgenreport.com/industry-news/b2b-content-preferences-survey-buyers-want-short-visual-mobile-optimized-content/22396/" TargetMode="External"/><Relationship Id="rId-wngdp_ispmhhv8mkxo7s" Type="http://schemas.openxmlformats.org/officeDocument/2006/relationships/hyperlink" Target="https://wyzowl.com/video-marketing-statistics/" TargetMode="External"/><Relationship Id="rId2-rfmlrcbmkrhffc1lx07" Type="http://schemas.openxmlformats.org/officeDocument/2006/relationships/hyperlink" Target="https://www.leadgen-economy.com/blog/five-stages-awareness-lead-generation/" TargetMode="External"/><Relationship Id="rId80v4xcyd5ay6uwvyrivqk" Type="http://schemas.openxmlformats.org/officeDocument/2006/relationships/hyperlink" Target="https://www.gartner.com/en/sales/insights/b2b-buying-journey" TargetMode="External"/><Relationship Id="rIda5e_b_fzt6kyeoyq8gwlz" Type="http://schemas.openxmlformats.org/officeDocument/2006/relationships/hyperlink" Target="https://storybrand.com/" TargetMode="External"/><Relationship Id="rIditghu4krn8ixy8sel7mnc" Type="http://schemas.openxmlformats.org/officeDocument/2006/relationships/hyperlink" Target="https://lawsofux.com/hicks-law/" TargetMode="External"/><Relationship Id="rIdtkagkofnkfeultm9wsm3s" Type="http://schemas.openxmlformats.org/officeDocument/2006/relationships/hyperlink" Target="https://cxl.com/blog/how-to-build-a-high-converting-landing-page/" TargetMode="External"/><Relationship Id="rIdllsubs8zgmjeg8azfstcb" Type="http://schemas.openxmlformats.org/officeDocument/2006/relationships/hyperlink" Target="https://hashmeta.com/blog/why-trust-blocks-increase-conversions-significantly-the-psychology-and-data-behind-digital-trust-signals/" TargetMode="External"/><Relationship Id="rIddtf6asec3qx3c2kvk2asc" Type="http://schemas.openxmlformats.org/officeDocument/2006/relationships/hyperlink" Target="https://www.nngroup.com/articles/photos-as-web-content/" TargetMode="External"/><Relationship Id="rIdc9aqsp3bbvtake_bukjcu" Type="http://schemas.openxmlformats.org/officeDocument/2006/relationships/hyperlink" Target="https://www.demandgenreport.com/industry-news/b2b-content-preferences-survey-buyers-want-short-visual-mobile-optimized-content/22396/" TargetMode="External"/><Relationship Id="rIdikfr0cb8ew22yqpdmxv-h" Type="http://schemas.openxmlformats.org/officeDocument/2006/relationships/hyperlink" Target="https://www.klientboost.com/landing-pages/landing-page-forms/" TargetMode="External"/><Relationship Id="rId93hl9bpfkifllwwpc-uol" Type="http://schemas.openxmlformats.org/officeDocument/2006/relationships/hyperlink" Target="https://wyzowl.com/video-marketing-statistics/" TargetMode="External"/><Relationship Id="rIdafb6kmkkv-z-vgs1wpzbx" Type="http://schemas.openxmlformats.org/officeDocument/2006/relationships/hyperlink" Target="https://solutions.trustradius.com/vendor-blog/tech-buyers-demand-honest-and-up-front-pricing-info/" TargetMode="External"/><Relationship Id="rIdtaehziv3hmivmtlcs3ymy" Type="http://schemas.openxmlformats.org/officeDocument/2006/relationships/hyperlink" Target="https://boagworld.com/marketing/objection-handling/" TargetMode="External"/><Relationship Id="rIdapstqcyqyeoveyb4qd0yn" Type="http://schemas.openxmlformats.org/officeDocument/2006/relationships/hyperlink" Target="https://www.nngroup.com/articles/scrolling-and-attention-original-research/" TargetMode="External"/><Relationship Id="rIdzfp_dz_ibqkypwaobtugp" Type="http://schemas.openxmlformats.org/officeDocument/2006/relationships/hyperlink" Target="https://www.nngroup.com/articles/page-fold-manifesto/" TargetMode="External"/><Relationship Id="rIddgjbsv3sojwhzhydcqv8s" Type="http://schemas.openxmlformats.org/officeDocument/2006/relationships/hyperlink" Target="https://www.gartner.com/en/sales/insights/b2b-buying-journey" TargetMode="External"/><Relationship Id="rIdr56vc2_xpe468paim1oe_" Type="http://schemas.openxmlformats.org/officeDocument/2006/relationships/hyperlink" Target="https://www.gartner.com/en/newsroom/press-releases/2026-03-09-gartner-sales-survey-finds-67-percent-of-b2b-buyers-prefer-a-rep-free-experience" TargetMode="External"/><Relationship Id="rIdohfy-zir-h0ifsmoufymi" Type="http://schemas.openxmlformats.org/officeDocument/2006/relationships/hyperlink" Target="https://brixongroup.com/en/the-modern-b2b-buying-journey-why-buyers-complete-80-of-their-journey-alone-and-how-you-can-still-remain-visible" TargetMode="External"/><Relationship Id="rId1ou0cyn-noabq3qnyaki5" Type="http://schemas.openxmlformats.org/officeDocument/2006/relationships/hyperlink" Target="https://www.edelman.com/trust/2025/trust-barometer" TargetMode="External"/><Relationship Id="rIdjt56ox8k-abzadqog68pp" Type="http://schemas.openxmlformats.org/officeDocument/2006/relationships/hyperlink" Target="https://hashmeta.com/blog/why-trust-blocks-increase-conversions-significantly-the-psychology-and-data-behind-digital-trust-signals/" TargetMode="External"/><Relationship Id="rIdovvarkjnumnidbo7eupfi" Type="http://schemas.openxmlformats.org/officeDocument/2006/relationships/hyperlink" Target="https://solutions.trustradius.com/vendor-blog/tech-buyers-demand-honest-and-up-front-pricing-info/" TargetMode="External"/><Relationship Id="rIdigtyynry0xjiafiq7m2nt" Type="http://schemas.openxmlformats.org/officeDocument/2006/relationships/hyperlink" Target="https://solutions.trustradius.com/vendor-blog/2024-b2b-buying-disconnect-the-year-of-the-brand-crisis/" TargetMode="External"/><Relationship Id="rId_wkrdw5yr7uu6uld2s0qg" Type="http://schemas.openxmlformats.org/officeDocument/2006/relationships/hyperlink" Target="https://www.demandgenreport.com/industry-news/b2b-content-preferences-survey-buyers-want-short-visual-mobile-optimized-content/22396/" TargetMode="External"/><Relationship Id="rIda5dx3mwleiqixe2qoy1if" Type="http://schemas.openxmlformats.org/officeDocument/2006/relationships/hyperlink" Target="https://wyzowl.com/video-marketing-statistics/" TargetMode="External"/><Relationship Id="rIdzfnowxgr-pcxfoysueeb_" Type="http://schemas.openxmlformats.org/officeDocument/2006/relationships/hyperlink" Target="https://www.nngroup.com/articles/photos-as-web-content/" TargetMode="External"/><Relationship Id="rIdpmxeadpotz9kmqju01o1l" Type="http://schemas.openxmlformats.org/officeDocument/2006/relationships/hyperlink" Target="https://cxl.com/blog/how-to-build-a-high-converting-landing-page/" TargetMode="External"/><Relationship Id="rId4jxug7ci24gwl2ghvawzi" Type="http://schemas.openxmlformats.org/officeDocument/2006/relationships/hyperlink" Target="https://b-plannow.com/en/the-schwartz-pyramid-guide-to-the-5-levels-of-customer-awareness/" TargetMode="External"/><Relationship Id="rIdk_ahgsasnggvdaxlen3hc" Type="http://schemas.openxmlformats.org/officeDocument/2006/relationships/hyperlink" Target="https://www.leadgen-economy.com/blog/five-stages-awareness-lead-generation/" TargetMode="External"/><Relationship Id="rIdg6q4mv6-kki4-2hm-5y7s" Type="http://schemas.openxmlformats.org/officeDocument/2006/relationships/hyperlink" Target="https://storybrand.com/" TargetMode="External"/><Relationship Id="rIduckblgtwbm1rx_z9t72jk" Type="http://schemas.openxmlformats.org/officeDocument/2006/relationships/hyperlink" Target="https://lawsofux.com/hicks-law/" TargetMode="External"/><Relationship Id="rIdjereprlj2l9sx_8zfg-kb" Type="http://schemas.openxmlformats.org/officeDocument/2006/relationships/hyperlink" Target="https://vwo.com/blog/what-is-hicks-law-and-how-it-can-simplify-choices/" TargetMode="External"/><Relationship Id="rIdvw8ywsr_kxwny-3xyrqrl" Type="http://schemas.openxmlformats.org/officeDocument/2006/relationships/hyperlink" Target="https://boagworld.com/marketing/objection-handling/" TargetMode="External"/><Relationship Id="rIdmqokj5gdvh1opjq3xeqlg" Type="http://schemas.openxmlformats.org/officeDocument/2006/relationships/hyperlink" Target="https://www.ppchero.com/get-negative-how-to-overcome-objections-on-your-landing-page/" TargetMode="External"/><Relationship Id="rIdp_nbwkc5as6j34ksx1rwo" Type="http://schemas.openxmlformats.org/officeDocument/2006/relationships/hyperlink" Target="https://www.klientboost.com/landing-pages/landing-page-forms/" TargetMode="External"/><Relationship Id="rIdszpv7s00j-mgdzyoyej9i" Type="http://schemas.openxmlformats.org/officeDocument/2006/relationships/hyperlink" Target="https://www.digitalapplied.com/blog/landing-page-conversion-study-2000-pages-tested-2026" TargetMode="External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2026-05-06T15:24:08.761Z</dcterms:created>
  <dcterms:modified xsi:type="dcterms:W3CDTF">2026-05-06T15:24:08.761Z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