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480" w:lineRule="auto"/>
        <w:rPr>
          <w:rFonts w:ascii="Times" w:cs="Times" w:eastAsia="Times" w:hAnsi="Times"/>
        </w:rPr>
      </w:pPr>
      <w:r>
        <w:t>, 01 de febrero del año 2026</w:t>
      </w:r>
    </w:p>
    <w:p w:rsidR="00000000" w:rsidDel="00000000" w:rsidP="00000000" w:rsidRDefault="00000000" w:rsidRPr="00000000" w14:paraId="00000002">
      <w:pPr>
        <w:spacing w:after="240" w:line="480" w:lineRule="auto"/>
        <w:jc w:val="center"/>
        <w:rPr>
          <w:rFonts w:ascii="Times" w:cs="Times" w:eastAsia="Times" w:hAnsi="Times"/>
          <w:b w:val="1"/>
          <w:bCs w:val="1"/>
        </w:rPr>
      </w:pPr>
      <w:r>
        <w:t>ACTA ASIGNACIÓN VIGÍA RESPONSABLE DE LA IMPLEMENTACIÓN DEL SG-SST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Times" w:cs="Times" w:eastAsia="Times" w:hAnsi="Times"/>
        </w:rPr>
      </w:pPr>
      <w:r>
        <w:t>En cumplimiento de lo establecido en el artículo 2.2.4.6.8 del Decreto 1072 de 2015 y la Resolución 0312 de 2019, la empresa FOREST GREEN SERVICIOS AMBIENTALES S.A.S., dedicada a actividades clasificadas bajo los códigos CIIU 0230 y 3311, procede a designar como responsable de la implementación, mantenimiento y mejora continua del Sistema de Gestión de Seguridad y Salud en el Trabajo (SG-SST) a: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" w:cs="Times" w:eastAsia="Times" w:hAnsi="Times"/>
        </w:rPr>
      </w:pPr>
      <w:r>
        <w:t>Nombre: __________________________________________</w:t>
        <w:br/>
        <w:t>Identificación: C.C. __________________ de __________________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" w:cs="Times" w:eastAsia="Times" w:hAnsi="Times"/>
        </w:rPr>
      </w:pPr>
      <w:r>
        <w:t>Quien contará con las competencias necesarias en Seguridad y Salud en el Trabajo, acorde con el nivel de riesgo de la empresa, y asumirá las siguientes responsabilidades: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</w:rPr>
      </w:pPr>
      <w:r>
        <w:t>Planificación y ejecución del SG-SST</w:t>
        <w:br/>
        <w:t xml:space="preserve"> Planear, organizar, dirigir, desarrollar, implementar y evaluar el SG-SST, conforme a la normatividad legal vigente y a los riesgos propios de las actividades de fabricación, instalación, mantenimiento y reparación de estructuras metálicas.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</w:rPr>
      </w:pPr>
      <w:r>
        <w:t>Evaluación del sistema</w:t>
        <w:br/>
        <w:t xml:space="preserve"> Realizar como mínimo una (1) vez al año la evaluación del SG-SST, incluyendo la medición de indicadores, auditorías internas y revisión por la dirección.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</w:rPr>
      </w:pPr>
      <w:r>
        <w:t>Reporte a la alta dirección</w:t>
        <w:br/>
        <w:t xml:space="preserve"> Informar periódicamente a la alta dirección sobre el desempeño del SG-SST, incluyendo resultados, hallazgos, cumplimiento de objetivos y oportunidades de mejora.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</w:rPr>
      </w:pPr>
      <w:r>
        <w:t>Gestión de riesgos laborales</w:t>
        <w:br/>
        <w:t xml:space="preserve"> Coordinar la identificación de peligros, evaluación y valoración de riesgos (IPVR), con especial énfasis en riesgos mecánicos, locativos, eléctricos, trabajo en campo y terreno irregular, manejo de herramientas y equipos, y exposición a agentes físicos y químicos propios del sector forestal y agrícola.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</w:rPr>
      </w:pPr>
      <w:r>
        <w:t>Actualización de la matriz de peligros</w:t>
        <w:br/>
        <w:t xml:space="preserve"> Liderar la elaboración, actualización y seguimiento de la matriz de peligros, asegurando la implementación de controles y priorización de intervenciones.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</w:rPr>
      </w:pPr>
      <w:r>
        <w:t>Promoción de la participación</w:t>
        <w:br/>
        <w:t xml:space="preserve"> Fomentar la participación activa de todos los trabajadores, contratistas y demás partes interesadas en el SG-SST.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</w:rPr>
      </w:pPr>
      <w:r>
        <w:t>Capacitación y formación</w:t>
        <w:br/>
        <w:t xml:space="preserve"> Diseñar y ejecutar el plan anual de capacitación en SST, acorde con los riesgos de la empresa, garantizando la formación en temas como trabajo seguro, uso de EPP, prevención de accidentes y respuesta a emergencias.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</w:rPr>
      </w:pPr>
      <w:r>
        <w:t>Gestión con la ARL</w:t>
        <w:br/>
        <w:t xml:space="preserve"> Coordinar la ejecución de actividades con la Administradora de Riesgos Laborales (ARL), asistir a capacitaciones y garantizar la socialización de estas a todos los trabajadores.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</w:rPr>
      </w:pPr>
      <w:r>
        <w:t>Cumplimiento normativo</w:t>
        <w:br/>
        <w:t xml:space="preserve"> Velar por el cumplimiento de la legislación vigente en materia de Seguridad y Salud en el Trabajo y demás requisitos aplicables a la empresa.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</w:rPr>
      </w:pPr>
      <w:r>
        <w:t>Mejora continua</w:t>
        <w:br/>
        <w:t xml:space="preserve"> Implementar acciones correctivas, preventivas y de mejora derivadas de incidentes, accidentes de trabajo, inspecciones y auditorías.</w:t>
      </w:r>
    </w:p>
    <w:p w:rsidR="00000000" w:rsidDel="00000000" w:rsidP="00000000" w:rsidRDefault="00000000" w:rsidRPr="00000000" w14:paraId="00000010">
      <w:pPr>
        <w:ind w:left="720" w:firstLine="0"/>
        <w:jc w:val="both"/>
        <w:rPr>
          <w:rFonts w:ascii="Times" w:cs="Times" w:eastAsia="Times" w:hAnsi="Times"/>
        </w:rPr>
      </w:pPr>
      <w:r/>
    </w:p>
    <w:p w:rsidR="00000000" w:rsidDel="00000000" w:rsidP="00000000" w:rsidRDefault="00000000" w:rsidRPr="00000000" w14:paraId="00000011">
      <w:pPr>
        <w:ind w:left="0" w:firstLine="0"/>
        <w:jc w:val="both"/>
        <w:rPr>
          <w:rFonts w:ascii="Times" w:cs="Times" w:eastAsia="Times" w:hAnsi="Times"/>
        </w:rPr>
      </w:pPr>
      <w:r>
        <w:t>La presente designación se firma en constancia, comprometiendo a la empresa a brindar los recursos necesarios para el adecuado funcionamiento del SG-SST.</w:t>
      </w:r>
    </w:p>
    <w:p w:rsidR="00000000" w:rsidDel="00000000" w:rsidP="00000000" w:rsidRDefault="00000000" w:rsidRPr="00000000" w14:paraId="00000012">
      <w:pPr>
        <w:ind w:left="720" w:firstLine="0"/>
        <w:jc w:val="both"/>
        <w:rPr>
          <w:rFonts w:ascii="Times" w:cs="Times" w:eastAsia="Times" w:hAnsi="Times"/>
        </w:rPr>
      </w:pPr>
      <w:r/>
    </w:p>
    <w:p w:rsidR="00000000" w:rsidDel="00000000" w:rsidP="00000000" w:rsidRDefault="00000000" w:rsidRPr="00000000" w14:paraId="00000013">
      <w:pPr>
        <w:ind w:left="720" w:firstLine="0"/>
        <w:jc w:val="both"/>
        <w:rPr>
          <w:rFonts w:ascii="Times" w:cs="Times" w:eastAsia="Times" w:hAnsi="Times"/>
        </w:rPr>
      </w:pPr>
      <w:r/>
    </w:p>
    <w:p w:rsidR="00000000" w:rsidDel="00000000" w:rsidP="00000000" w:rsidRDefault="00000000" w:rsidRPr="00000000" w14:paraId="00000014">
      <w:pPr>
        <w:ind w:left="720" w:firstLine="0"/>
        <w:jc w:val="both"/>
        <w:rPr>
          <w:rFonts w:ascii="Times" w:cs="Times" w:eastAsia="Times" w:hAnsi="Times"/>
        </w:rPr>
      </w:pPr>
      <w:r/>
    </w:p>
    <w:p w:rsidR="00000000" w:rsidDel="00000000" w:rsidP="00000000" w:rsidRDefault="00000000" w:rsidRPr="00000000" w14:paraId="00000015">
      <w:pPr>
        <w:ind w:left="720" w:firstLine="0"/>
        <w:jc w:val="both"/>
        <w:rPr>
          <w:rFonts w:ascii="Times" w:cs="Times" w:eastAsia="Times" w:hAnsi="Times"/>
        </w:rPr>
      </w:pPr>
      <w:r/>
    </w:p>
    <w:p w:rsidR="00000000" w:rsidDel="00000000" w:rsidP="00000000" w:rsidRDefault="00000000" w:rsidRPr="00000000" w14:paraId="00000016">
      <w:pPr>
        <w:ind w:left="720" w:firstLine="0"/>
        <w:jc w:val="both"/>
        <w:rPr>
          <w:rFonts w:ascii="Times" w:cs="Times" w:eastAsia="Times" w:hAnsi="Times"/>
        </w:rPr>
      </w:pPr>
      <w:r/>
    </w:p>
    <w:p w:rsidR="00000000" w:rsidDel="00000000" w:rsidP="00000000" w:rsidRDefault="00000000" w:rsidRPr="00000000" w14:paraId="00000017">
      <w:pPr>
        <w:ind w:left="720" w:firstLine="0"/>
        <w:jc w:val="both"/>
        <w:rPr>
          <w:rFonts w:ascii="Times" w:cs="Times" w:eastAsia="Times" w:hAnsi="Times"/>
        </w:rPr>
      </w:pPr>
      <w:r/>
    </w:p>
    <w:p w:rsidR="00000000" w:rsidDel="00000000" w:rsidP="00000000" w:rsidRDefault="00000000" w:rsidRPr="00000000" w14:paraId="00000018">
      <w:pPr>
        <w:ind w:left="720" w:firstLine="0"/>
        <w:jc w:val="both"/>
        <w:rPr>
          <w:rFonts w:ascii="Times" w:cs="Times" w:eastAsia="Times" w:hAnsi="Times"/>
        </w:rPr>
      </w:pPr>
      <w:r/>
    </w:p>
    <w:p w:rsidR="00000000" w:rsidDel="00000000" w:rsidP="00000000" w:rsidRDefault="00000000" w:rsidRPr="00000000" w14:paraId="00000019">
      <w:pPr>
        <w:ind w:left="720" w:firstLine="0"/>
        <w:jc w:val="both"/>
        <w:rPr>
          <w:rFonts w:ascii="Times" w:cs="Times" w:eastAsia="Times" w:hAnsi="Times"/>
        </w:rPr>
      </w:pPr>
      <w:r/>
    </w:p>
    <w:p w:rsidR="00000000" w:rsidDel="00000000" w:rsidP="00000000" w:rsidRDefault="00000000" w:rsidRPr="00000000" w14:paraId="0000001A">
      <w:pPr>
        <w:ind w:left="720" w:firstLine="0"/>
        <w:jc w:val="both"/>
        <w:rPr>
          <w:rFonts w:ascii="Times" w:cs="Times" w:eastAsia="Times" w:hAnsi="Times"/>
        </w:rPr>
      </w:pPr>
      <w:r>
        <w:br/>
        <w:tab/>
        <w:tab/>
      </w:r>
    </w:p>
    <w:p w:rsidR="00000000" w:rsidDel="00000000" w:rsidP="00000000" w:rsidRDefault="00000000" w:rsidRPr="00000000" w14:paraId="0000001B">
      <w:pPr>
        <w:jc w:val="both"/>
        <w:rPr>
          <w:rFonts w:ascii="Times" w:cs="Times" w:eastAsia="Times" w:hAnsi="Times"/>
        </w:rPr>
      </w:pPr>
      <w:r>
        <w:t>____________________</w:t>
      </w:r>
    </w:p>
    <w:p w:rsidR="00000000" w:rsidDel="00000000" w:rsidP="00000000" w:rsidRDefault="00000000" w:rsidRPr="00000000" w14:paraId="0000001C">
      <w:pPr>
        <w:spacing w:after="240" w:lineRule="auto"/>
        <w:rPr>
          <w:rFonts w:ascii="Times" w:cs="Times" w:eastAsia="Times" w:hAnsi="Times"/>
        </w:rPr>
      </w:pPr>
      <w:r>
        <w:t>Profesional HSE</w:t>
        <w:br/>
        <w:t>C.C.</w:t>
        <w:br/>
        <w:t>Vigía en SST</w:t>
      </w:r>
    </w:p>
    <w:p w:rsidR="00000000" w:rsidDel="00000000" w:rsidP="00000000" w:rsidRDefault="00000000" w:rsidRPr="00000000" w14:paraId="0000001D">
      <w:pPr>
        <w:spacing w:after="240" w:lineRule="auto"/>
        <w:rPr>
          <w:rFonts w:ascii="Times" w:cs="Times" w:eastAsia="Times" w:hAnsi="Times"/>
        </w:rPr>
      </w:pPr>
      <w:r/>
    </w:p>
    <w:p w:rsidR="00000000" w:rsidDel="00000000" w:rsidP="00000000" w:rsidRDefault="00000000" w:rsidRPr="00000000" w14:paraId="0000001E">
      <w:pPr>
        <w:spacing w:after="240" w:lineRule="auto"/>
        <w:rPr>
          <w:rFonts w:ascii="Times" w:cs="Times" w:eastAsia="Times" w:hAnsi="Times"/>
        </w:rPr>
      </w:pPr>
      <w:r/>
    </w:p>
    <w:p w:rsidR="00000000" w:rsidDel="00000000" w:rsidP="00000000" w:rsidRDefault="00000000" w:rsidRPr="00000000" w14:paraId="0000001F">
      <w:pPr>
        <w:jc w:val="both"/>
        <w:rPr>
          <w:rFonts w:ascii="Times" w:cs="Times" w:eastAsia="Times" w:hAnsi="Times"/>
        </w:rPr>
      </w:pPr>
      <w:r/>
    </w:p>
    <w:p w:rsidR="00000000" w:rsidDel="00000000" w:rsidP="00000000" w:rsidRDefault="00000000" w:rsidRPr="00000000" w14:paraId="00000020">
      <w:pPr>
        <w:jc w:val="both"/>
        <w:rPr>
          <w:rFonts w:ascii="Times" w:cs="Times" w:eastAsia="Times" w:hAnsi="Times"/>
        </w:rPr>
      </w:pPr>
      <w:r>
        <w:t>_______________________</w:t>
      </w:r>
    </w:p>
    <w:p w:rsidR="00000000" w:rsidDel="00000000" w:rsidP="00000000" w:rsidRDefault="00000000" w:rsidRPr="00000000" w14:paraId="00000021">
      <w:pPr>
        <w:jc w:val="both"/>
        <w:rPr>
          <w:rFonts w:ascii="Times" w:cs="Times" w:eastAsia="Times" w:hAnsi="Times"/>
          <w:b w:val="1"/>
          <w:bCs w:val="1"/>
          <w:color w:val="0d0d0d"/>
        </w:rPr>
      </w:pPr>
      <w:r>
        <w:t>Carlos Andrés Muñoz Parra</w:t>
      </w:r>
    </w:p>
    <w:p w:rsidR="00000000" w:rsidDel="00000000" w:rsidP="00000000" w:rsidRDefault="00000000" w:rsidRPr="00000000" w14:paraId="00000022">
      <w:pPr>
        <w:jc w:val="both"/>
        <w:rPr>
          <w:rFonts w:ascii="Times" w:cs="Times" w:eastAsia="Times" w:hAnsi="Times"/>
          <w:color w:val="0d0d0d"/>
        </w:rPr>
      </w:pPr>
      <w:r>
        <w:t xml:space="preserve">C.C. </w:t>
      </w:r>
    </w:p>
    <w:p w:rsidR="00000000" w:rsidDel="00000000" w:rsidP="00000000" w:rsidRDefault="00000000" w:rsidRPr="00000000" w14:paraId="00000023">
      <w:pPr>
        <w:jc w:val="both"/>
        <w:rPr>
          <w:rFonts w:ascii="Times" w:cs="Times" w:eastAsia="Times" w:hAnsi="Times"/>
        </w:rPr>
      </w:pPr>
      <w:r>
        <w:t>Representante Legal: Carlos Andrés Muñoz Parra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tabs>
        <w:tab w:val="center" w:leader="none" w:pos="4419"/>
        <w:tab w:val="right" w:leader="none" w:pos="8838"/>
      </w:tabs>
      <w:rPr/>
    </w:pPr>
    <w:r/>
  </w:p>
  <w:tbl>
    <w:tblPr>
      <w:tblStyle w:val="Table2"/>
      <w:tblW w:w="10095.0" w:type="dxa"/>
      <w:jc w:val="left"/>
      <w:tblInd w:w="-570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600"/>
    </w:tblPr>
    <w:tblGrid>
      <w:gridCol w:w="3150"/>
      <w:gridCol w:w="3330"/>
      <w:gridCol w:w="3615"/>
      <w:tblGridChange w:id="0">
        <w:tblGrid>
          <w:gridCol w:w="3150"/>
          <w:gridCol w:w="3330"/>
          <w:gridCol w:w="3615"/>
        </w:tblGrid>
      </w:tblGridChange>
    </w:tblGrid>
    <w:tr>
      <w:trPr>
        <w:cantSplit w:val="0"/>
        <w:trHeight w:val="315" w:hRule="atLeast"/>
        <w:tblHeader w:val="0"/>
      </w:trPr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  <w:tcMar>
            <w:top w:w="0.0" w:type="dxa"/>
            <w:left w:w="100.0" w:type="dxa"/>
            <w:bottom w:w="0.0" w:type="dxa"/>
            <w:right w:w="100.0" w:type="dxa"/>
          </w:tcMar>
        </w:tcPr>
        <w:p w:rsidR="00000000" w:rsidDel="00000000" w:rsidP="00000000" w:rsidRDefault="00000000" w:rsidRPr="00000000" w14:paraId="00000033">
          <w:pPr>
            <w:tabs>
              <w:tab w:val="center" w:leader="none" w:pos="4419"/>
              <w:tab w:val="right" w:leader="none" w:pos="8838"/>
            </w:tabs>
            <w:spacing w:after="240" w:before="240" w:lineRule="auto"/>
            <w:ind w:left="380" w:right="100" w:firstLine="0"/>
            <w:jc w:val="both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Elaborado por:</w:t>
          </w:r>
        </w:p>
      </w:tc>
      <w:tc>
        <w:tcPr>
          <w:tcBorders>
            <w:top w:color="000000" w:space="0" w:sz="6" w:val="single"/>
            <w:left w:color="000000" w:space="0" w:sz="0" w:val="nil"/>
            <w:bottom w:color="000000" w:space="0" w:sz="6" w:val="single"/>
            <w:right w:color="000000" w:space="0" w:sz="6" w:val="single"/>
          </w:tcBorders>
          <w:tcMar>
            <w:top w:w="0.0" w:type="dxa"/>
            <w:left w:w="100.0" w:type="dxa"/>
            <w:bottom w:w="0.0" w:type="dxa"/>
            <w:right w:w="100.0" w:type="dxa"/>
          </w:tcMar>
        </w:tcPr>
        <w:p w:rsidR="00000000" w:rsidDel="00000000" w:rsidP="00000000" w:rsidRDefault="00000000" w:rsidRPr="00000000" w14:paraId="00000034">
          <w:pPr>
            <w:tabs>
              <w:tab w:val="center" w:leader="none" w:pos="4419"/>
              <w:tab w:val="right" w:leader="none" w:pos="8838"/>
            </w:tabs>
            <w:spacing w:after="240" w:before="240" w:lineRule="auto"/>
            <w:ind w:left="380" w:right="100" w:firstLine="0"/>
            <w:jc w:val="both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Revisado por:</w:t>
          </w:r>
        </w:p>
      </w:tc>
      <w:tc>
        <w:tcPr>
          <w:tcBorders>
            <w:top w:color="000000" w:space="0" w:sz="6" w:val="single"/>
            <w:left w:color="000000" w:space="0" w:sz="0" w:val="nil"/>
            <w:bottom w:color="000000" w:space="0" w:sz="6" w:val="single"/>
            <w:right w:color="000000" w:space="0" w:sz="6" w:val="single"/>
          </w:tcBorders>
          <w:tcMar>
            <w:top w:w="0.0" w:type="dxa"/>
            <w:left w:w="100.0" w:type="dxa"/>
            <w:bottom w:w="0.0" w:type="dxa"/>
            <w:right w:w="100.0" w:type="dxa"/>
          </w:tcMar>
        </w:tcPr>
        <w:p w:rsidR="00000000" w:rsidDel="00000000" w:rsidP="00000000" w:rsidRDefault="00000000" w:rsidRPr="00000000" w14:paraId="00000035">
          <w:pPr>
            <w:tabs>
              <w:tab w:val="center" w:leader="none" w:pos="4419"/>
              <w:tab w:val="right" w:leader="none" w:pos="8838"/>
            </w:tabs>
            <w:spacing w:after="240" w:before="240" w:lineRule="auto"/>
            <w:ind w:left="380" w:right="100" w:firstLine="0"/>
            <w:jc w:val="both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Aprobado por:</w:t>
          </w:r>
        </w:p>
      </w:tc>
    </w:tr>
    <w:tr>
      <w:trPr>
        <w:cantSplit w:val="0"/>
        <w:trHeight w:val="360" w:hRule="atLeast"/>
        <w:tblHeader w:val="0"/>
      </w:trPr>
      <w:tc>
        <w:tcPr>
          <w:tcBorders>
            <w:top w:color="000000" w:space="0" w:sz="0" w:val="nil"/>
            <w:left w:color="000000" w:space="0" w:sz="6" w:val="single"/>
            <w:bottom w:color="000000" w:space="0" w:sz="6" w:val="single"/>
            <w:right w:color="000000" w:space="0" w:sz="6" w:val="single"/>
          </w:tcBorders>
          <w:tcMar>
            <w:top w:w="0.0" w:type="dxa"/>
            <w:left w:w="100.0" w:type="dxa"/>
            <w:bottom w:w="0.0" w:type="dxa"/>
            <w:right w:w="100.0" w:type="dxa"/>
          </w:tcMar>
        </w:tcPr>
        <w:p w:rsidR="00000000" w:rsidDel="00000000" w:rsidP="00000000" w:rsidRDefault="00000000" w:rsidRPr="00000000" w14:paraId="00000036">
          <w:pPr>
            <w:tabs>
              <w:tab w:val="center" w:leader="none" w:pos="4419"/>
              <w:tab w:val="right" w:leader="none" w:pos="8838"/>
            </w:tabs>
            <w:spacing w:after="240" w:before="240" w:lineRule="auto"/>
            <w:ind w:left="380" w:right="100" w:firstLine="0"/>
            <w:jc w:val="both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LUIS FERNANDO SALAZAR VELASQUEZ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6" w:val="single"/>
            <w:right w:color="000000" w:space="0" w:sz="6" w:val="single"/>
          </w:tcBorders>
          <w:tcMar>
            <w:top w:w="0.0" w:type="dxa"/>
            <w:left w:w="100.0" w:type="dxa"/>
            <w:bottom w:w="0.0" w:type="dxa"/>
            <w:right w:w="100.0" w:type="dxa"/>
          </w:tcMar>
        </w:tcPr>
        <w:p w:rsidR="00000000" w:rsidDel="00000000" w:rsidP="00000000" w:rsidRDefault="00000000" w:rsidRPr="00000000" w14:paraId="00000037">
          <w:pPr>
            <w:tabs>
              <w:tab w:val="center" w:leader="none" w:pos="4419"/>
              <w:tab w:val="right" w:leader="none" w:pos="8838"/>
            </w:tabs>
            <w:spacing w:after="240" w:before="240" w:lineRule="auto"/>
            <w:ind w:left="100" w:right="100" w:firstLine="0"/>
            <w:jc w:val="both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PROFESIONAL HSE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6" w:val="single"/>
            <w:right w:color="000000" w:space="0" w:sz="6" w:val="single"/>
          </w:tcBorders>
          <w:tcMar>
            <w:top w:w="0.0" w:type="dxa"/>
            <w:left w:w="100.0" w:type="dxa"/>
            <w:bottom w:w="0.0" w:type="dxa"/>
            <w:right w:w="100.0" w:type="dxa"/>
          </w:tcMar>
        </w:tcPr>
        <w:p w:rsidR="00000000" w:rsidDel="00000000" w:rsidP="00000000" w:rsidRDefault="00000000" w:rsidRPr="00000000" w14:paraId="00000038">
          <w:pPr>
            <w:tabs>
              <w:tab w:val="center" w:leader="none" w:pos="4419"/>
              <w:tab w:val="right" w:leader="none" w:pos="8838"/>
            </w:tabs>
            <w:spacing w:after="240" w:before="240" w:lineRule="auto"/>
            <w:ind w:left="100" w:right="100" w:firstLine="0"/>
            <w:jc w:val="both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>Carlos Andrés Muñoz Parra</w:t>
          </w:r>
        </w:p>
      </w:tc>
    </w:tr>
  </w:tbl>
  <w:p w:rsidR="00000000" w:rsidDel="00000000" w:rsidP="00000000" w:rsidRDefault="00000000" w:rsidRPr="00000000" w14:paraId="0000003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/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/>
  </w:p>
  <w:tbl>
    <w:tblPr>
      <w:tblStyle w:val="Table1"/>
      <w:tblW w:w="1049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843"/>
      <w:gridCol w:w="5387"/>
      <w:gridCol w:w="3260"/>
      <w:tblGridChange w:id="0">
        <w:tblGrid>
          <w:gridCol w:w="1843"/>
          <w:gridCol w:w="5387"/>
          <w:gridCol w:w="3260"/>
        </w:tblGrid>
      </w:tblGridChange>
    </w:tblGrid>
    <w:tr>
      <w:trPr>
        <w:cantSplit w:val="0"/>
        <w:trHeight w:val="277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2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ind w:left="0" w:right="-5.787401574803113" w:hanging="141.73228346456688"/>
            <w:jc w:val="center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</w:rPr>
            <w:drawing>
              <wp:inline distB="0" distT="0" distL="0" distR="0">
                <wp:extent cx="1210363" cy="855899"/>
                <wp:effectExtent b="0" l="0" r="0" t="0"/>
                <wp:docPr id="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0363" cy="8558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                                   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2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jc w:val="center"/>
            <w:rPr>
              <w:rFonts w:ascii="Times" w:cs="Times" w:eastAsia="Times" w:hAnsi="Times"/>
              <w:color w:val="000000"/>
            </w:rPr>
          </w:pPr>
          <w:r w:rsidDel="00000000" w:rsidR="00000000" w:rsidRPr="00000000">
            <w:rPr>
              <w:rFonts w:ascii="Times" w:cs="Times" w:eastAsia="Times" w:hAnsi="Times"/>
              <w:color w:val="000000"/>
              <w:rtl w:val="0"/>
            </w:rPr>
            <w:t xml:space="preserve">ASIGNACIÓN VIGÍA RESPONSABLE DE LA IMPLEMENTACIÓN DEL SG-SST</w:t>
          </w:r>
        </w:p>
      </w:tc>
      <w:tc>
        <w:tcPr/>
        <w:p w:rsidR="00000000" w:rsidDel="00000000" w:rsidP="00000000" w:rsidRDefault="00000000" w:rsidRPr="00000000" w14:paraId="0000002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rPr>
              <w:rFonts w:ascii="Times" w:cs="Times" w:eastAsia="Times" w:hAnsi="Times"/>
              <w:color w:val="000000"/>
            </w:rPr>
          </w:pPr>
          <w:r w:rsidDel="00000000" w:rsidR="00000000" w:rsidRPr="00000000">
            <w:rPr>
              <w:rFonts w:ascii="Times" w:cs="Times" w:eastAsia="Times" w:hAnsi="Times"/>
              <w:b/>
              <w:bCs w:val="1"/>
              <w:color w:val="000000"/>
              <w:rtl w:val="0"/>
            </w:rPr>
            <w:t>Fecha: 01/02/2026</w:t>
          </w:r>
          <w:r w:rsidDel="00000000" w:rsidR="00000000" w:rsidRPr="00000000">
            <w:rPr>
              <w:rFonts w:ascii="Times" w:cs="Times" w:eastAsia="Times" w:hAnsi="Times"/>
              <w:color w:val="000000"/>
              <w:rtl w:val="0"/>
            </w:rPr>
          </w:r>
        </w:p>
      </w:tc>
    </w:tr>
    <w:tr>
      <w:trPr>
        <w:cantSplit w:val="0"/>
        <w:trHeight w:val="292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left w:w="108.0" w:type="dxa"/>
            <w:right w:w="108.0" w:type="dxa"/>
          </w:tcMar>
        </w:tcPr>
        <w:p w:rsidR="00000000" w:rsidDel="00000000" w:rsidP="00000000" w:rsidRDefault="00000000" w:rsidRPr="00000000" w14:paraId="0000002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rPr>
              <w:rFonts w:ascii="Times" w:cs="Times" w:eastAsia="Times" w:hAnsi="Times"/>
              <w:color w:val="000000"/>
            </w:rPr>
          </w:pPr>
          <w:r w:rsidDel="00000000" w:rsidR="00000000" w:rsidRPr="00000000">
            <w:rPr>
              <w:rFonts w:ascii="Times" w:cs="Times" w:eastAsia="Times" w:hAnsi="Times"/>
              <w:b/>
              <w:bCs w:val="1"/>
              <w:color w:val="000000"/>
              <w:rtl w:val="0"/>
            </w:rPr>
            <w:t>Versión: 1</w:t>
          </w:r>
          <w:r w:rsidDel="00000000" w:rsidR="00000000" w:rsidRPr="00000000">
            <w:rPr>
              <w:rFonts w:ascii="Times" w:cs="Times" w:eastAsia="Times" w:hAnsi="Times"/>
              <w:color w:val="000000"/>
              <w:rtl w:val="0"/>
            </w:rPr>
          </w:r>
        </w:p>
      </w:tc>
    </w:tr>
    <w:tr>
      <w:trPr>
        <w:cantSplit w:val="0"/>
        <w:trHeight w:val="262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left w:w="108.0" w:type="dxa"/>
            <w:right w:w="108.0" w:type="dxa"/>
          </w:tcMar>
        </w:tcPr>
        <w:p w:rsidR="00000000" w:rsidDel="00000000" w:rsidP="00000000" w:rsidRDefault="00000000" w:rsidRPr="00000000" w14:paraId="0000002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rPr>
              <w:rFonts w:ascii="Times" w:cs="Times" w:eastAsia="Times" w:hAnsi="Times"/>
              <w:color w:val="000000"/>
            </w:rPr>
          </w:pPr>
          <w:r w:rsidDel="00000000" w:rsidR="00000000" w:rsidRPr="00000000">
            <w:rPr>
              <w:rFonts w:ascii="Times" w:cs="Times" w:eastAsia="Times" w:hAnsi="Times"/>
              <w:b/>
              <w:bCs w:val="1"/>
              <w:color w:val="000000"/>
              <w:rtl w:val="0"/>
            </w:rPr>
            <w:t>Código: FG-FOR-SST-02</w:t>
          </w:r>
          <w:r w:rsidDel="00000000" w:rsidR="00000000" w:rsidRPr="00000000">
            <w:rPr>
              <w:rFonts w:ascii="Times" w:cs="Times" w:eastAsia="Times" w:hAnsi="Times"/>
              <w:color w:val="000000"/>
              <w:rtl w:val="0"/>
            </w:rPr>
          </w:r>
        </w:p>
      </w:tc>
    </w:tr>
  </w:tbl>
  <w:p w:rsidR="00000000" w:rsidDel="00000000" w:rsidP="00000000" w:rsidRDefault="00000000" w:rsidRPr="00000000" w14:paraId="0000002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aQpV0WkjLXnYVw4UfQDm7k+JxQ==">CgMxLjAyDmguNHlhOWZsYm16MDVuMg5oLnR2cDl3YnZmdTFwNzIOaC5oOWs4NzEycmx1ZG04AHIhMV9kV2pfN19VM1dkSHdfMWV4bDBCT1o1OGRwWUpYYnhv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2026-05-23T02:07:12Z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16dd2fc7-fb1b-48a6-89c8-090b63033879</vt:lpwstr>
  </property>
</Properties>
</file>