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sz w:val="24"/>
          <w:szCs w:val="24"/>
        </w:rPr>
      </w:pPr>
      <w:r>
        <w:t>La empresa FOREST GREEN SERVICIOS AMBIENTALES S.A.S., comprometida con el bienestar integral de sus trabajadores, establece la presente Política de Convivencia Laboral, en cumplimiento de lo dispuesto en el Decreto 1072 de 2015 y la Resolución 652 de 2012, con el propósito de promover un ambiente de trabajo sano, respetuoso y libre de toda forma de acoso laboral, discriminación y conductas inapropiadas.</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t>La organización reconoce que el respeto, la dignidad humana y el trato justo son principios fundamentales en las relaciones laborales. Por ello, adopta medidas orientadas a la prevención, corrección y control de conductas que puedan constituir acoso laboral u otras formas de hostigamiento en el entorno de trabajo.</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t>Para el cumplimiento de esta política, la empresa se compromete a:</w:t>
      </w:r>
    </w:p>
    <w:p w:rsidR="00000000" w:rsidDel="00000000" w:rsidP="00000000" w:rsidRDefault="00000000" w:rsidRPr="00000000" w14:paraId="00000004">
      <w:pPr>
        <w:numPr>
          <w:ilvl w:val="0"/>
          <w:numId w:val="1"/>
        </w:numPr>
        <w:spacing w:after="0" w:before="280" w:line="240" w:lineRule="auto"/>
        <w:ind w:left="720" w:hanging="360"/>
        <w:rPr>
          <w:rFonts w:ascii="Times New Roman" w:cs="Times New Roman" w:eastAsia="Times New Roman" w:hAnsi="Times New Roman"/>
          <w:sz w:val="24"/>
          <w:szCs w:val="24"/>
        </w:rPr>
      </w:pPr>
      <w:r>
        <w:t xml:space="preserve">Implementar actividades de sensibilización y prevención sobre acoso laboral y sus consecuencias. </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t xml:space="preserve">Promover espacios de capacitación dirigidos a todos los trabajadores, enfocados en la identificación, manejo y solución de conflictos laborales. </w:t>
      </w:r>
    </w:p>
    <w:p w:rsidR="00000000" w:rsidDel="00000000" w:rsidP="00000000" w:rsidRDefault="00000000" w:rsidRPr="00000000" w14:paraId="00000006">
      <w:pPr>
        <w:numPr>
          <w:ilvl w:val="0"/>
          <w:numId w:val="1"/>
        </w:numPr>
        <w:spacing w:after="0" w:before="0" w:line="240" w:lineRule="auto"/>
        <w:ind w:left="720" w:hanging="360"/>
        <w:rPr>
          <w:rFonts w:ascii="Times New Roman" w:cs="Times New Roman" w:eastAsia="Times New Roman" w:hAnsi="Times New Roman"/>
          <w:sz w:val="24"/>
          <w:szCs w:val="24"/>
        </w:rPr>
      </w:pPr>
      <w:r>
        <w:t xml:space="preserve">Garantizar el funcionamiento del Comité de Convivencia Laboral como mecanismo de prevención y atención de situaciones que afecten la sana convivencia. </w:t>
      </w:r>
    </w:p>
    <w:p w:rsidR="00000000" w:rsidDel="00000000" w:rsidP="00000000" w:rsidRDefault="00000000" w:rsidRPr="00000000" w14:paraId="00000007">
      <w:pPr>
        <w:numPr>
          <w:ilvl w:val="0"/>
          <w:numId w:val="1"/>
        </w:numPr>
        <w:spacing w:after="280" w:before="0" w:line="240" w:lineRule="auto"/>
        <w:ind w:left="720" w:hanging="360"/>
        <w:rPr>
          <w:rFonts w:ascii="Times New Roman" w:cs="Times New Roman" w:eastAsia="Times New Roman" w:hAnsi="Times New Roman"/>
          <w:sz w:val="24"/>
          <w:szCs w:val="24"/>
        </w:rPr>
      </w:pPr>
      <w:r>
        <w:t xml:space="preserve">Fomentar un ambiente laboral basado en el respeto mutuo, la comunicación efectiva y la resolución pacífica de conflictos. </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t>Todos los trabajadores, sin distinción, tienen derecho a desempeñar sus funciones en un entorno libre de discriminación, intimidación o cualquier conducta que afecte su dignidad o bienestar. Así mismo, es responsabilidad de todos los niveles de la organización, incluyendo la alta dirección, cumplir y promover los principios de respeto, honestidad, equidad y buen trato, evitando conductas que generen conflictos personales o laborales.</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t>El incumplimiento de lo establecido en la presente política dará lugar a la aplicación de las medidas disciplinarias correspondientes, de conformidad con la normativa legal vigente y lo establecido en el Reglamento Interno de Trabajo.</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t>La presente política rige a partir de su publicación y deberá ser divulgada a todos los trabajadores de la empresa.</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t>Firma del representante legal: Carlos Andrés Muñoz Parra</w:t>
      </w:r>
    </w:p>
    <w:p w:rsidR="00000000" w:rsidDel="00000000" w:rsidP="00000000" w:rsidRDefault="00000000" w:rsidRPr="00000000" w14:paraId="0000000C">
      <w:pPr>
        <w:spacing w:before="280" w:line="240" w:lineRule="auto"/>
        <w:rPr>
          <w:rFonts w:ascii="Times New Roman" w:cs="Times New Roman" w:eastAsia="Times New Roman" w:hAnsi="Times New Roman"/>
          <w:sz w:val="24"/>
          <w:szCs w:val="24"/>
        </w:rPr>
      </w:pPr>
      <w:r>
        <w:t>Fecha: 02/02/2026</w:t>
      </w:r>
    </w:p>
    <w:sectPr>
      <w:headerReference r:id="rId7" w:type="default"/>
      <w:headerReference w:type="first" r:id="rId8"/>
      <w:headerReference w:type="even" r:id="rId9"/>
      <w:footerReference w:type="default" r:id="rId10"/>
      <w:footerReference w:type="first" r:id="rId11"/>
      <w:footerReference w:type="even" r:id="rId12"/>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p>
  <w:tbl>
    <w:tblPr>
      <w:tblStyle w:val="Table1"/>
      <w:tblW w:w="107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6"/>
      <w:gridCol w:w="5547"/>
      <w:gridCol w:w="3271"/>
      <w:tblGridChange w:id="0">
        <w:tblGrid>
          <w:gridCol w:w="1956"/>
          <w:gridCol w:w="5547"/>
          <w:gridCol w:w="3271"/>
        </w:tblGrid>
      </w:tblGridChange>
    </w:tblGrid>
    <w:tr>
      <w:trPr>
        <w:cantSplit w:val="0"/>
        <w:tblHeader w:val="0"/>
      </w:trPr>
      <w:tc>
        <w:tcPr>
          <w:vMerge w:val="restart"/>
          <w:shd w:fill="auto"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274.2519685039369" w:hanging="141.73228346456688"/>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ub8pt9mge4t"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273668" cy="887176"/>
                <wp:effectExtent b="0" l="0" r="0" 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273668" cy="887176"/>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27940</wp:posOffset>
                </wp:positionH>
                <wp:positionV relativeFrom="paragraph">
                  <wp:posOffset>-35534</wp:posOffset>
                </wp:positionV>
                <wp:extent cx="923925" cy="636880"/>
                <wp:effectExtent b="0" l="0" r="0" t="0"/>
                <wp:wrapNone/>
                <wp:docPr descr="E:\SG-SST 2022\SG-SST FG servicios ambientales servicios forestales y agrícolas\5 MEJORA CONTINUA\logo 2023.jpg" id="2" name="image1.jpg"/>
                <a:graphic>
                  <a:graphicData uri="http://schemas.openxmlformats.org/drawingml/2006/picture">
                    <pic:pic>
                      <pic:nvPicPr>
                        <pic:cNvPr descr="E:\SG-SST 2022\SG-SST FG servicios ambientales servicios forestales y agrícolas\5 MEJORA CONTINUA\logo 2023.jpg" id="0" name="image1.jpg"/>
                        <pic:cNvPicPr preferRelativeResize="0"/>
                      </pic:nvPicPr>
                      <pic:blipFill>
                        <a:blip r:embed="rId2"/>
                        <a:srcRect b="0" l="0" r="0" t="0"/>
                        <a:stretch>
                          <a:fillRect/>
                        </a:stretch>
                      </pic:blipFill>
                      <pic:spPr>
                        <a:xfrm>
                          <a:off x="0" y="0"/>
                          <a:ext cx="923925" cy="636880"/>
                        </a:xfrm>
                        <a:prstGeom prst="rect"/>
                        <a:ln/>
                      </pic:spPr>
                    </pic:pic>
                  </a:graphicData>
                </a:graphic>
              </wp:anchor>
            </w:drawing>
          </w:r>
        </w:p>
      </w:tc>
      <w:tc>
        <w:tcPr>
          <w:vMerge w:val="restart"/>
          <w:shd w:fill="auto"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POLÍTICA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COMITÉ DE CONVIVENCIA LABORAL</w:t>
          </w:r>
        </w:p>
      </w:tc>
      <w:tc>
        <w:tcPr>
          <w:shd w:fill="auto"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1"/>
              <w:i w:val="0"/>
              <w:iCs w:val="0"/>
              <w:smallCaps w:val="0"/>
              <w:strike w:val="0"/>
              <w:color w:val="000000"/>
              <w:sz w:val="24"/>
              <w:szCs w:val="24"/>
              <w:u w:val="none"/>
              <w:shd w:fill="auto" w:val="clear"/>
              <w:vertAlign w:val="baseline"/>
              <w:rtl w:val="0"/>
            </w:rPr>
            <w:t>Fecha: 01/02/2026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r>
        </w:p>
      </w:tc>
    </w:tr>
    <w:tr>
      <w:trPr>
        <w:cantSplit w:val="0"/>
        <w:tblHeader w:val="0"/>
      </w:trPr>
      <w:tc>
        <w:tcPr>
          <w:vMerge w:val="continue"/>
          <w:shd w:fill="auto"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1"/>
              <w:i w:val="0"/>
              <w:iCs w:val="0"/>
              <w:smallCaps w:val="0"/>
              <w:strike w:val="0"/>
              <w:color w:val="000000"/>
              <w:sz w:val="24"/>
              <w:szCs w:val="24"/>
              <w:u w:val="none"/>
              <w:shd w:fill="auto" w:val="clear"/>
              <w:vertAlign w:val="baseline"/>
              <w:rtl w:val="0"/>
            </w:rPr>
            <w:t>Versión: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r>
        </w:p>
      </w:tc>
    </w:tr>
    <w:tr>
      <w:trPr>
        <w:cantSplit w:val="0"/>
        <w:trHeight w:val="390" w:hRule="atLeast"/>
        <w:tblHeader w:val="0"/>
      </w:trPr>
      <w:tc>
        <w:tcPr>
          <w:vMerge w:val="continue"/>
          <w:shd w:fill="auto"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bCs w:val="1"/>
              <w:i w:val="0"/>
              <w:iCs w:val="0"/>
              <w:smallCaps w:val="0"/>
              <w:strike w:val="0"/>
              <w:color w:val="000000"/>
              <w:sz w:val="24"/>
              <w:szCs w:val="24"/>
              <w:u w:val="none"/>
              <w:shd w:fill="auto" w:val="clear"/>
              <w:vertAlign w:val="baseline"/>
              <w:rtl w:val="0"/>
            </w:rPr>
            <w:t>Código: FG-FOR-SST-35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F4dcR75wYwgaCkT0gmfaf+bA==">CgMxLjAyDmgudXViOHB0OW1nZTR0OAByITFhZXF2VU1EV2g3RW5KVnp3bmhYWjFnWUJFZWxhQ1FnVg==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2026-05-23T02:07:18Z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fc62a3f1-214f-41e0-b459-eb20b8a33efa</vt:lpwstr>
  </property>
</Properties>
</file>