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NotoSansSymbols-bold.ttf" ContentType="application/x-font-ttf"/>
  <Override PartName="/word/fonts/NotoSansSymbols-regular.ttf" ContentType="application/x-font-ttf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widowControl w:val="0"/>
        <w:spacing w:after="80" w:before="360" w:line="240" w:lineRule="auto"/>
        <w:ind w:left="720" w:hanging="360"/>
        <w:jc w:val="both"/>
        <w:rPr>
          <w:rFonts w:ascii="Times" w:cs="Times" w:eastAsia="Times" w:hAnsi="Times"/>
          <w:b w:val="1"/>
          <w:bCs w:val="1"/>
          <w:color w:val="000000"/>
          <w:sz w:val="24"/>
          <w:szCs w:val="24"/>
        </w:rPr>
      </w:pPr>
      <w:r>
        <w:t>1. OBJETIVO</w:t>
      </w:r>
    </w:p>
    <w:p w:rsidR="00000000" w:rsidDel="00000000" w:rsidP="00000000" w:rsidRDefault="00000000" w:rsidRPr="00000000" w14:paraId="00000002">
      <w:pPr>
        <w:widowControl w:val="0"/>
        <w:spacing w:after="240" w:before="240" w:line="240" w:lineRule="auto"/>
        <w:jc w:val="both"/>
        <w:rPr>
          <w:rFonts w:ascii="Times" w:cs="Times" w:eastAsia="Times" w:hAnsi="Times"/>
          <w:sz w:val="24"/>
          <w:szCs w:val="24"/>
        </w:rPr>
      </w:pPr>
      <w:r>
        <w:t>Establecer el procedimiento para la identificación, reporte e investigación de las enfermedades laborales que puedan presentarse en los trabajadores de la empresa FOREST GREEN SERVICIOS AMBIENTALES S.A.S., con el fin de determinar sus causas, implementar medidas de control y prevenir su recurrencia.</w:t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widowControl w:val="0"/>
        <w:spacing w:after="80" w:before="360" w:line="240" w:lineRule="auto"/>
        <w:ind w:left="720" w:hanging="360"/>
        <w:jc w:val="both"/>
        <w:rPr>
          <w:rFonts w:ascii="Times" w:cs="Times" w:eastAsia="Times" w:hAnsi="Times"/>
          <w:b w:val="1"/>
          <w:bCs w:val="1"/>
          <w:color w:val="000000"/>
          <w:sz w:val="24"/>
          <w:szCs w:val="24"/>
        </w:rPr>
      </w:pPr>
      <w:r>
        <w:t>2. ALCANCE</w:t>
      </w:r>
    </w:p>
    <w:p w:rsidR="00000000" w:rsidDel="00000000" w:rsidP="00000000" w:rsidRDefault="00000000" w:rsidRPr="00000000" w14:paraId="00000004">
      <w:pPr>
        <w:widowControl w:val="0"/>
        <w:spacing w:after="240" w:before="240" w:line="240" w:lineRule="auto"/>
        <w:jc w:val="both"/>
        <w:rPr>
          <w:rFonts w:ascii="Times" w:cs="Times" w:eastAsia="Times" w:hAnsi="Times"/>
          <w:sz w:val="24"/>
          <w:szCs w:val="24"/>
        </w:rPr>
      </w:pPr>
      <w:r>
        <w:t>Este procedimiento aplica a todos los trabajadores de la empresa FOREST GREEN SERVICIOS AMBIENTALES S.A.S., en todas sus áreas, sedes y ambientes de trabajo, e incluye el reporte e investigación de los casos presuntos y confirmados de enfermedad laboral.</w:t>
      </w:r>
    </w:p>
    <w:p w:rsidR="00000000" w:rsidDel="00000000" w:rsidP="00000000" w:rsidRDefault="00000000" w:rsidRPr="00000000" w14:paraId="00000005">
      <w:pPr>
        <w:pStyle w:val="Heading2"/>
        <w:keepNext w:val="0"/>
        <w:keepLines w:val="0"/>
        <w:widowControl w:val="0"/>
        <w:spacing w:after="80" w:before="360" w:line="240" w:lineRule="auto"/>
        <w:ind w:left="720" w:hanging="360"/>
        <w:jc w:val="both"/>
        <w:rPr>
          <w:rFonts w:ascii="Times" w:cs="Times" w:eastAsia="Times" w:hAnsi="Times"/>
          <w:b w:val="1"/>
          <w:bCs w:val="1"/>
          <w:color w:val="000000"/>
          <w:sz w:val="24"/>
          <w:szCs w:val="24"/>
        </w:rPr>
      </w:pPr>
      <w:r>
        <w:t>3. DEFINICIONES</w:t>
      </w:r>
    </w:p>
    <w:p w:rsidR="00000000" w:rsidDel="00000000" w:rsidP="00000000" w:rsidRDefault="00000000" w:rsidRPr="00000000" w14:paraId="00000006">
      <w:pPr>
        <w:widowControl w:val="0"/>
        <w:spacing w:after="240" w:before="240" w:line="240" w:lineRule="auto"/>
        <w:jc w:val="both"/>
        <w:rPr>
          <w:rFonts w:ascii="Times" w:cs="Times" w:eastAsia="Times" w:hAnsi="Times"/>
          <w:sz w:val="24"/>
          <w:szCs w:val="24"/>
        </w:rPr>
      </w:pPr>
      <w:r>
        <w:t>CAUSAS BÁSICAS:</w:t>
        <w:br/>
        <w:t xml:space="preserve"> Factores estructurales o administrativos que originan la ocurrencia de condiciones o actos inseguros. Su identificación permite implementar controles que eviten la repetición del evento.</w:t>
      </w:r>
    </w:p>
    <w:p w:rsidR="00000000" w:rsidDel="00000000" w:rsidP="00000000" w:rsidRDefault="00000000" w:rsidRPr="00000000" w14:paraId="00000007">
      <w:pPr>
        <w:widowControl w:val="0"/>
        <w:spacing w:after="240" w:before="240" w:line="240" w:lineRule="auto"/>
        <w:jc w:val="both"/>
        <w:rPr>
          <w:rFonts w:ascii="Times" w:cs="Times" w:eastAsia="Times" w:hAnsi="Times"/>
          <w:sz w:val="24"/>
          <w:szCs w:val="24"/>
        </w:rPr>
      </w:pPr>
      <w:r>
        <w:t>CAUSAS INMEDIATAS:</w:t>
        <w:br/>
        <w:t xml:space="preserve"> Circunstancias observables que anteceden directamente al evento, clasificadas en actos inseguros (conductas) y condiciones inseguras (entorno).</w:t>
      </w:r>
    </w:p>
    <w:p w:rsidR="00000000" w:rsidDel="00000000" w:rsidP="00000000" w:rsidRDefault="00000000" w:rsidRPr="00000000" w14:paraId="00000008">
      <w:pPr>
        <w:widowControl w:val="0"/>
        <w:spacing w:after="240" w:before="240" w:line="240" w:lineRule="auto"/>
        <w:jc w:val="both"/>
        <w:rPr>
          <w:rFonts w:ascii="Times" w:cs="Times" w:eastAsia="Times" w:hAnsi="Times"/>
          <w:sz w:val="24"/>
          <w:szCs w:val="24"/>
        </w:rPr>
      </w:pPr>
      <w:r>
        <w:t>ACCIÓN CORRECTIVA:</w:t>
        <w:br/>
        <w:t xml:space="preserve"> Medida orientada a eliminar la causa de una no conformidad o situación no deseada.</w:t>
      </w:r>
    </w:p>
    <w:p w:rsidR="00000000" w:rsidDel="00000000" w:rsidP="00000000" w:rsidRDefault="00000000" w:rsidRPr="00000000" w14:paraId="00000009">
      <w:pPr>
        <w:widowControl w:val="0"/>
        <w:spacing w:after="240" w:before="240" w:line="240" w:lineRule="auto"/>
        <w:jc w:val="both"/>
        <w:rPr>
          <w:rFonts w:ascii="Times" w:cs="Times" w:eastAsia="Times" w:hAnsi="Times"/>
          <w:sz w:val="24"/>
          <w:szCs w:val="24"/>
        </w:rPr>
      </w:pPr>
      <w:r>
        <w:t>ACCIÓN DE MEJORA:</w:t>
        <w:br/>
        <w:t xml:space="preserve"> Acción destinada a optimizar el desempeño del Sistema de Gestión de Seguridad y Salud en el Trabajo (SG-SST).</w:t>
      </w:r>
    </w:p>
    <w:p w:rsidR="00000000" w:rsidDel="00000000" w:rsidP="00000000" w:rsidRDefault="00000000" w:rsidRPr="00000000" w14:paraId="0000000A">
      <w:pPr>
        <w:widowControl w:val="0"/>
        <w:spacing w:after="240" w:before="240" w:line="240" w:lineRule="auto"/>
        <w:jc w:val="both"/>
        <w:rPr>
          <w:rFonts w:ascii="Times" w:cs="Times" w:eastAsia="Times" w:hAnsi="Times"/>
          <w:sz w:val="24"/>
          <w:szCs w:val="24"/>
        </w:rPr>
      </w:pPr>
      <w:r>
        <w:t>ENFERMEDAD LABORAL:</w:t>
        <w:br/>
        <w:t xml:space="preserve"> Condición de salud adquirida como resultado de la exposición a factores de riesgo inherentes a la actividad laboral o al entorno en el que se desarrolla el trabajo, conforme a la normativa vigente.</w:t>
      </w:r>
    </w:p>
    <w:p w:rsidR="00000000" w:rsidDel="00000000" w:rsidP="00000000" w:rsidRDefault="00000000" w:rsidRPr="00000000" w14:paraId="0000000B">
      <w:pPr>
        <w:widowControl w:val="0"/>
        <w:spacing w:after="240" w:before="240" w:line="240" w:lineRule="auto"/>
        <w:jc w:val="both"/>
        <w:rPr>
          <w:rFonts w:ascii="Times" w:cs="Times" w:eastAsia="Times" w:hAnsi="Times"/>
          <w:sz w:val="24"/>
          <w:szCs w:val="24"/>
        </w:rPr>
      </w:pPr>
      <w:r/>
    </w:p>
    <w:p w:rsidR="00000000" w:rsidDel="00000000" w:rsidP="00000000" w:rsidRDefault="00000000" w:rsidRPr="00000000" w14:paraId="0000000C">
      <w:pPr>
        <w:pStyle w:val="Heading2"/>
        <w:keepNext w:val="0"/>
        <w:keepLines w:val="0"/>
        <w:widowControl w:val="0"/>
        <w:spacing w:after="80" w:before="360" w:line="240" w:lineRule="auto"/>
        <w:ind w:left="720" w:hanging="360"/>
        <w:jc w:val="both"/>
        <w:rPr>
          <w:rFonts w:ascii="Times" w:cs="Times" w:eastAsia="Times" w:hAnsi="Times"/>
          <w:b w:val="1"/>
          <w:bCs w:val="1"/>
          <w:color w:val="000000"/>
          <w:sz w:val="24"/>
          <w:szCs w:val="24"/>
        </w:rPr>
      </w:pPr>
      <w:r>
        <w:t>4. RESPONSABILIDADES</w:t>
      </w:r>
    </w:p>
    <w:p w:rsidR="00000000" w:rsidDel="00000000" w:rsidP="00000000" w:rsidRDefault="00000000" w:rsidRPr="00000000" w14:paraId="0000000D">
      <w:pPr>
        <w:pStyle w:val="Heading3"/>
        <w:keepNext w:val="0"/>
        <w:keepLines w:val="0"/>
        <w:widowControl w:val="0"/>
        <w:spacing w:after="80" w:before="280" w:line="240" w:lineRule="auto"/>
        <w:ind w:left="720" w:hanging="360"/>
        <w:jc w:val="both"/>
        <w:rPr>
          <w:rFonts w:ascii="Times" w:cs="Times" w:eastAsia="Times" w:hAnsi="Times"/>
          <w:b w:val="1"/>
          <w:bCs w:val="1"/>
          <w:color w:val="000000"/>
        </w:rPr>
      </w:pPr>
      <w:r>
        <w:t>Gerencia</w:t>
      </w:r>
    </w:p>
    <w:p w:rsidR="00000000" w:rsidDel="00000000" w:rsidP="00000000" w:rsidRDefault="00000000" w:rsidRPr="00000000" w14:paraId="0000000E">
      <w:pPr>
        <w:widowControl w:val="0"/>
        <w:numPr>
          <w:ilvl w:val="0"/>
          <w:numId w:val="8"/>
        </w:numPr>
        <w:spacing w:after="0" w:afterAutospacing="0" w:before="240" w:line="240" w:lineRule="auto"/>
        <w:ind w:left="720" w:hanging="360"/>
        <w:rPr>
          <w:rFonts w:ascii="Times" w:cs="Times" w:eastAsia="Times" w:hAnsi="Times"/>
          <w:sz w:val="24"/>
          <w:szCs w:val="24"/>
        </w:rPr>
      </w:pPr>
      <w:r>
        <w:t>Garantizar los recursos necesarios para la realización de exámenes médicos ocupacionales (ingreso, periódicos y egreso).</w:t>
      </w:r>
    </w:p>
    <w:p w:rsidR="00000000" w:rsidDel="00000000" w:rsidP="00000000" w:rsidRDefault="00000000" w:rsidRPr="00000000" w14:paraId="0000000F">
      <w:pPr>
        <w:widowControl w:val="0"/>
        <w:numPr>
          <w:ilvl w:val="0"/>
          <w:numId w:val="8"/>
        </w:numPr>
        <w:spacing w:after="240" w:before="0" w:beforeAutospacing="0" w:line="240" w:lineRule="auto"/>
        <w:ind w:left="720" w:hanging="360"/>
        <w:rPr>
          <w:rFonts w:ascii="Times" w:cs="Times" w:eastAsia="Times" w:hAnsi="Times"/>
          <w:sz w:val="24"/>
          <w:szCs w:val="24"/>
        </w:rPr>
      </w:pPr>
      <w:r>
        <w:t>Apoyar la implementación de medidas de control derivadas de la investigación.</w:t>
      </w:r>
    </w:p>
    <w:p w:rsidR="00000000" w:rsidDel="00000000" w:rsidP="00000000" w:rsidRDefault="00000000" w:rsidRPr="00000000" w14:paraId="00000010">
      <w:pPr>
        <w:pStyle w:val="Heading3"/>
        <w:keepNext w:val="0"/>
        <w:keepLines w:val="0"/>
        <w:widowControl w:val="0"/>
        <w:spacing w:after="80" w:before="280" w:line="240" w:lineRule="auto"/>
        <w:ind w:left="720" w:hanging="360"/>
        <w:jc w:val="both"/>
        <w:rPr>
          <w:rFonts w:ascii="Times" w:cs="Times" w:eastAsia="Times" w:hAnsi="Times"/>
          <w:b w:val="1"/>
          <w:bCs w:val="1"/>
          <w:color w:val="000000"/>
        </w:rPr>
      </w:pPr>
      <w:r>
        <w:t>Responsable del SG-SST : ___________________________</w:t>
      </w:r>
    </w:p>
    <w:p w:rsidR="00000000" w:rsidDel="00000000" w:rsidP="00000000" w:rsidRDefault="00000000" w:rsidRPr="00000000" w14:paraId="00000011">
      <w:pPr>
        <w:widowControl w:val="0"/>
        <w:numPr>
          <w:ilvl w:val="0"/>
          <w:numId w:val="5"/>
        </w:numPr>
        <w:spacing w:after="0" w:afterAutospacing="0" w:before="240" w:line="240" w:lineRule="auto"/>
        <w:ind w:left="720" w:hanging="360"/>
        <w:rPr>
          <w:rFonts w:ascii="Times" w:cs="Times" w:eastAsia="Times" w:hAnsi="Times"/>
          <w:sz w:val="24"/>
          <w:szCs w:val="24"/>
        </w:rPr>
      </w:pPr>
      <w:r>
        <w:t>Gestionar el reporte de las enfermedades laborales.</w:t>
      </w:r>
    </w:p>
    <w:p w:rsidR="00000000" w:rsidDel="00000000" w:rsidP="00000000" w:rsidRDefault="00000000" w:rsidRPr="00000000" w14:paraId="00000012">
      <w:pPr>
        <w:widowControl w:val="0"/>
        <w:numPr>
          <w:ilvl w:val="0"/>
          <w:numId w:val="5"/>
        </w:numPr>
        <w:spacing w:after="0" w:afterAutospacing="0" w:before="0" w:beforeAutospacing="0" w:line="240" w:lineRule="auto"/>
        <w:ind w:left="720" w:hanging="360"/>
        <w:rPr>
          <w:rFonts w:ascii="Times" w:cs="Times" w:eastAsia="Times" w:hAnsi="Times"/>
          <w:sz w:val="24"/>
          <w:szCs w:val="24"/>
        </w:rPr>
      </w:pPr>
      <w:r>
        <w:t>Coordinar y ejecutar el proceso de investigación.</w:t>
      </w:r>
    </w:p>
    <w:p w:rsidR="00000000" w:rsidDel="00000000" w:rsidP="00000000" w:rsidRDefault="00000000" w:rsidRPr="00000000" w14:paraId="00000013">
      <w:pPr>
        <w:widowControl w:val="0"/>
        <w:numPr>
          <w:ilvl w:val="0"/>
          <w:numId w:val="5"/>
        </w:numPr>
        <w:spacing w:after="240" w:before="0" w:beforeAutospacing="0" w:line="240" w:lineRule="auto"/>
        <w:ind w:left="720" w:hanging="360"/>
        <w:rPr>
          <w:rFonts w:ascii="Times" w:cs="Times" w:eastAsia="Times" w:hAnsi="Times"/>
          <w:sz w:val="24"/>
          <w:szCs w:val="24"/>
        </w:rPr>
      </w:pPr>
      <w:r>
        <w:t>Implementar y hacer seguimiento a las acciones derivadas.</w:t>
      </w:r>
    </w:p>
    <w:p w:rsidR="00000000" w:rsidDel="00000000" w:rsidP="00000000" w:rsidRDefault="00000000" w:rsidRPr="00000000" w14:paraId="00000014">
      <w:pPr>
        <w:pStyle w:val="Heading3"/>
        <w:keepNext w:val="0"/>
        <w:keepLines w:val="0"/>
        <w:widowControl w:val="0"/>
        <w:spacing w:after="80" w:before="280" w:line="240" w:lineRule="auto"/>
        <w:ind w:left="720" w:hanging="360"/>
        <w:jc w:val="both"/>
        <w:rPr>
          <w:rFonts w:ascii="Times" w:cs="Times" w:eastAsia="Times" w:hAnsi="Times"/>
          <w:b w:val="1"/>
          <w:bCs w:val="1"/>
          <w:color w:val="000000"/>
        </w:rPr>
      </w:pPr>
      <w:r>
        <w:t>Trabajadores</w:t>
      </w:r>
    </w:p>
    <w:p w:rsidR="00000000" w:rsidDel="00000000" w:rsidP="00000000" w:rsidRDefault="00000000" w:rsidRPr="00000000" w14:paraId="00000015">
      <w:pPr>
        <w:widowControl w:val="0"/>
        <w:numPr>
          <w:ilvl w:val="0"/>
          <w:numId w:val="3"/>
        </w:numPr>
        <w:spacing w:after="0" w:afterAutospacing="0" w:before="240" w:line="240" w:lineRule="auto"/>
        <w:ind w:left="720" w:hanging="360"/>
        <w:rPr>
          <w:rFonts w:ascii="Times" w:cs="Times" w:eastAsia="Times" w:hAnsi="Times"/>
          <w:sz w:val="24"/>
          <w:szCs w:val="24"/>
        </w:rPr>
      </w:pPr>
      <w:r>
        <w:t>Reportar oportunamente cualquier sintomatología o presunta enfermedad laboral.</w:t>
      </w:r>
    </w:p>
    <w:p w:rsidR="00000000" w:rsidDel="00000000" w:rsidP="00000000" w:rsidRDefault="00000000" w:rsidRPr="00000000" w14:paraId="00000016">
      <w:pPr>
        <w:widowControl w:val="0"/>
        <w:numPr>
          <w:ilvl w:val="0"/>
          <w:numId w:val="3"/>
        </w:numPr>
        <w:spacing w:after="0" w:afterAutospacing="0" w:before="0" w:beforeAutospacing="0" w:line="240" w:lineRule="auto"/>
        <w:ind w:left="720" w:hanging="360"/>
        <w:rPr>
          <w:rFonts w:ascii="Times" w:cs="Times" w:eastAsia="Times" w:hAnsi="Times"/>
          <w:sz w:val="24"/>
          <w:szCs w:val="24"/>
        </w:rPr>
      </w:pPr>
      <w:r>
        <w:t>Suministrar información veraz sobre su estado de salud.</w:t>
      </w:r>
    </w:p>
    <w:p w:rsidR="00000000" w:rsidDel="00000000" w:rsidP="00000000" w:rsidRDefault="00000000" w:rsidRPr="00000000" w14:paraId="00000017">
      <w:pPr>
        <w:widowControl w:val="0"/>
        <w:numPr>
          <w:ilvl w:val="0"/>
          <w:numId w:val="3"/>
        </w:numPr>
        <w:spacing w:after="240" w:before="0" w:beforeAutospacing="0" w:line="240" w:lineRule="auto"/>
        <w:ind w:left="720" w:hanging="360"/>
        <w:rPr>
          <w:rFonts w:ascii="Times" w:cs="Times" w:eastAsia="Times" w:hAnsi="Times"/>
          <w:sz w:val="24"/>
          <w:szCs w:val="24"/>
        </w:rPr>
      </w:pPr>
      <w:r>
        <w:t>Participar en el proceso de investigación cuando sea requerido.</w:t>
      </w:r>
    </w:p>
    <w:p w:rsidR="00000000" w:rsidDel="00000000" w:rsidP="00000000" w:rsidRDefault="00000000" w:rsidRPr="00000000" w14:paraId="00000018">
      <w:pPr>
        <w:pStyle w:val="Heading2"/>
        <w:keepNext w:val="0"/>
        <w:keepLines w:val="0"/>
        <w:widowControl w:val="0"/>
        <w:spacing w:after="80" w:before="360" w:line="240" w:lineRule="auto"/>
        <w:ind w:left="720" w:hanging="360"/>
        <w:jc w:val="both"/>
        <w:rPr>
          <w:rFonts w:ascii="Times" w:cs="Times" w:eastAsia="Times" w:hAnsi="Times"/>
          <w:b w:val="1"/>
          <w:bCs w:val="1"/>
          <w:color w:val="000000"/>
          <w:sz w:val="24"/>
          <w:szCs w:val="24"/>
        </w:rPr>
      </w:pPr>
      <w:r>
        <w:t>5. DESARROLLO</w:t>
      </w:r>
    </w:p>
    <w:p w:rsidR="00000000" w:rsidDel="00000000" w:rsidP="00000000" w:rsidRDefault="00000000" w:rsidRPr="00000000" w14:paraId="00000019">
      <w:pPr>
        <w:widowControl w:val="0"/>
        <w:spacing w:after="240" w:before="240" w:line="240" w:lineRule="auto"/>
        <w:jc w:val="both"/>
        <w:rPr>
          <w:rFonts w:ascii="Times" w:cs="Times" w:eastAsia="Times" w:hAnsi="Times"/>
          <w:sz w:val="24"/>
          <w:szCs w:val="24"/>
        </w:rPr>
      </w:pPr>
      <w:r>
        <w:t>La empresa deberá mantener un registro actualizado de todos los casos presuntos y confirmados de enfermedad laboral, con el fin de implementar acciones preventivas, correctivas y de mejora orientadas a mitigar los riesgos identificados.</w:t>
      </w:r>
    </w:p>
    <w:p w:rsidR="00000000" w:rsidDel="00000000" w:rsidP="00000000" w:rsidRDefault="00000000" w:rsidRPr="00000000" w14:paraId="0000001A">
      <w:pPr>
        <w:pStyle w:val="Heading2"/>
        <w:keepNext w:val="0"/>
        <w:keepLines w:val="0"/>
        <w:widowControl w:val="0"/>
        <w:spacing w:after="80" w:before="360" w:line="240" w:lineRule="auto"/>
        <w:ind w:left="720" w:hanging="360"/>
        <w:jc w:val="both"/>
        <w:rPr>
          <w:rFonts w:ascii="Times" w:cs="Times" w:eastAsia="Times" w:hAnsi="Times"/>
          <w:b w:val="1"/>
          <w:bCs w:val="1"/>
          <w:color w:val="000000"/>
          <w:sz w:val="24"/>
          <w:szCs w:val="24"/>
        </w:rPr>
      </w:pPr>
      <w:r>
        <w:t>5.1 PROCEDIMIENTO DE REPORTE</w:t>
      </w:r>
    </w:p>
    <w:p w:rsidR="00000000" w:rsidDel="00000000" w:rsidP="00000000" w:rsidRDefault="00000000" w:rsidRPr="00000000" w14:paraId="0000001B">
      <w:pPr>
        <w:widowControl w:val="0"/>
        <w:numPr>
          <w:ilvl w:val="0"/>
          <w:numId w:val="6"/>
        </w:numPr>
        <w:spacing w:after="0" w:afterAutospacing="0" w:before="240" w:line="240" w:lineRule="auto"/>
        <w:ind w:left="720" w:hanging="360"/>
        <w:rPr>
          <w:rFonts w:ascii="Arial" w:cs="Arial" w:eastAsia="Arial" w:hAnsi="Arial"/>
          <w:sz w:val="24"/>
          <w:szCs w:val="24"/>
        </w:rPr>
      </w:pPr>
      <w:r>
        <w:t>Exámenes médicos ocupacionales:</w:t>
        <w:br/>
        <w:t xml:space="preserve"> Se realizan evaluaciones de ingreso, periódicas y de egreso para identificar posibles afectaciones en la salud del trabajador.</w:t>
      </w:r>
    </w:p>
    <w:p w:rsidR="00000000" w:rsidDel="00000000" w:rsidP="00000000" w:rsidRDefault="00000000" w:rsidRPr="00000000" w14:paraId="0000001C">
      <w:pPr>
        <w:widowControl w:val="0"/>
        <w:numPr>
          <w:ilvl w:val="0"/>
          <w:numId w:val="6"/>
        </w:numPr>
        <w:spacing w:after="0" w:afterAutospacing="0" w:before="0" w:beforeAutospacing="0" w:line="240" w:lineRule="auto"/>
        <w:ind w:left="720" w:hanging="360"/>
        <w:rPr>
          <w:rFonts w:ascii="Arial" w:cs="Arial" w:eastAsia="Arial" w:hAnsi="Arial"/>
          <w:sz w:val="24"/>
          <w:szCs w:val="24"/>
        </w:rPr>
      </w:pPr>
      <w:r>
        <w:t>Notificación del trabajador:</w:t>
        <w:br/>
        <w:t xml:space="preserve"> El trabajador informa por escrito cualquier síntoma o diagnóstico relacionado con una posible enfermedad laboral.</w:t>
      </w:r>
    </w:p>
    <w:p w:rsidR="00000000" w:rsidDel="00000000" w:rsidP="00000000" w:rsidRDefault="00000000" w:rsidRPr="00000000" w14:paraId="0000001D">
      <w:pPr>
        <w:widowControl w:val="0"/>
        <w:numPr>
          <w:ilvl w:val="0"/>
          <w:numId w:val="6"/>
        </w:numPr>
        <w:spacing w:after="0" w:afterAutospacing="0" w:before="0" w:beforeAutospacing="0" w:line="240" w:lineRule="auto"/>
        <w:ind w:left="720" w:hanging="360"/>
        <w:rPr>
          <w:rFonts w:ascii="Arial" w:cs="Arial" w:eastAsia="Arial" w:hAnsi="Arial"/>
          <w:sz w:val="24"/>
          <w:szCs w:val="24"/>
        </w:rPr>
      </w:pPr>
      <w:r>
        <w:t>Comunicación interna: ___________________________ (Firma, Licencia y Responsabilidad)</w:t>
      </w:r>
    </w:p>
    <w:p w:rsidR="00000000" w:rsidDel="00000000" w:rsidP="00000000" w:rsidRDefault="00000000" w:rsidRPr="00000000" w14:paraId="0000001E">
      <w:pPr>
        <w:widowControl w:val="0"/>
        <w:numPr>
          <w:ilvl w:val="0"/>
          <w:numId w:val="6"/>
        </w:numPr>
        <w:spacing w:after="0" w:afterAutospacing="0" w:before="0" w:beforeAutospacing="0" w:line="240" w:lineRule="auto"/>
        <w:ind w:left="720" w:hanging="360"/>
        <w:rPr>
          <w:rFonts w:ascii="Arial" w:cs="Arial" w:eastAsia="Arial" w:hAnsi="Arial"/>
          <w:sz w:val="24"/>
          <w:szCs w:val="24"/>
        </w:rPr>
      </w:pPr>
      <w:r>
        <w:t>Evaluación por la EPS:</w:t>
        <w:br/>
        <w:t xml:space="preserve"> La EPS analiza el caso y emite el concepto sobre el origen de la enfermedad. El trabajador debe informar el resultado a la empresa.</w:t>
      </w:r>
    </w:p>
    <w:p w:rsidR="00000000" w:rsidDel="00000000" w:rsidP="00000000" w:rsidRDefault="00000000" w:rsidRPr="00000000" w14:paraId="0000001F">
      <w:pPr>
        <w:widowControl w:val="0"/>
        <w:numPr>
          <w:ilvl w:val="0"/>
          <w:numId w:val="6"/>
        </w:numPr>
        <w:spacing w:after="0" w:afterAutospacing="0" w:before="0" w:beforeAutospacing="0" w:line="240" w:lineRule="auto"/>
        <w:ind w:left="720" w:hanging="360"/>
        <w:rPr>
          <w:rFonts w:ascii="Arial" w:cs="Arial" w:eastAsia="Arial" w:hAnsi="Arial"/>
          <w:sz w:val="24"/>
          <w:szCs w:val="24"/>
        </w:rPr>
      </w:pPr>
      <w:r>
        <w:t>Reporte mediante FUREL:</w:t>
        <w:br/>
        <w:t xml:space="preserve"> La empresa reporta el caso dentro de los dos (2) días hábiles siguientes al dictamen, a la EPS, ARL y Ministerio de Trabajo, cuando aplique.</w:t>
      </w:r>
    </w:p>
    <w:p w:rsidR="00000000" w:rsidDel="00000000" w:rsidP="00000000" w:rsidRDefault="00000000" w:rsidRPr="00000000" w14:paraId="00000020">
      <w:pPr>
        <w:widowControl w:val="0"/>
        <w:numPr>
          <w:ilvl w:val="0"/>
          <w:numId w:val="6"/>
        </w:numPr>
        <w:spacing w:after="0" w:afterAutospacing="0" w:before="0" w:beforeAutospacing="0" w:line="240" w:lineRule="auto"/>
        <w:ind w:left="720" w:hanging="360"/>
        <w:rPr>
          <w:rFonts w:ascii="Arial" w:cs="Arial" w:eastAsia="Arial" w:hAnsi="Arial"/>
          <w:sz w:val="24"/>
          <w:szCs w:val="24"/>
        </w:rPr>
      </w:pPr>
      <w:r>
        <w:t>Evaluación por la ARL:</w:t>
        <w:br/>
        <w:t xml:space="preserve"> La ARL realiza el estudio del puesto de trabajo y determina el origen de la enfermedad y la posible pérdida de capacidad laboral.</w:t>
      </w:r>
    </w:p>
    <w:p w:rsidR="00000000" w:rsidDel="00000000" w:rsidP="00000000" w:rsidRDefault="00000000" w:rsidRPr="00000000" w14:paraId="00000021">
      <w:pPr>
        <w:widowControl w:val="0"/>
        <w:numPr>
          <w:ilvl w:val="0"/>
          <w:numId w:val="6"/>
        </w:numPr>
        <w:spacing w:after="0" w:afterAutospacing="0" w:before="0" w:beforeAutospacing="0" w:line="240" w:lineRule="auto"/>
        <w:ind w:left="720" w:hanging="360"/>
        <w:rPr>
          <w:rFonts w:ascii="Arial" w:cs="Arial" w:eastAsia="Arial" w:hAnsi="Arial"/>
          <w:sz w:val="24"/>
          <w:szCs w:val="24"/>
        </w:rPr>
      </w:pPr>
      <w:r>
        <w:t>Investigación interna:</w:t>
        <w:br/>
        <w:t xml:space="preserve"> La empresa realiza la investigación dentro de los quince (15) días calendario siguientes a la notificación.</w:t>
      </w:r>
    </w:p>
    <w:p w:rsidR="00000000" w:rsidDel="00000000" w:rsidP="00000000" w:rsidRDefault="00000000" w:rsidRPr="00000000" w14:paraId="00000022">
      <w:pPr>
        <w:widowControl w:val="0"/>
        <w:numPr>
          <w:ilvl w:val="0"/>
          <w:numId w:val="6"/>
        </w:numPr>
        <w:spacing w:after="0" w:afterAutospacing="0" w:before="0" w:beforeAutospacing="0" w:line="240" w:lineRule="auto"/>
        <w:ind w:left="720" w:hanging="360"/>
        <w:rPr>
          <w:rFonts w:ascii="Arial" w:cs="Arial" w:eastAsia="Arial" w:hAnsi="Arial"/>
          <w:sz w:val="24"/>
          <w:szCs w:val="24"/>
        </w:rPr>
      </w:pPr>
      <w:r>
        <w:t>Calificación de pérdida de capacidad laboral:</w:t>
        <w:br/>
        <w:t xml:space="preserve"> En caso de confirmación, la ARL gestiona la valoración ante la junta de calificación de invalidez.</w:t>
      </w:r>
    </w:p>
    <w:p w:rsidR="00000000" w:rsidDel="00000000" w:rsidP="00000000" w:rsidRDefault="00000000" w:rsidRPr="00000000" w14:paraId="00000023">
      <w:pPr>
        <w:widowControl w:val="0"/>
        <w:numPr>
          <w:ilvl w:val="0"/>
          <w:numId w:val="6"/>
        </w:numPr>
        <w:spacing w:after="240" w:before="0" w:beforeAutospacing="0" w:line="240" w:lineRule="auto"/>
        <w:ind w:left="720" w:hanging="360"/>
        <w:rPr>
          <w:rFonts w:ascii="Arial" w:cs="Arial" w:eastAsia="Arial" w:hAnsi="Arial"/>
          <w:sz w:val="24"/>
          <w:szCs w:val="24"/>
        </w:rPr>
      </w:pPr>
      <w:r>
        <w:t>Reubicación laboral:</w:t>
        <w:br/>
        <w:t xml:space="preserve"> Se realiza conforme a las recomendaciones médicas, cuando se aplica.</w:t>
      </w:r>
    </w:p>
    <w:p w:rsidR="00000000" w:rsidDel="00000000" w:rsidP="00000000" w:rsidRDefault="00000000" w:rsidRPr="00000000" w14:paraId="00000024">
      <w:pPr>
        <w:widowControl w:val="0"/>
        <w:spacing w:after="0" w:line="240" w:lineRule="auto"/>
        <w:ind w:left="720" w:hanging="360"/>
        <w:jc w:val="both"/>
        <w:rPr>
          <w:rFonts w:ascii="Times" w:cs="Times" w:eastAsia="Times" w:hAnsi="Times"/>
          <w:sz w:val="24"/>
          <w:szCs w:val="24"/>
        </w:rPr>
      </w:pPr>
      <w:r/>
    </w:p>
    <w:p w:rsidR="00000000" w:rsidDel="00000000" w:rsidP="00000000" w:rsidRDefault="00000000" w:rsidRPr="00000000" w14:paraId="00000025">
      <w:pPr>
        <w:pStyle w:val="Heading2"/>
        <w:keepNext w:val="0"/>
        <w:keepLines w:val="0"/>
        <w:widowControl w:val="0"/>
        <w:spacing w:after="80" w:before="360" w:line="240" w:lineRule="auto"/>
        <w:ind w:left="720" w:hanging="360"/>
        <w:jc w:val="both"/>
        <w:rPr>
          <w:rFonts w:ascii="Times" w:cs="Times" w:eastAsia="Times" w:hAnsi="Times"/>
          <w:b w:val="1"/>
          <w:bCs w:val="1"/>
          <w:color w:val="000000"/>
          <w:sz w:val="24"/>
          <w:szCs w:val="24"/>
        </w:rPr>
      </w:pPr>
      <w:r>
        <w:t>5.2 INVESTIGACIÓN DE ENFERMEDAD LABORAL</w:t>
      </w:r>
    </w:p>
    <w:p w:rsidR="00000000" w:rsidDel="00000000" w:rsidP="00000000" w:rsidRDefault="00000000" w:rsidRPr="00000000" w14:paraId="00000026">
      <w:pPr>
        <w:widowControl w:val="0"/>
        <w:spacing w:after="240" w:before="240" w:line="240" w:lineRule="auto"/>
        <w:jc w:val="both"/>
        <w:rPr>
          <w:rFonts w:ascii="Times" w:cs="Times" w:eastAsia="Times" w:hAnsi="Times"/>
          <w:sz w:val="24"/>
          <w:szCs w:val="24"/>
        </w:rPr>
      </w:pPr>
      <w:r>
        <w:t>La investigación debe realizarse dentro de los quince (15) días calendario siguientes al diagnóstico, con el fin de identificar causas y establecer medidas de control.</w:t>
      </w:r>
    </w:p>
    <w:p w:rsidR="00000000" w:rsidDel="00000000" w:rsidP="00000000" w:rsidRDefault="00000000" w:rsidRPr="00000000" w14:paraId="00000027">
      <w:pPr>
        <w:pStyle w:val="Heading3"/>
        <w:keepNext w:val="0"/>
        <w:keepLines w:val="0"/>
        <w:widowControl w:val="0"/>
        <w:spacing w:after="80" w:before="280" w:line="240" w:lineRule="auto"/>
        <w:ind w:left="720" w:hanging="360"/>
        <w:jc w:val="both"/>
        <w:rPr>
          <w:rFonts w:ascii="Times" w:cs="Times" w:eastAsia="Times" w:hAnsi="Times"/>
          <w:b w:val="1"/>
          <w:bCs w:val="1"/>
          <w:color w:val="000000"/>
        </w:rPr>
      </w:pPr>
      <w:r>
        <w:t>Etapas de la investigación</w:t>
      </w:r>
    </w:p>
    <w:p w:rsidR="00000000" w:rsidDel="00000000" w:rsidP="00000000" w:rsidRDefault="00000000" w:rsidRPr="00000000" w14:paraId="00000028">
      <w:pPr>
        <w:widowControl w:val="0"/>
        <w:spacing w:after="240" w:before="240" w:line="240" w:lineRule="auto"/>
        <w:jc w:val="both"/>
        <w:rPr>
          <w:rFonts w:ascii="Times" w:cs="Times" w:eastAsia="Times" w:hAnsi="Times"/>
          <w:sz w:val="24"/>
          <w:szCs w:val="24"/>
        </w:rPr>
      </w:pPr>
      <w:r>
        <w:t>1. Revisión normativa y técnica:</w:t>
        <w:br/>
        <w:t xml:space="preserve"> Consultar la tabla de enfermedades laborales vigente (Decreto 1477 de 2014), identificando el agente de riesgo, código CIE-10 y actividades asociadas.</w:t>
      </w:r>
    </w:p>
    <w:p w:rsidR="00000000" w:rsidDel="00000000" w:rsidP="00000000" w:rsidRDefault="00000000" w:rsidRPr="00000000" w14:paraId="00000029">
      <w:pPr>
        <w:widowControl w:val="0"/>
        <w:spacing w:after="240" w:before="240" w:line="240" w:lineRule="auto"/>
        <w:jc w:val="both"/>
        <w:rPr>
          <w:rFonts w:ascii="Times" w:cs="Times" w:eastAsia="Times" w:hAnsi="Times"/>
          <w:sz w:val="24"/>
          <w:szCs w:val="24"/>
        </w:rPr>
      </w:pPr>
      <w:r>
        <w:t>2. Conformación del equipo investigador:</w:t>
        <w:br/>
        <w:t xml:space="preserve"> Debe incluir personal del SG-SST y, de ser posible, un médico especialista en salud ocupacional o profesional competente.</w:t>
      </w:r>
    </w:p>
    <w:p w:rsidR="00000000" w:rsidDel="00000000" w:rsidP="00000000" w:rsidRDefault="00000000" w:rsidRPr="00000000" w14:paraId="0000002A">
      <w:pPr>
        <w:widowControl w:val="0"/>
        <w:spacing w:after="240" w:before="240" w:line="240" w:lineRule="auto"/>
        <w:jc w:val="both"/>
        <w:rPr>
          <w:rFonts w:ascii="Times" w:cs="Times" w:eastAsia="Times" w:hAnsi="Times"/>
          <w:sz w:val="24"/>
          <w:szCs w:val="24"/>
        </w:rPr>
      </w:pPr>
      <w:r>
        <w:t>3. Recolección de información:</w:t>
        <w:br/>
        <w:t xml:space="preserve"> Se deben analizar, entre otros:</w:t>
      </w:r>
    </w:p>
    <w:p w:rsidR="00000000" w:rsidDel="00000000" w:rsidP="00000000" w:rsidRDefault="00000000" w:rsidRPr="00000000" w14:paraId="0000002B">
      <w:pPr>
        <w:widowControl w:val="0"/>
        <w:numPr>
          <w:ilvl w:val="0"/>
          <w:numId w:val="2"/>
        </w:numPr>
        <w:spacing w:after="0" w:afterAutospacing="0" w:before="240" w:line="240" w:lineRule="auto"/>
        <w:ind w:left="720" w:hanging="360"/>
        <w:rPr>
          <w:rFonts w:ascii="Times" w:cs="Times" w:eastAsia="Times" w:hAnsi="Times"/>
          <w:sz w:val="24"/>
          <w:szCs w:val="24"/>
        </w:rPr>
      </w:pPr>
      <w:r>
        <w:t>Historia clínica ocupacional (cuando aplique)</w:t>
      </w:r>
    </w:p>
    <w:p w:rsidR="00000000" w:rsidDel="00000000" w:rsidP="00000000" w:rsidRDefault="00000000" w:rsidRPr="00000000" w14:paraId="0000002C">
      <w:pPr>
        <w:widowControl w:val="0"/>
        <w:numPr>
          <w:ilvl w:val="0"/>
          <w:numId w:val="2"/>
        </w:numPr>
        <w:spacing w:after="0" w:afterAutospacing="0" w:before="0" w:beforeAutospacing="0" w:line="240" w:lineRule="auto"/>
        <w:ind w:left="720" w:hanging="360"/>
        <w:rPr>
          <w:rFonts w:ascii="Times" w:cs="Times" w:eastAsia="Times" w:hAnsi="Times"/>
          <w:sz w:val="24"/>
          <w:szCs w:val="24"/>
        </w:rPr>
      </w:pPr>
      <w:r>
        <w:t>Matriz de peligros</w:t>
      </w:r>
    </w:p>
    <w:p w:rsidR="00000000" w:rsidDel="00000000" w:rsidP="00000000" w:rsidRDefault="00000000" w:rsidRPr="00000000" w14:paraId="0000002D">
      <w:pPr>
        <w:widowControl w:val="0"/>
        <w:numPr>
          <w:ilvl w:val="0"/>
          <w:numId w:val="2"/>
        </w:numPr>
        <w:spacing w:after="0" w:afterAutospacing="0" w:before="0" w:beforeAutospacing="0" w:line="240" w:lineRule="auto"/>
        <w:ind w:left="720" w:hanging="360"/>
        <w:rPr>
          <w:rFonts w:ascii="Times" w:cs="Times" w:eastAsia="Times" w:hAnsi="Times"/>
          <w:sz w:val="24"/>
          <w:szCs w:val="24"/>
        </w:rPr>
      </w:pPr>
      <w:r>
        <w:t>Evaluaciones ambientales, ergonómicas y psicosociales</w:t>
      </w:r>
    </w:p>
    <w:p w:rsidR="00000000" w:rsidDel="00000000" w:rsidP="00000000" w:rsidRDefault="00000000" w:rsidRPr="00000000" w14:paraId="0000002E">
      <w:pPr>
        <w:widowControl w:val="0"/>
        <w:numPr>
          <w:ilvl w:val="0"/>
          <w:numId w:val="2"/>
        </w:numPr>
        <w:spacing w:after="0" w:afterAutospacing="0" w:before="0" w:beforeAutospacing="0" w:line="240" w:lineRule="auto"/>
        <w:ind w:left="720" w:hanging="360"/>
        <w:rPr>
          <w:rFonts w:ascii="Times" w:cs="Times" w:eastAsia="Times" w:hAnsi="Times"/>
          <w:sz w:val="24"/>
          <w:szCs w:val="24"/>
        </w:rPr>
      </w:pPr>
      <w:r>
        <w:t>Estadísticas de ausentismo y enfermedad</w:t>
      </w:r>
    </w:p>
    <w:p w:rsidR="00000000" w:rsidDel="00000000" w:rsidP="00000000" w:rsidRDefault="00000000" w:rsidRPr="00000000" w14:paraId="0000002F">
      <w:pPr>
        <w:widowControl w:val="0"/>
        <w:numPr>
          <w:ilvl w:val="0"/>
          <w:numId w:val="2"/>
        </w:numPr>
        <w:spacing w:after="0" w:afterAutospacing="0" w:before="0" w:beforeAutospacing="0" w:line="240" w:lineRule="auto"/>
        <w:ind w:left="720" w:hanging="360"/>
        <w:rPr>
          <w:rFonts w:ascii="Times" w:cs="Times" w:eastAsia="Times" w:hAnsi="Times"/>
          <w:sz w:val="24"/>
          <w:szCs w:val="24"/>
        </w:rPr>
      </w:pPr>
      <w:r>
        <w:t>Perfil sociodemográfico</w:t>
      </w:r>
    </w:p>
    <w:p w:rsidR="00000000" w:rsidDel="00000000" w:rsidP="00000000" w:rsidRDefault="00000000" w:rsidRPr="00000000" w14:paraId="00000030">
      <w:pPr>
        <w:widowControl w:val="0"/>
        <w:numPr>
          <w:ilvl w:val="0"/>
          <w:numId w:val="2"/>
        </w:numPr>
        <w:spacing w:after="240" w:before="0" w:beforeAutospacing="0" w:line="240" w:lineRule="auto"/>
        <w:ind w:left="720" w:hanging="360"/>
        <w:rPr>
          <w:rFonts w:ascii="Times" w:cs="Times" w:eastAsia="Times" w:hAnsi="Times"/>
          <w:sz w:val="24"/>
          <w:szCs w:val="24"/>
        </w:rPr>
      </w:pPr>
      <w:r>
        <w:t>Registros del SG-SST</w:t>
      </w:r>
    </w:p>
    <w:p w:rsidR="00000000" w:rsidDel="00000000" w:rsidP="00000000" w:rsidRDefault="00000000" w:rsidRPr="00000000" w14:paraId="00000031">
      <w:pPr>
        <w:widowControl w:val="0"/>
        <w:spacing w:after="240" w:before="240" w:line="240" w:lineRule="auto"/>
        <w:jc w:val="both"/>
        <w:rPr>
          <w:rFonts w:ascii="Times" w:cs="Times" w:eastAsia="Times" w:hAnsi="Times"/>
          <w:sz w:val="24"/>
          <w:szCs w:val="24"/>
        </w:rPr>
      </w:pPr>
      <w:r>
        <w:t>4. Análisis del riesgo:</w:t>
        <w:br/>
        <w:t xml:space="preserve"> Se evalúa la presencia del agente de riesgo en los diferentes escenarios:</w:t>
      </w:r>
    </w:p>
    <w:p w:rsidR="00000000" w:rsidDel="00000000" w:rsidP="00000000" w:rsidRDefault="00000000" w:rsidRPr="00000000" w14:paraId="00000032">
      <w:pPr>
        <w:widowControl w:val="0"/>
        <w:numPr>
          <w:ilvl w:val="0"/>
          <w:numId w:val="1"/>
        </w:numPr>
        <w:spacing w:after="0" w:afterAutospacing="0" w:before="240" w:line="240" w:lineRule="auto"/>
        <w:ind w:left="720" w:hanging="360"/>
        <w:rPr>
          <w:rFonts w:ascii="Times" w:cs="Times" w:eastAsia="Times" w:hAnsi="Times"/>
          <w:sz w:val="24"/>
          <w:szCs w:val="24"/>
        </w:rPr>
      </w:pPr>
      <w:r>
        <w:t>No existente</w:t>
      </w:r>
    </w:p>
    <w:p w:rsidR="00000000" w:rsidDel="00000000" w:rsidP="00000000" w:rsidRDefault="00000000" w:rsidRPr="00000000" w14:paraId="00000033">
      <w:pPr>
        <w:widowControl w:val="0"/>
        <w:numPr>
          <w:ilvl w:val="0"/>
          <w:numId w:val="1"/>
        </w:numPr>
        <w:spacing w:after="0" w:afterAutospacing="0" w:before="0" w:beforeAutospacing="0" w:line="240" w:lineRule="auto"/>
        <w:ind w:left="720" w:hanging="360"/>
        <w:rPr>
          <w:rFonts w:ascii="Times" w:cs="Times" w:eastAsia="Times" w:hAnsi="Times"/>
          <w:sz w:val="24"/>
          <w:szCs w:val="24"/>
        </w:rPr>
      </w:pPr>
      <w:r>
        <w:t>Existente sin cambios</w:t>
      </w:r>
    </w:p>
    <w:p w:rsidR="00000000" w:rsidDel="00000000" w:rsidP="00000000" w:rsidRDefault="00000000" w:rsidRPr="00000000" w14:paraId="00000034">
      <w:pPr>
        <w:widowControl w:val="0"/>
        <w:numPr>
          <w:ilvl w:val="0"/>
          <w:numId w:val="1"/>
        </w:numPr>
        <w:spacing w:after="0" w:afterAutospacing="0" w:before="0" w:beforeAutospacing="0" w:line="240" w:lineRule="auto"/>
        <w:ind w:left="720" w:hanging="360"/>
        <w:rPr>
          <w:rFonts w:ascii="Times" w:cs="Times" w:eastAsia="Times" w:hAnsi="Times"/>
          <w:sz w:val="24"/>
          <w:szCs w:val="24"/>
        </w:rPr>
      </w:pPr>
      <w:r>
        <w:t>Controlado</w:t>
      </w:r>
    </w:p>
    <w:p w:rsidR="00000000" w:rsidDel="00000000" w:rsidP="00000000" w:rsidRDefault="00000000" w:rsidRPr="00000000" w14:paraId="00000035">
      <w:pPr>
        <w:widowControl w:val="0"/>
        <w:numPr>
          <w:ilvl w:val="0"/>
          <w:numId w:val="1"/>
        </w:numPr>
        <w:spacing w:after="240" w:before="0" w:beforeAutospacing="0" w:line="240" w:lineRule="auto"/>
        <w:ind w:left="720" w:hanging="360"/>
        <w:rPr>
          <w:rFonts w:ascii="Times" w:cs="Times" w:eastAsia="Times" w:hAnsi="Times"/>
          <w:sz w:val="24"/>
          <w:szCs w:val="24"/>
        </w:rPr>
      </w:pPr>
      <w:r>
        <w:t>Eliminado</w:t>
      </w:r>
    </w:p>
    <w:p w:rsidR="00000000" w:rsidDel="00000000" w:rsidP="00000000" w:rsidRDefault="00000000" w:rsidRPr="00000000" w14:paraId="00000036">
      <w:pPr>
        <w:widowControl w:val="0"/>
        <w:spacing w:after="240" w:before="240" w:line="240" w:lineRule="auto"/>
        <w:jc w:val="both"/>
        <w:rPr>
          <w:rFonts w:ascii="Times" w:cs="Times" w:eastAsia="Times" w:hAnsi="Times"/>
          <w:sz w:val="24"/>
          <w:szCs w:val="24"/>
        </w:rPr>
      </w:pPr>
      <w:r>
        <w:t>5. Reconocimiento del proceso laboral:</w:t>
        <w:br/>
        <w:t xml:space="preserve"> Se analiza la historia laboral del trabajador, identificando condiciones de exposición actuales y anteriores.</w:t>
      </w:r>
    </w:p>
    <w:p w:rsidR="00000000" w:rsidDel="00000000" w:rsidP="00000000" w:rsidRDefault="00000000" w:rsidRPr="00000000" w14:paraId="00000037">
      <w:pPr>
        <w:widowControl w:val="0"/>
        <w:spacing w:after="240" w:before="240" w:line="240" w:lineRule="auto"/>
        <w:jc w:val="both"/>
        <w:rPr>
          <w:rFonts w:ascii="Times" w:cs="Times" w:eastAsia="Times" w:hAnsi="Times"/>
          <w:sz w:val="24"/>
          <w:szCs w:val="24"/>
        </w:rPr>
      </w:pPr>
      <w:r>
        <w:t>6. Entrevistas:</w:t>
        <w:br/>
        <w:t xml:space="preserve"> Se realizan entrevistas al trabajador afectado, compañeros de trabajo y supervisores.</w:t>
      </w:r>
    </w:p>
    <w:p w:rsidR="00000000" w:rsidDel="00000000" w:rsidP="00000000" w:rsidRDefault="00000000" w:rsidRPr="00000000" w14:paraId="00000038">
      <w:pPr>
        <w:widowControl w:val="0"/>
        <w:spacing w:after="240" w:before="240" w:line="240" w:lineRule="auto"/>
        <w:jc w:val="both"/>
        <w:rPr>
          <w:rFonts w:ascii="Times" w:cs="Times" w:eastAsia="Times" w:hAnsi="Times"/>
          <w:sz w:val="24"/>
          <w:szCs w:val="24"/>
        </w:rPr>
      </w:pPr>
      <w:r>
        <w:t>7. Evaluación del puesto de trabajo:</w:t>
        <w:br/>
        <w:t xml:space="preserve"> Se identifican las condiciones de riesgo y factores asociados a la enfermedad.</w:t>
      </w:r>
    </w:p>
    <w:p w:rsidR="00000000" w:rsidDel="00000000" w:rsidP="00000000" w:rsidRDefault="00000000" w:rsidRPr="00000000" w14:paraId="00000039">
      <w:pPr>
        <w:widowControl w:val="0"/>
        <w:spacing w:after="240" w:before="240" w:line="240" w:lineRule="auto"/>
        <w:jc w:val="both"/>
        <w:rPr>
          <w:rFonts w:ascii="Times" w:cs="Times" w:eastAsia="Times" w:hAnsi="Times"/>
          <w:sz w:val="24"/>
          <w:szCs w:val="24"/>
        </w:rPr>
      </w:pPr>
      <w:r>
        <w:t>8. Análisis de causas:</w:t>
        <w:br/>
        <w:t xml:space="preserve"> Se determinan causas básicas e inmediatas utilizando metodologías como análisis causa-efecto.</w:t>
      </w:r>
    </w:p>
    <w:p w:rsidR="00000000" w:rsidDel="00000000" w:rsidP="00000000" w:rsidRDefault="00000000" w:rsidRPr="00000000" w14:paraId="0000003A">
      <w:pPr>
        <w:widowControl w:val="0"/>
        <w:spacing w:after="240" w:before="240" w:line="240" w:lineRule="auto"/>
        <w:jc w:val="both"/>
        <w:rPr>
          <w:rFonts w:ascii="Times" w:cs="Times" w:eastAsia="Times" w:hAnsi="Times"/>
          <w:sz w:val="24"/>
          <w:szCs w:val="24"/>
        </w:rPr>
      </w:pPr>
      <w:r>
        <w:t>9. Plan de acción:</w:t>
        <w:br/>
        <w:t xml:space="preserve"> Se establecen medidas preventivas, correctivas y de mejora, con responsables, tiempos e indicadores.</w:t>
      </w:r>
    </w:p>
    <w:p w:rsidR="00000000" w:rsidDel="00000000" w:rsidP="00000000" w:rsidRDefault="00000000" w:rsidRPr="00000000" w14:paraId="0000003B">
      <w:pPr>
        <w:widowControl w:val="0"/>
        <w:spacing w:after="240" w:before="240" w:line="240" w:lineRule="auto"/>
        <w:jc w:val="both"/>
        <w:rPr>
          <w:rFonts w:ascii="Times" w:cs="Times" w:eastAsia="Times" w:hAnsi="Times"/>
          <w:sz w:val="24"/>
          <w:szCs w:val="24"/>
        </w:rPr>
      </w:pPr>
      <w:r>
        <w:t>10. Seguimiento:</w:t>
        <w:br/>
        <w:t xml:space="preserve"> Se realiza control al cumplimiento y efectividad de las acciones implementadas.</w:t>
      </w:r>
    </w:p>
    <w:p w:rsidR="00000000" w:rsidDel="00000000" w:rsidP="00000000" w:rsidRDefault="00000000" w:rsidRPr="00000000" w14:paraId="0000003C">
      <w:pPr>
        <w:widowControl w:val="0"/>
        <w:spacing w:after="240" w:before="240" w:line="240" w:lineRule="auto"/>
        <w:jc w:val="both"/>
        <w:rPr>
          <w:rFonts w:ascii="Times" w:cs="Times" w:eastAsia="Times" w:hAnsi="Times"/>
          <w:sz w:val="24"/>
          <w:szCs w:val="24"/>
        </w:rPr>
      </w:pPr>
      <w:r>
        <w:t>11. Gestión documental:</w:t>
        <w:br/>
        <w:t xml:space="preserve"> La información debe archivarse garantizando la confidencialidad, preferiblemente en la historia clínica ocupacional.</w:t>
      </w:r>
    </w:p>
    <w:p w:rsidR="00000000" w:rsidDel="00000000" w:rsidP="00000000" w:rsidRDefault="00000000" w:rsidRPr="00000000" w14:paraId="0000003D">
      <w:pPr>
        <w:widowControl w:val="0"/>
        <w:spacing w:after="240" w:before="240" w:line="240" w:lineRule="auto"/>
        <w:jc w:val="both"/>
        <w:rPr>
          <w:rFonts w:ascii="Times" w:cs="Times" w:eastAsia="Times" w:hAnsi="Times"/>
          <w:sz w:val="24"/>
          <w:szCs w:val="24"/>
        </w:rPr>
      </w:pPr>
      <w:r/>
    </w:p>
    <w:p w:rsidR="00000000" w:rsidDel="00000000" w:rsidP="00000000" w:rsidRDefault="00000000" w:rsidRPr="00000000" w14:paraId="0000003E">
      <w:pPr>
        <w:widowControl w:val="0"/>
        <w:spacing w:after="240" w:before="240" w:line="240" w:lineRule="auto"/>
        <w:jc w:val="both"/>
        <w:rPr>
          <w:rFonts w:ascii="Times" w:cs="Times" w:eastAsia="Times" w:hAnsi="Times"/>
          <w:sz w:val="24"/>
          <w:szCs w:val="24"/>
        </w:rPr>
      </w:pPr>
      <w:r>
        <w:t>12. Actualización de la matriz de peligros:</w:t>
        <w:br/>
        <w:t xml:space="preserve"> Se deben ajustar los riesgos identificados y dejar trazabilidad de los cambios.</w:t>
      </w:r>
    </w:p>
    <w:p w:rsidR="00000000" w:rsidDel="00000000" w:rsidP="00000000" w:rsidRDefault="00000000" w:rsidRPr="00000000" w14:paraId="0000003F">
      <w:pPr>
        <w:pStyle w:val="Heading2"/>
        <w:keepNext w:val="0"/>
        <w:keepLines w:val="0"/>
        <w:widowControl w:val="0"/>
        <w:spacing w:after="80" w:before="360" w:line="240" w:lineRule="auto"/>
        <w:ind w:left="720" w:hanging="360"/>
        <w:jc w:val="both"/>
        <w:rPr>
          <w:rFonts w:ascii="Times" w:cs="Times" w:eastAsia="Times" w:hAnsi="Times"/>
          <w:b w:val="1"/>
          <w:bCs w:val="1"/>
          <w:color w:val="000000"/>
          <w:sz w:val="24"/>
          <w:szCs w:val="24"/>
        </w:rPr>
      </w:pPr>
      <w:r>
        <w:t>DISPOSICIONES ESPECIALES</w:t>
      </w:r>
    </w:p>
    <w:p w:rsidR="00000000" w:rsidDel="00000000" w:rsidP="00000000" w:rsidRDefault="00000000" w:rsidRPr="00000000" w14:paraId="00000040">
      <w:pPr>
        <w:widowControl w:val="0"/>
        <w:spacing w:after="240" w:before="240" w:line="240" w:lineRule="auto"/>
        <w:jc w:val="both"/>
        <w:rPr>
          <w:rFonts w:ascii="Times" w:cs="Times" w:eastAsia="Times" w:hAnsi="Times"/>
          <w:sz w:val="24"/>
          <w:szCs w:val="24"/>
        </w:rPr>
      </w:pPr>
      <w:r>
        <w:t>En caso de fallecimiento por enfermedad laboral, la empresa deberá realizar la investigación dentro de los quince (15) días calendario siguientes y remitirla a la ARL, quien emitirá concepto y definirá las acciones preventivas correspondientes.</w:t>
      </w:r>
    </w:p>
    <w:p w:rsidR="00000000" w:rsidDel="00000000" w:rsidP="00000000" w:rsidRDefault="00000000" w:rsidRPr="00000000" w14:paraId="00000041">
      <w:pPr>
        <w:pStyle w:val="Heading2"/>
        <w:keepNext w:val="0"/>
        <w:keepLines w:val="0"/>
        <w:widowControl w:val="0"/>
        <w:spacing w:after="80" w:before="360" w:line="240" w:lineRule="auto"/>
        <w:ind w:left="720" w:hanging="360"/>
        <w:jc w:val="both"/>
        <w:rPr>
          <w:rFonts w:ascii="Times" w:cs="Times" w:eastAsia="Times" w:hAnsi="Times"/>
          <w:b w:val="1"/>
          <w:bCs w:val="1"/>
          <w:color w:val="000000"/>
          <w:sz w:val="24"/>
          <w:szCs w:val="24"/>
        </w:rPr>
      </w:pPr>
      <w:r>
        <w:t>FORMATOS RELACIONADOS</w:t>
      </w:r>
    </w:p>
    <w:p w:rsidR="00000000" w:rsidDel="00000000" w:rsidP="00000000" w:rsidRDefault="00000000" w:rsidRPr="00000000" w14:paraId="00000042">
      <w:pPr>
        <w:widowControl w:val="0"/>
        <w:numPr>
          <w:ilvl w:val="0"/>
          <w:numId w:val="4"/>
        </w:numPr>
        <w:spacing w:after="0" w:afterAutospacing="0" w:before="240" w:line="240" w:lineRule="auto"/>
        <w:ind w:left="720" w:hanging="360"/>
        <w:rPr>
          <w:rFonts w:ascii="Times" w:cs="Times" w:eastAsia="Times" w:hAnsi="Times"/>
          <w:sz w:val="24"/>
          <w:szCs w:val="24"/>
        </w:rPr>
      </w:pPr>
      <w:r>
        <w:t>Investigación de enfermedad laboral</w:t>
      </w:r>
    </w:p>
    <w:p w:rsidR="00000000" w:rsidDel="00000000" w:rsidP="00000000" w:rsidRDefault="00000000" w:rsidRPr="00000000" w14:paraId="00000043">
      <w:pPr>
        <w:widowControl w:val="0"/>
        <w:numPr>
          <w:ilvl w:val="0"/>
          <w:numId w:val="4"/>
        </w:numPr>
        <w:spacing w:after="0" w:afterAutospacing="0" w:before="0" w:beforeAutospacing="0" w:line="240" w:lineRule="auto"/>
        <w:ind w:left="720" w:hanging="360"/>
        <w:rPr>
          <w:rFonts w:ascii="Times" w:cs="Times" w:eastAsia="Times" w:hAnsi="Times"/>
          <w:sz w:val="24"/>
          <w:szCs w:val="24"/>
        </w:rPr>
      </w:pPr>
      <w:r>
        <w:t>Reporte de enfermedad laboral (FUREL)</w:t>
      </w:r>
    </w:p>
    <w:p w:rsidR="00000000" w:rsidDel="00000000" w:rsidP="00000000" w:rsidRDefault="00000000" w:rsidRPr="00000000" w14:paraId="00000044">
      <w:pPr>
        <w:widowControl w:val="0"/>
        <w:numPr>
          <w:ilvl w:val="0"/>
          <w:numId w:val="4"/>
        </w:numPr>
        <w:spacing w:after="0" w:afterAutospacing="0" w:before="0" w:beforeAutospacing="0" w:line="240" w:lineRule="auto"/>
        <w:ind w:left="720" w:hanging="360"/>
        <w:rPr>
          <w:rFonts w:ascii="Times" w:cs="Times" w:eastAsia="Times" w:hAnsi="Times"/>
          <w:sz w:val="24"/>
          <w:szCs w:val="24"/>
        </w:rPr>
      </w:pPr>
      <w:r>
        <w:t xml:space="preserve">Diagnóstico de enfermedad laboral </w:t>
      </w:r>
    </w:p>
    <w:p w:rsidR="00000000" w:rsidDel="00000000" w:rsidP="00000000" w:rsidRDefault="00000000" w:rsidRPr="00000000" w14:paraId="00000045">
      <w:pPr>
        <w:widowControl w:val="0"/>
        <w:numPr>
          <w:ilvl w:val="0"/>
          <w:numId w:val="7"/>
        </w:numPr>
        <w:spacing w:after="0" w:line="240" w:lineRule="auto"/>
        <w:ind w:left="720" w:hanging="360"/>
        <w:jc w:val="both"/>
        <w:rPr>
          <w:rFonts w:ascii="Times" w:cs="Times" w:eastAsia="Times" w:hAnsi="Times"/>
          <w:sz w:val="24"/>
          <w:szCs w:val="24"/>
        </w:rPr>
      </w:pPr>
      <w:r/>
    </w:p>
    <w:p w:rsidR="00000000" w:rsidDel="00000000" w:rsidP="00000000" w:rsidRDefault="00000000" w:rsidRPr="00000000" w14:paraId="00000046">
      <w:pPr>
        <w:widowControl w:val="0"/>
        <w:spacing w:after="0" w:line="240" w:lineRule="auto"/>
        <w:jc w:val="both"/>
        <w:rPr>
          <w:rFonts w:ascii="Times" w:cs="Times" w:eastAsia="Times" w:hAnsi="Times"/>
          <w:sz w:val="24"/>
          <w:szCs w:val="24"/>
        </w:rPr>
      </w:pPr>
      <w:r/>
    </w:p>
    <w:p w:rsidR="00000000" w:rsidDel="00000000" w:rsidP="00000000" w:rsidRDefault="00000000" w:rsidRPr="00000000" w14:paraId="00000047">
      <w:pPr>
        <w:widowControl w:val="0"/>
        <w:spacing w:after="0" w:line="240" w:lineRule="auto"/>
        <w:jc w:val="both"/>
        <w:rPr>
          <w:rFonts w:ascii="Times" w:cs="Times" w:eastAsia="Times" w:hAnsi="Times"/>
          <w:sz w:val="24"/>
          <w:szCs w:val="24"/>
        </w:rPr>
      </w:pPr>
      <w:r/>
    </w:p>
    <w:tbl>
      <w:tblPr>
        <w:tblStyle w:val="Table1"/>
        <w:tblpPr w:leftFromText="180" w:rightFromText="180" w:topFromText="0" w:bottomFromText="0" w:vertAnchor="text" w:horzAnchor="text" w:tblpX="112.50000000000057" w:tblpY="208"/>
        <w:tblW w:w="8613.0" w:type="dxa"/>
        <w:jc w:val="left"/>
        <w:tblInd w:w="-11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077"/>
        <w:gridCol w:w="4536"/>
        <w:tblGridChange w:id="0">
          <w:tblGrid>
            <w:gridCol w:w="4077"/>
            <w:gridCol w:w="4536"/>
          </w:tblGrid>
        </w:tblGridChange>
      </w:tblGrid>
      <w:tr>
        <w:trPr>
          <w:cantSplit w:val="0"/>
          <w:trHeight w:val="175" w:hRule="atLeast"/>
          <w:tblHeader w:val="0"/>
        </w:trPr>
        <w:tc>
          <w:tcPr>
            <w:shd w:fill="auto" w:val="clear"/>
          </w:tcPr>
          <w:p>
            <w:r>
              <w:t>Realizado por:</w:t>
            </w:r>
          </w:p>
        </w:tc>
        <w:tc>
          <w:tcPr>
            <w:shd w:fill="auto" w:val="clear"/>
          </w:tcPr>
          <w:p>
            <w:r>
              <w:t>aprobado por:</w:t>
            </w:r>
          </w:p>
        </w:tc>
      </w:tr>
      <w:tr>
        <w:trPr>
          <w:cantSplit w:val="0"/>
          <w:trHeight w:val="844" w:hRule="atLeast"/>
          <w:tblHeader w:val="0"/>
        </w:trPr>
        <w:tc>
          <w:tcPr>
            <w:shd w:fill="auto" w:val="clear"/>
          </w:tcPr>
          <w:p>
            <w:r>
              <w:t xml:space="preserve">Nombre: </w:t>
              <w:br/>
              <w:t>Cargo: Analista SST</w:t>
              <w:br/>
              <w:t xml:space="preserve">Firma: </w:t>
            </w:r>
          </w:p>
        </w:tc>
        <w:tc>
          <w:tcPr>
            <w:shd w:fill="auto" w:val="clear"/>
          </w:tcPr>
          <w:p>
            <w:r>
              <w:t>Nombre: Carlos Andrés Muñoz Parra</w:t>
            </w:r>
          </w:p>
        </w:tc>
      </w:tr>
      <w:tr>
        <w:trPr>
          <w:cantSplit w:val="0"/>
          <w:trHeight w:val="374" w:hRule="atLeast"/>
          <w:tblHeader w:val="0"/>
        </w:trPr>
        <w:tc>
          <w:tcPr>
            <w:shd w:fill="auto" w:val="clear"/>
          </w:tcPr>
          <w:p>
            <w:r>
              <w:t>Fecha: 02/02/2026</w:t>
            </w:r>
          </w:p>
        </w:tc>
        <w:tc>
          <w:tcPr>
            <w:shd w:fill="auto" w:val="clear"/>
          </w:tcPr>
          <w:p>
            <w:r>
              <w:t>Fecha: 02/02/2026</w:t>
            </w:r>
          </w:p>
        </w:tc>
      </w:tr>
    </w:tbl>
    <w:p w:rsidR="00000000" w:rsidDel="00000000" w:rsidP="00000000" w:rsidRDefault="00000000" w:rsidRPr="00000000" w14:paraId="00000052">
      <w:pPr>
        <w:widowControl w:val="0"/>
        <w:spacing w:after="0" w:line="240" w:lineRule="auto"/>
        <w:ind w:left="720" w:firstLine="0"/>
        <w:jc w:val="both"/>
        <w:rPr>
          <w:rFonts w:ascii="Times" w:cs="Times" w:eastAsia="Times" w:hAnsi="Times"/>
          <w:sz w:val="24"/>
          <w:szCs w:val="24"/>
        </w:rPr>
      </w:pPr>
      <w:r/>
    </w:p>
    <w:p w:rsidR="00000000" w:rsidDel="00000000" w:rsidP="00000000" w:rsidRDefault="00000000" w:rsidRPr="00000000" w14:paraId="00000053">
      <w:pPr>
        <w:widowControl w:val="0"/>
        <w:spacing w:after="0" w:line="240" w:lineRule="auto"/>
        <w:ind w:left="720" w:firstLine="0"/>
        <w:jc w:val="both"/>
        <w:rPr>
          <w:rFonts w:ascii="Times" w:cs="Times" w:eastAsia="Times" w:hAnsi="Times"/>
          <w:sz w:val="24"/>
          <w:szCs w:val="24"/>
        </w:rPr>
      </w:pPr>
      <w:r/>
    </w:p>
    <w:p w:rsidR="00000000" w:rsidDel="00000000" w:rsidP="00000000" w:rsidRDefault="00000000" w:rsidRPr="00000000" w14:paraId="00000054">
      <w:pPr>
        <w:widowControl w:val="0"/>
        <w:spacing w:after="0" w:line="240" w:lineRule="auto"/>
        <w:ind w:left="720" w:firstLine="0"/>
        <w:jc w:val="both"/>
        <w:rPr>
          <w:rFonts w:ascii="Times" w:cs="Times" w:eastAsia="Times" w:hAnsi="Times"/>
          <w:sz w:val="24"/>
          <w:szCs w:val="24"/>
        </w:rPr>
      </w:pPr>
      <w:r/>
    </w:p>
    <w:p w:rsidR="00000000" w:rsidDel="00000000" w:rsidP="00000000" w:rsidRDefault="00000000" w:rsidRPr="00000000" w14:paraId="00000055">
      <w:pPr>
        <w:widowControl w:val="0"/>
        <w:spacing w:after="0" w:line="240" w:lineRule="auto"/>
        <w:ind w:left="720" w:firstLine="0"/>
        <w:jc w:val="both"/>
        <w:rPr>
          <w:rFonts w:ascii="Times" w:cs="Times" w:eastAsia="Times" w:hAnsi="Times"/>
          <w:sz w:val="24"/>
          <w:szCs w:val="24"/>
        </w:rPr>
      </w:pPr>
      <w:r/>
    </w:p>
    <w:p w:rsidR="00000000" w:rsidDel="00000000" w:rsidP="00000000" w:rsidRDefault="00000000" w:rsidRPr="00000000" w14:paraId="00000056">
      <w:pPr>
        <w:widowControl w:val="0"/>
        <w:spacing w:after="0" w:line="240" w:lineRule="auto"/>
        <w:ind w:left="720" w:firstLine="0"/>
        <w:jc w:val="both"/>
        <w:rPr>
          <w:rFonts w:ascii="Times" w:cs="Times" w:eastAsia="Times" w:hAnsi="Times"/>
          <w:sz w:val="24"/>
          <w:szCs w:val="24"/>
        </w:rPr>
      </w:pPr>
      <w:r/>
    </w:p>
    <w:sectPr>
      <w:headerReference r:id="rId7" w:type="default"/>
      <w:headerReference w:type="first" r:id="rId8"/>
      <w:headerReference w:type="even" r:id="rId9"/>
      <w:footerReference w:type="default" r:id="rId10"/>
      <w:footerReference w:type="first" r:id="rId11"/>
      <w:footerReference w:type="even" r:id="rId12"/>
      <w:pgSz w:h="15840" w:w="12240" w:orient="portrait"/>
      <w:pgMar w:bottom="1560" w:top="1417" w:left="1701" w:right="170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  <w:font w:name="Times New Roman"/>
  <w:font w:name="Courier New"/>
  <w:font w:name="Times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7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Arial" w:cs="Arial" w:eastAsia="Arial" w:hAnsi="Arial"/>
      </w:rPr>
    </w:pPr>
    <w:r/>
  </w:p>
  <w:tbl>
    <w:tblPr>
      <w:tblStyle w:val="Table2"/>
      <w:tblW w:w="9258.0" w:type="dxa"/>
      <w:jc w:val="center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2122"/>
      <w:gridCol w:w="3644"/>
      <w:gridCol w:w="3492"/>
      <w:tblGridChange w:id="0">
        <w:tblGrid>
          <w:gridCol w:w="2122"/>
          <w:gridCol w:w="3644"/>
          <w:gridCol w:w="3492"/>
        </w:tblGrid>
      </w:tblGridChange>
    </w:tblGrid>
    <w:tr>
      <w:trPr>
        <w:cantSplit w:val="0"/>
        <w:trHeight w:val="268" w:hRule="atLeast"/>
        <w:tblHeader w:val="0"/>
      </w:trPr>
      <w:tc>
        <w:tcPr>
          <w:vMerge w:val="restart"/>
        </w:tcPr>
        <w:p w:rsidR="00000000" w:rsidDel="00000000" w:rsidP="00000000" w:rsidRDefault="00000000" w:rsidRPr="00000000" w14:paraId="00000058">
          <w:pPr>
            <w:rPr/>
          </w:pPr>
          <w:r w:rsidDel="00000000" w:rsidR="00000000" w:rsidRPr="00000000">
            <w:rPr/>
            <w:drawing>
              <wp:inline distB="114300" distT="114300" distL="114300" distR="114300">
                <wp:extent cx="1247775" cy="1244600"/>
                <wp:effectExtent b="0" l="0" r="0" t="0"/>
                <wp:docPr id="1" name="image1.jpg"/>
                <a:graphic>
                  <a:graphicData uri="http://schemas.openxmlformats.org/drawingml/2006/picture">
                    <pic:pic>
                      <pic:nvPicPr>
                        <pic:cNvPr id="0" name="image1.jp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47775" cy="124460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vMerge w:val="restart"/>
          <w:vAlign w:val="center"/>
        </w:tcPr>
        <w:p w:rsidR="00000000" w:rsidDel="00000000" w:rsidP="00000000" w:rsidRDefault="00000000" w:rsidRPr="00000000" w14:paraId="00000059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419"/>
              <w:tab w:val="right" w:leader="none" w:pos="8838"/>
            </w:tabs>
            <w:spacing w:after="0" w:before="0" w:line="240" w:lineRule="auto"/>
            <w:ind w:left="0" w:right="0" w:firstLine="0"/>
            <w:jc w:val="center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PROCEDIMIENTO PARA REPORTE E INVESTIGACIÓN DE ENFERMEDAD LABORAL</w:t>
          </w:r>
          <w:r w:rsidDel="00000000" w:rsidR="00000000" w:rsidRPr="00000000">
            <w:rPr>
              <w:rtl w:val="0"/>
            </w:rPr>
          </w:r>
        </w:p>
      </w:tc>
      <w:tc>
        <w:tcPr/>
        <w:p w:rsidR="00000000" w:rsidDel="00000000" w:rsidP="00000000" w:rsidRDefault="00000000" w:rsidRPr="00000000" w14:paraId="0000005A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419"/>
              <w:tab w:val="right" w:leader="none" w:pos="8838"/>
            </w:tabs>
            <w:spacing w:after="0" w:before="0" w:line="240" w:lineRule="auto"/>
            <w:ind w:left="0" w:right="0" w:firstLine="0"/>
            <w:jc w:val="left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>Fecha: 01/02/2026</w:t>
          </w:r>
          <w:r w:rsidDel="00000000" w:rsidR="00000000" w:rsidRPr="00000000">
            <w:rPr>
              <w:rtl w:val="0"/>
            </w:rPr>
          </w:r>
        </w:p>
      </w:tc>
    </w:tr>
    <w:tr>
      <w:trPr>
        <w:cantSplit w:val="0"/>
        <w:trHeight w:val="109" w:hRule="atLeast"/>
        <w:tblHeader w:val="0"/>
      </w:trPr>
      <w:tc>
        <w:tcPr>
          <w:vMerge w:val="continue"/>
        </w:tcPr>
        <w:p w:rsidR="00000000" w:rsidDel="00000000" w:rsidP="00000000" w:rsidRDefault="00000000" w:rsidRPr="00000000" w14:paraId="0000005B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0" w:right="0" w:firstLine="0"/>
            <w:jc w:val="left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vMerge w:val="continue"/>
          <w:vAlign w:val="center"/>
        </w:tcPr>
        <w:p w:rsidR="00000000" w:rsidDel="00000000" w:rsidP="00000000" w:rsidRDefault="00000000" w:rsidRPr="00000000" w14:paraId="0000005C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0" w:right="0" w:firstLine="0"/>
            <w:jc w:val="left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Mar>
            <w:left w:w="108.0" w:type="dxa"/>
            <w:right w:w="108.0" w:type="dxa"/>
          </w:tcMar>
        </w:tcPr>
        <w:p w:rsidR="00000000" w:rsidDel="00000000" w:rsidP="00000000" w:rsidRDefault="00000000" w:rsidRPr="00000000" w14:paraId="0000005D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419"/>
              <w:tab w:val="right" w:leader="none" w:pos="8838"/>
            </w:tabs>
            <w:spacing w:after="0" w:before="0" w:line="240" w:lineRule="auto"/>
            <w:ind w:left="0" w:right="0" w:firstLine="0"/>
            <w:jc w:val="left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b/>
              <w:bCs w:val="1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>Versión: 1</w:t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</w:r>
          <w:r w:rsidDel="00000000" w:rsidR="00000000" w:rsidRPr="00000000">
            <w:rPr>
              <w:rtl w:val="0"/>
            </w:rPr>
          </w:r>
        </w:p>
      </w:tc>
    </w:tr>
    <w:tr>
      <w:trPr>
        <w:cantSplit w:val="0"/>
        <w:trHeight w:val="70" w:hRule="atLeast"/>
        <w:tblHeader w:val="0"/>
      </w:trPr>
      <w:tc>
        <w:tcPr>
          <w:vMerge w:val="continue"/>
        </w:tcPr>
        <w:p w:rsidR="00000000" w:rsidDel="00000000" w:rsidP="00000000" w:rsidRDefault="00000000" w:rsidRPr="00000000" w14:paraId="0000005E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0" w:right="0" w:firstLine="0"/>
            <w:jc w:val="left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vMerge w:val="continue"/>
          <w:vAlign w:val="center"/>
        </w:tcPr>
        <w:p w:rsidR="00000000" w:rsidDel="00000000" w:rsidP="00000000" w:rsidRDefault="00000000" w:rsidRPr="00000000" w14:paraId="0000005F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0" w:right="0" w:firstLine="0"/>
            <w:jc w:val="left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Mar>
            <w:left w:w="108.0" w:type="dxa"/>
            <w:right w:w="108.0" w:type="dxa"/>
          </w:tcMar>
        </w:tcPr>
        <w:p w:rsidR="00000000" w:rsidDel="00000000" w:rsidP="00000000" w:rsidRDefault="00000000" w:rsidRPr="00000000" w14:paraId="00000060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419"/>
              <w:tab w:val="right" w:leader="none" w:pos="8838"/>
            </w:tabs>
            <w:spacing w:after="0" w:before="0" w:line="240" w:lineRule="auto"/>
            <w:ind w:left="0" w:right="0" w:firstLine="0"/>
            <w:jc w:val="left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sz w:val="24"/>
              <w:szCs w:val="24"/>
              <w:rtl w:val="0"/>
            </w:rPr>
            <w:t>Código: FG-FOR-SST-42</w:t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61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/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O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Rule="auto"/>
    </w:pPr>
    <w:rPr>
      <w:rFonts w:ascii="Calibri" w:cs="Calibri" w:eastAsia="Calibri" w:hAnsi="Calibri"/>
      <w:color w:val="2e75b5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2e75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1e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header" Target="header2.xml"/><Relationship Id="rId9" Type="http://schemas.openxmlformats.org/officeDocument/2006/relationships/header" Target="header3.xml"/><Relationship Id="rId10" Type="http://schemas.openxmlformats.org/officeDocument/2006/relationships/footer" Target="footer1.xml"/><Relationship Id="rId11" Type="http://schemas.openxmlformats.org/officeDocument/2006/relationships/footer" Target="footer2.xml"/><Relationship Id="rId12" Type="http://schemas.openxmlformats.org/officeDocument/2006/relationships/footer" Target="footer3.xml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ZMg1W8LMm44oDOyI5eYlinc5AOQ==">CgMxLjAyDmguMnJneWZ5N2VxdWVtMg5oLmJ2eWh6aWc2dmg0YjIOaC5tbGd4N3RyNjF3ZGcyDmguOHR3MDB0ZDJwZzliMg5oLjZuZGJ6bGVxb2JpZzIOaC40MWQ4aGhuaG13NDkyDmguNHUzajRhcnE1amhiMg5oLmVnc3RxM3hoNngyZDIOaC5idHQ5d3l1NnV0NnQyDmgubDVjc2FsZXd5bWFyMg5oLjE1YW10NGd6NDlieDINaC56dTcwN3o2ZzlkZjIOaC45eHU0bW9wZHF6MDE4AHIhMTRhVnRrVW82eWZrbXhIcmhxSnZxbDg5d3I5S2dMenJ1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Word Document</dc:title>
  <cp:lastModifiedBy>python-docx</cp:lastModifiedBy>
  <cp:revision>1</cp:revision>
  <dcterms:modified xsi:type="dcterms:W3CDTF">2026-05-23T02:07:23Z</dcterms:modified>
</cp:coreProperties>
</file>