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t>OBJETIVO</w:t>
      </w:r>
    </w:p>
    <w:p w:rsidR="00000000" w:rsidDel="00000000" w:rsidP="00000000" w:rsidRDefault="00000000" w:rsidRPr="00000000" w14:paraId="00000002">
      <w:pPr>
        <w:spacing w:line="276" w:lineRule="auto"/>
        <w:jc w:val="both"/>
        <w:rPr>
          <w:rFonts w:ascii="Arial" w:cs="Arial" w:eastAsia="Arial" w:hAnsi="Arial"/>
          <w:sz w:val="24"/>
          <w:szCs w:val="24"/>
        </w:rPr>
      </w:pPr>
      <w:r>
        <w:t>Establecer, implementar y mantener una metodología para identificar los peligros existentes en el lugar de trabajo, calificar y evaluar los riesgos asociados a las actividades de la organización, y determinar las medidas de control de aquellos que tengan o puedan generar un impacto significativo en los trabajadores o en las operaciones de la empresa FOREST GREEN SERVICIOS AMBIENTALES S.A.S. servicios ambientales servicios forestales y agrícolas.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ALCANCE</w:t>
      </w:r>
    </w:p>
    <w:p w:rsidR="00000000" w:rsidDel="00000000" w:rsidP="00000000" w:rsidRDefault="00000000" w:rsidRPr="00000000" w14:paraId="00000004">
      <w:pPr>
        <w:spacing w:line="276" w:lineRule="auto"/>
        <w:jc w:val="both"/>
        <w:rPr>
          <w:rFonts w:ascii="Arial" w:cs="Arial" w:eastAsia="Arial" w:hAnsi="Arial"/>
          <w:sz w:val="24"/>
          <w:szCs w:val="24"/>
        </w:rPr>
      </w:pPr>
      <w:r>
        <w:t>Actividades rutinarias, no rutinarias, productos o servicios desarrollados en la empresa, por todo el personal que se encuentran bajo el control de la organización: trabajadores directos, temporales, contratistas y subcontratistas.</w:t>
      </w:r>
    </w:p>
    <w:p w:rsidR="00000000" w:rsidDel="00000000" w:rsidP="00000000" w:rsidRDefault="00000000" w:rsidRPr="00000000" w14:paraId="00000005">
      <w:pPr>
        <w:numPr>
          <w:ilvl w:val="0"/>
          <w:numId w:val="1"/>
        </w:numPr>
        <w:spacing w:line="276" w:lineRule="auto"/>
        <w:ind w:left="0" w:firstLine="0"/>
        <w:jc w:val="both"/>
        <w:rPr>
          <w:rFonts w:ascii="Arial" w:cs="Arial" w:eastAsia="Arial" w:hAnsi="Arial"/>
          <w:sz w:val="24"/>
          <w:szCs w:val="24"/>
        </w:rPr>
      </w:pPr>
      <w:r>
        <w:t>DEFINICIONES</w:t>
      </w:r>
    </w:p>
    <w:p w:rsidR="00000000" w:rsidDel="00000000" w:rsidP="00000000" w:rsidRDefault="00000000" w:rsidRPr="00000000" w14:paraId="00000006">
      <w:pPr>
        <w:spacing w:line="276" w:lineRule="auto"/>
        <w:jc w:val="both"/>
        <w:rPr>
          <w:rFonts w:ascii="Arial" w:cs="Arial" w:eastAsia="Arial" w:hAnsi="Arial"/>
          <w:sz w:val="24"/>
          <w:szCs w:val="24"/>
        </w:rPr>
      </w:pPr>
      <w:r>
        <w:t>Accidente de trabajo. Es accidente de trabajo todo suceso repentino que sobrevenga por causa o con ocasión del trabajo, y que produzca en el trabajador una lesión orgánica, una perturbación funcional o psiquiátrica, una invalidez o la muerte.</w:t>
      </w:r>
    </w:p>
    <w:p w:rsidR="00000000" w:rsidDel="00000000" w:rsidP="00000000" w:rsidRDefault="00000000" w:rsidRPr="00000000" w14:paraId="00000007">
      <w:pPr>
        <w:spacing w:line="276" w:lineRule="auto"/>
        <w:jc w:val="both"/>
        <w:rPr>
          <w:rFonts w:ascii="Arial" w:cs="Arial" w:eastAsia="Arial" w:hAnsi="Arial"/>
          <w:sz w:val="24"/>
          <w:szCs w:val="24"/>
        </w:rPr>
      </w:pPr>
      <w:r>
        <w:t>Actividad rutinaria. Actividad que forma parte de un proceso de la empresa, se ha planificado y es estandarizable.</w:t>
      </w:r>
    </w:p>
    <w:p w:rsidR="00000000" w:rsidDel="00000000" w:rsidP="00000000" w:rsidRDefault="00000000" w:rsidRPr="00000000" w14:paraId="00000008">
      <w:pPr>
        <w:spacing w:line="276" w:lineRule="auto"/>
        <w:jc w:val="both"/>
        <w:rPr>
          <w:rFonts w:ascii="Arial" w:cs="Arial" w:eastAsia="Arial" w:hAnsi="Arial"/>
          <w:sz w:val="24"/>
          <w:szCs w:val="24"/>
        </w:rPr>
      </w:pPr>
      <w:r>
        <w:t>Actividad no rutinaria. Actividad no se ha planificado ni estandarizado dentro de un proceso de la empresa o actividad que la organización determine como no rutinaria por su baja frecuencia de ejecución.</w:t>
      </w:r>
    </w:p>
    <w:p w:rsidR="00000000" w:rsidDel="00000000" w:rsidP="00000000" w:rsidRDefault="00000000" w:rsidRPr="00000000" w14:paraId="00000009">
      <w:pPr>
        <w:spacing w:line="276" w:lineRule="auto"/>
        <w:jc w:val="both"/>
        <w:rPr>
          <w:rFonts w:ascii="Arial" w:cs="Arial" w:eastAsia="Arial" w:hAnsi="Arial"/>
          <w:sz w:val="24"/>
          <w:szCs w:val="24"/>
        </w:rPr>
      </w:pPr>
      <w:r>
        <w:t>Análisis del riesgo. Proceso para comprender la naturaleza del riesgo (véase el numeral y para determinar el nivel del riesgo (véase el numeral 2.25) (ISO 31000)</w:t>
      </w:r>
    </w:p>
    <w:p w:rsidR="00000000" w:rsidDel="00000000" w:rsidP="00000000" w:rsidRDefault="00000000" w:rsidRPr="00000000" w14:paraId="0000000A">
      <w:pPr>
        <w:spacing w:line="276" w:lineRule="auto"/>
        <w:jc w:val="both"/>
        <w:rPr>
          <w:rFonts w:ascii="Arial" w:cs="Arial" w:eastAsia="Arial" w:hAnsi="Arial"/>
          <w:sz w:val="24"/>
          <w:szCs w:val="24"/>
        </w:rPr>
      </w:pPr>
      <w:r>
        <w:t>Consecuencia. Resultado, en términos de lesión o enfermedad, de la materialización de un riesgo, expresado cualitativa o cuantitativamente.</w:t>
      </w:r>
    </w:p>
    <w:p w:rsidR="00000000" w:rsidDel="00000000" w:rsidP="00000000" w:rsidRDefault="00000000" w:rsidRPr="00000000" w14:paraId="0000000B">
      <w:pPr>
        <w:spacing w:line="276" w:lineRule="auto"/>
        <w:jc w:val="both"/>
        <w:rPr>
          <w:rFonts w:ascii="Arial" w:cs="Arial" w:eastAsia="Arial" w:hAnsi="Arial"/>
          <w:sz w:val="24"/>
          <w:szCs w:val="24"/>
        </w:rPr>
      </w:pPr>
      <w:r>
        <w:t>Competencia. Atributos personales y aptitud demostrada para aplicar conocimientos y habilidades.</w:t>
      </w:r>
    </w:p>
    <w:p w:rsidR="00000000" w:rsidDel="00000000" w:rsidP="00000000" w:rsidRDefault="00000000" w:rsidRPr="00000000" w14:paraId="0000000C">
      <w:pPr>
        <w:spacing w:line="276" w:lineRule="auto"/>
        <w:jc w:val="both"/>
        <w:rPr>
          <w:rFonts w:ascii="Arial" w:cs="Arial" w:eastAsia="Arial" w:hAnsi="Arial"/>
          <w:sz w:val="24"/>
          <w:szCs w:val="24"/>
        </w:rPr>
      </w:pPr>
      <w:r>
        <w:t>Diagnóstico de condiciones de trabajo. Resultado del procedimiento sistemático para identificar, localizar y valorar “aquellos elementos, peligros o factores que tienen influencia significativa en la generación de riesgos para la seguridad y la salud de los trabajadores.</w:t>
      </w:r>
    </w:p>
    <w:p w:rsidR="00000000" w:rsidDel="00000000" w:rsidP="00000000" w:rsidRDefault="00000000" w:rsidRPr="00000000" w14:paraId="0000000D">
      <w:pPr>
        <w:spacing w:line="276" w:lineRule="auto"/>
        <w:jc w:val="both"/>
        <w:rPr>
          <w:rFonts w:ascii="Arial" w:cs="Arial" w:eastAsia="Arial" w:hAnsi="Arial"/>
          <w:sz w:val="24"/>
          <w:szCs w:val="24"/>
        </w:rPr>
      </w:pPr>
      <w:r>
        <w:t>Diagnóstico de condiciones de salud. Resultado del procedimiento sistemático para determinar “el conjunto de variables objetivas de orden fisiológico, psicológico y sociocultural que determinan el perfil sociodemográfico y de morbilidad de la población trabajadora.</w:t>
      </w:r>
    </w:p>
    <w:p w:rsidR="00000000" w:rsidDel="00000000" w:rsidP="00000000" w:rsidRDefault="00000000" w:rsidRPr="00000000" w14:paraId="0000000E">
      <w:pPr>
        <w:spacing w:line="276" w:lineRule="auto"/>
        <w:jc w:val="both"/>
        <w:rPr>
          <w:rFonts w:ascii="Arial" w:cs="Arial" w:eastAsia="Arial" w:hAnsi="Arial"/>
          <w:sz w:val="24"/>
          <w:szCs w:val="24"/>
        </w:rPr>
      </w:pPr>
      <w:r>
        <w:t>Elemento de Protección Personal (EPP): Dispositivo que sirve como barrera entre un peligro y alguna parte del cuerpo de una persona.</w:t>
      </w:r>
    </w:p>
    <w:p w:rsidR="00000000" w:rsidDel="00000000" w:rsidP="00000000" w:rsidRDefault="00000000" w:rsidRPr="00000000" w14:paraId="0000000F">
      <w:pPr>
        <w:spacing w:line="276" w:lineRule="auto"/>
        <w:jc w:val="both"/>
        <w:rPr>
          <w:rFonts w:ascii="Arial" w:cs="Arial" w:eastAsia="Arial" w:hAnsi="Arial"/>
          <w:sz w:val="24"/>
          <w:szCs w:val="24"/>
        </w:rPr>
      </w:pPr>
      <w:r>
        <w:t>Enfermedad. Laboral: Es enfermedad laboral la contraída como resultado de la exposición a factores de riesgo inherentes a la actividad laboral o del medio en el que el trabajador se ha visto obligado a trabajar. El Gobierno Nacional, determinará, en forma periódica, las enfermedades que se consideran como laborales y en los casos en que una enfermedad no figure en la tabla de enfermedades laborales, pero se demuestre la relación de causalidad con los factores de riesgo ocupacionales serán reconocidas como enfermedad laboral, conforme lo establecido en las normas legales vigentes.</w:t>
      </w:r>
    </w:p>
    <w:p w:rsidR="00000000" w:rsidDel="00000000" w:rsidP="00000000" w:rsidRDefault="00000000" w:rsidRPr="00000000" w14:paraId="00000010">
      <w:pPr>
        <w:spacing w:line="276" w:lineRule="auto"/>
        <w:jc w:val="both"/>
        <w:rPr>
          <w:rFonts w:ascii="Arial" w:cs="Arial" w:eastAsia="Arial" w:hAnsi="Arial"/>
          <w:sz w:val="24"/>
          <w:szCs w:val="24"/>
        </w:rPr>
      </w:pPr>
      <w:r>
        <w:t xml:space="preserve">Evaluación del riesgo. Proceso para determinar el nivel de riesgo asociado al nivel de probabilidad  y el nivel de consecuencia </w:t>
      </w:r>
    </w:p>
    <w:p w:rsidR="00000000" w:rsidDel="00000000" w:rsidP="00000000" w:rsidRDefault="00000000" w:rsidRPr="00000000" w14:paraId="00000011">
      <w:pPr>
        <w:spacing w:line="276" w:lineRule="auto"/>
        <w:jc w:val="both"/>
        <w:rPr>
          <w:rFonts w:ascii="Arial" w:cs="Arial" w:eastAsia="Arial" w:hAnsi="Arial"/>
          <w:sz w:val="24"/>
          <w:szCs w:val="24"/>
        </w:rPr>
      </w:pPr>
      <w:r>
        <w:t>Exposición. Situación en la cual las personas se encuentran en contacto con los peligros.</w:t>
      </w:r>
    </w:p>
    <w:p w:rsidR="00000000" w:rsidDel="00000000" w:rsidP="00000000" w:rsidRDefault="00000000" w:rsidRPr="00000000" w14:paraId="00000012">
      <w:pPr>
        <w:spacing w:line="276" w:lineRule="auto"/>
        <w:jc w:val="both"/>
        <w:rPr>
          <w:rFonts w:ascii="Arial" w:cs="Arial" w:eastAsia="Arial" w:hAnsi="Arial"/>
          <w:sz w:val="24"/>
          <w:szCs w:val="24"/>
        </w:rPr>
      </w:pPr>
      <w:r>
        <w:t>Identificación del peligro. Proceso para reconocer si existe un peligro y definir sus características.</w:t>
      </w:r>
    </w:p>
    <w:p w:rsidR="00000000" w:rsidDel="00000000" w:rsidP="00000000" w:rsidRDefault="00000000" w:rsidRPr="00000000" w14:paraId="00000013">
      <w:pPr>
        <w:spacing w:line="276" w:lineRule="auto"/>
        <w:jc w:val="both"/>
        <w:rPr>
          <w:rFonts w:ascii="Arial" w:cs="Arial" w:eastAsia="Arial" w:hAnsi="Arial"/>
          <w:sz w:val="24"/>
          <w:szCs w:val="24"/>
        </w:rPr>
      </w:pPr>
      <w:r>
        <w:t>Incidente. Evento(s) relacionado(s) con el trabajo, en el (los) que ocurrió o pudo haber ocurrido lesión o enfermedad (independiente de su severidad) o víctima mortal (NTC-OHSAS 18001).</w:t>
      </w:r>
    </w:p>
    <w:p w:rsidR="00000000" w:rsidDel="00000000" w:rsidP="00000000" w:rsidRDefault="00000000" w:rsidRPr="00000000" w14:paraId="00000014">
      <w:pPr>
        <w:spacing w:line="276" w:lineRule="auto"/>
        <w:jc w:val="both"/>
        <w:rPr>
          <w:rFonts w:ascii="Arial" w:cs="Arial" w:eastAsia="Arial" w:hAnsi="Arial"/>
          <w:sz w:val="24"/>
          <w:szCs w:val="24"/>
        </w:rPr>
      </w:pPr>
      <w:r>
        <w:t>Lugar de trabajo. Cualquier espacio físico en el que se realizan actividades relacionadas con el trabajo, bajo el control de la organización (NTC-OHSAS 18001).</w:t>
      </w:r>
    </w:p>
    <w:p w:rsidR="00000000" w:rsidDel="00000000" w:rsidP="00000000" w:rsidRDefault="00000000" w:rsidRPr="00000000" w14:paraId="00000015">
      <w:pPr>
        <w:spacing w:line="276" w:lineRule="auto"/>
        <w:jc w:val="both"/>
        <w:rPr>
          <w:rFonts w:ascii="Arial" w:cs="Arial" w:eastAsia="Arial" w:hAnsi="Arial"/>
          <w:sz w:val="24"/>
          <w:szCs w:val="24"/>
        </w:rPr>
      </w:pPr>
      <w:r>
        <w:t>Medida(s) de control. Medida(s) implementada(s) con el fin de minimizar la ocurrencia de incidentes.</w:t>
      </w:r>
    </w:p>
    <w:p w:rsidR="00000000" w:rsidDel="00000000" w:rsidP="00000000" w:rsidRDefault="00000000" w:rsidRPr="00000000" w14:paraId="00000016">
      <w:pPr>
        <w:spacing w:line="276" w:lineRule="auto"/>
        <w:jc w:val="both"/>
        <w:rPr>
          <w:rFonts w:ascii="Arial" w:cs="Arial" w:eastAsia="Arial" w:hAnsi="Arial"/>
          <w:sz w:val="24"/>
          <w:szCs w:val="24"/>
        </w:rPr>
      </w:pPr>
      <w:r>
        <w:t>Peligro: Fuente, situación o acto con potencial de daño en términos de enfermedad o lesión a las personas, o una combinación de estos (NTC-OHSAS 18001).</w:t>
      </w:r>
    </w:p>
    <w:p w:rsidR="00000000" w:rsidDel="00000000" w:rsidP="00000000" w:rsidRDefault="00000000" w:rsidRPr="00000000" w14:paraId="00000017">
      <w:pPr>
        <w:spacing w:line="276" w:lineRule="auto"/>
        <w:jc w:val="both"/>
        <w:rPr>
          <w:rFonts w:ascii="Arial" w:cs="Arial" w:eastAsia="Arial" w:hAnsi="Arial"/>
          <w:sz w:val="24"/>
          <w:szCs w:val="24"/>
        </w:rPr>
      </w:pPr>
      <w:r>
        <w:t>Personal expuesto. Número de personas que están en contacto con peligros.</w:t>
      </w:r>
    </w:p>
    <w:p w:rsidR="00000000" w:rsidDel="00000000" w:rsidP="00000000" w:rsidRDefault="00000000" w:rsidRPr="00000000" w14:paraId="00000018">
      <w:pPr>
        <w:spacing w:line="276" w:lineRule="auto"/>
        <w:jc w:val="both"/>
        <w:rPr>
          <w:rFonts w:ascii="Arial" w:cs="Arial" w:eastAsia="Arial" w:hAnsi="Arial"/>
          <w:sz w:val="24"/>
          <w:szCs w:val="24"/>
        </w:rPr>
      </w:pPr>
      <w:r>
        <w:t>Probabilidad. Grado de posibilidad de que ocurra un evento no deseado y pueda producir consecuencias.</w:t>
      </w:r>
    </w:p>
    <w:p w:rsidR="00000000" w:rsidDel="00000000" w:rsidP="00000000" w:rsidRDefault="00000000" w:rsidRPr="00000000" w14:paraId="00000019">
      <w:pPr>
        <w:spacing w:line="276" w:lineRule="auto"/>
        <w:jc w:val="both"/>
        <w:rPr>
          <w:rFonts w:ascii="Arial" w:cs="Arial" w:eastAsia="Arial" w:hAnsi="Arial"/>
          <w:sz w:val="24"/>
          <w:szCs w:val="24"/>
        </w:rPr>
      </w:pPr>
      <w:r>
        <w:t>Proceso. Conjunto de actividades mutuamente relacionadas o que interactúan, las cuales transforman elementos de entrada en resultados. (NTC – ISO 9000)</w:t>
      </w:r>
    </w:p>
    <w:p w:rsidR="00000000" w:rsidDel="00000000" w:rsidP="00000000" w:rsidRDefault="00000000" w:rsidRPr="00000000" w14:paraId="0000001A">
      <w:pPr>
        <w:spacing w:line="276" w:lineRule="auto"/>
        <w:jc w:val="both"/>
        <w:rPr>
          <w:rFonts w:ascii="Arial" w:cs="Arial" w:eastAsia="Arial" w:hAnsi="Arial"/>
          <w:sz w:val="24"/>
          <w:szCs w:val="24"/>
        </w:rPr>
      </w:pPr>
      <w:r>
        <w:t>Riesgo. Combinación de la probabilidad de que ocurra un(os) evento(s) o exposición(es) peligroso(s), y la severidad de lesión o enfermedad, que puede ser causado por el (los) evento(s) o la(s) exposición(es) (NTC-OHSAS 18001).</w:t>
      </w:r>
    </w:p>
    <w:p w:rsidR="00000000" w:rsidDel="00000000" w:rsidP="00000000" w:rsidRDefault="00000000" w:rsidRPr="00000000" w14:paraId="0000001B">
      <w:pPr>
        <w:spacing w:line="276" w:lineRule="auto"/>
        <w:jc w:val="both"/>
        <w:rPr>
          <w:rFonts w:ascii="Arial" w:cs="Arial" w:eastAsia="Arial" w:hAnsi="Arial"/>
          <w:sz w:val="24"/>
          <w:szCs w:val="24"/>
        </w:rPr>
      </w:pPr>
      <w:r>
        <w:t>Riesgo aceptable. Riesgo que ha sido reducido a un nivel que la organización puede tolerar, respecto a sus obligaciones legales y su propia política en seguridad y salud ocupacional (NTC-OHSAS 18001).</w:t>
      </w:r>
    </w:p>
    <w:p w:rsidR="00000000" w:rsidDel="00000000" w:rsidP="00000000" w:rsidRDefault="00000000" w:rsidRPr="00000000" w14:paraId="0000001C">
      <w:pPr>
        <w:spacing w:line="276" w:lineRule="auto"/>
        <w:jc w:val="both"/>
        <w:rPr>
          <w:rFonts w:ascii="Arial" w:cs="Arial" w:eastAsia="Arial" w:hAnsi="Arial"/>
          <w:sz w:val="24"/>
          <w:szCs w:val="24"/>
        </w:rPr>
      </w:pPr>
      <w:r>
        <w:t>Seguridad y Salud Ocupacional (SSO): Condiciones y factores que inciden en el bienestar de los empleados, colaboradores y visitantes y cualquier otra persona en el sitio de trabajo de la organización.</w:t>
      </w:r>
    </w:p>
    <w:p w:rsidR="00000000" w:rsidDel="00000000" w:rsidP="00000000" w:rsidRDefault="00000000" w:rsidRPr="00000000" w14:paraId="0000001D">
      <w:pPr>
        <w:spacing w:line="276" w:lineRule="auto"/>
        <w:jc w:val="both"/>
        <w:rPr>
          <w:rFonts w:ascii="Arial" w:cs="Arial" w:eastAsia="Arial" w:hAnsi="Arial"/>
          <w:sz w:val="24"/>
          <w:szCs w:val="24"/>
        </w:rPr>
      </w:pPr>
      <w:r>
        <w:t>Valoración de los riesgos. Proceso de evaluar el(los) riesgo(s) que surge(n) de un(os) peligro(s), teniendo en cuenta la suficiencia de los controles existentes, y de decidir si el(los) riesgo(s) es (son) aceptable(s) o no (NTC-OHSAS 18001).</w:t>
      </w:r>
    </w:p>
    <w:p w:rsidR="00000000" w:rsidDel="00000000" w:rsidP="00000000" w:rsidRDefault="00000000" w:rsidRPr="00000000" w14:paraId="0000001E">
      <w:pPr>
        <w:numPr>
          <w:ilvl w:val="0"/>
          <w:numId w:val="1"/>
        </w:numPr>
        <w:spacing w:line="276" w:lineRule="auto"/>
        <w:ind w:left="0" w:firstLine="0"/>
        <w:jc w:val="both"/>
        <w:rPr>
          <w:rFonts w:ascii="Arial" w:cs="Arial" w:eastAsia="Arial" w:hAnsi="Arial"/>
          <w:sz w:val="24"/>
          <w:szCs w:val="24"/>
        </w:rPr>
      </w:pPr>
      <w:r>
        <w:t>RESPONSABILIDADES</w:t>
      </w:r>
    </w:p>
    <w:p w:rsidR="00000000" w:rsidDel="00000000" w:rsidP="00000000" w:rsidRDefault="00000000" w:rsidRPr="00000000" w14:paraId="0000001F">
      <w:pPr>
        <w:spacing w:line="276" w:lineRule="auto"/>
        <w:jc w:val="both"/>
        <w:rPr>
          <w:rFonts w:ascii="Arial" w:cs="Arial" w:eastAsia="Arial" w:hAnsi="Arial"/>
          <w:sz w:val="24"/>
          <w:szCs w:val="24"/>
        </w:rPr>
      </w:pPr>
      <w:r>
        <w:t xml:space="preserve">Carlos Andrés Muñoz Parra CC </w:t>
      </w:r>
    </w:p>
    <w:p w:rsidR="00000000" w:rsidDel="00000000" w:rsidP="00000000" w:rsidRDefault="00000000" w:rsidRPr="00000000" w14:paraId="00000020">
      <w:pPr>
        <w:spacing w:line="276" w:lineRule="auto"/>
        <w:jc w:val="both"/>
        <w:rPr>
          <w:rFonts w:ascii="Arial" w:cs="Arial" w:eastAsia="Arial" w:hAnsi="Arial"/>
          <w:sz w:val="24"/>
          <w:szCs w:val="24"/>
        </w:rPr>
      </w:pPr>
      <w:r>
        <w:t>Líder SG-SST: Es el responsable identificar los peligros, evaluar y valorar los riesgos existentes en la empresa. Generar las medidas preventivas y correctivas. Realizar la revisión y actualización de la matriz y divulgación de la misma.</w:t>
      </w:r>
    </w:p>
    <w:p w:rsidR="00000000" w:rsidDel="00000000" w:rsidP="00000000" w:rsidRDefault="00000000" w:rsidRPr="00000000" w14:paraId="00000021">
      <w:pPr>
        <w:widowControl w:val="0"/>
        <w:spacing w:line="276" w:lineRule="auto"/>
        <w:ind w:right="61"/>
        <w:jc w:val="both"/>
        <w:rPr>
          <w:rFonts w:ascii="Arial" w:cs="Arial" w:eastAsia="Arial" w:hAnsi="Arial"/>
          <w:sz w:val="24"/>
          <w:szCs w:val="24"/>
        </w:rPr>
      </w:pPr>
      <w:r>
        <w:t>Trabajadores: Dar cumplimientos a los controles dispuestos por la organización en la matriz de identificación de peligros, evaluación y control de riesgo.</w:t>
      </w:r>
    </w:p>
    <w:p w:rsidR="00000000" w:rsidDel="00000000" w:rsidP="00000000" w:rsidRDefault="00000000" w:rsidRPr="00000000" w14:paraId="00000022">
      <w:pPr>
        <w:numPr>
          <w:ilvl w:val="0"/>
          <w:numId w:val="1"/>
        </w:numPr>
        <w:spacing w:line="276" w:lineRule="auto"/>
        <w:ind w:left="0" w:firstLine="0"/>
        <w:jc w:val="both"/>
        <w:rPr>
          <w:rFonts w:ascii="Arial" w:cs="Arial" w:eastAsia="Arial" w:hAnsi="Arial"/>
          <w:sz w:val="24"/>
          <w:szCs w:val="24"/>
        </w:rPr>
      </w:pPr>
      <w:r>
        <w:t>DESCRIPCIÓN</w:t>
      </w:r>
    </w:p>
    <w:p w:rsidR="00000000" w:rsidDel="00000000" w:rsidP="00000000" w:rsidRDefault="00000000" w:rsidRPr="00000000" w14:paraId="00000023">
      <w:pPr>
        <w:spacing w:line="276" w:lineRule="auto"/>
        <w:rPr>
          <w:rFonts w:ascii="Arial" w:cs="Arial" w:eastAsia="Arial" w:hAnsi="Arial"/>
          <w:sz w:val="24"/>
          <w:szCs w:val="24"/>
        </w:rPr>
      </w:pPr>
      <w:r>
        <w:t xml:space="preserve">La empresa debe realizar las siguientes actividades para la identificación de los peligros, la valoración de los riesgos y la determinación de controles. </w:t>
      </w:r>
    </w:p>
    <w:p w:rsidR="00000000" w:rsidDel="00000000" w:rsidP="00000000" w:rsidRDefault="00000000" w:rsidRPr="00000000" w14:paraId="00000024">
      <w:pPr>
        <w:spacing w:line="276" w:lineRule="auto"/>
        <w:rPr>
          <w:rFonts w:ascii="Arial" w:cs="Arial" w:eastAsia="Arial" w:hAnsi="Arial"/>
          <w:b w:val="1"/>
          <w:bCs w:val="1"/>
          <w:sz w:val="24"/>
          <w:szCs w:val="24"/>
        </w:rPr>
      </w:pPr>
      <w:r>
        <w:t>Ver figura 1:</w:t>
      </w:r>
    </w:p>
    <w:p w:rsidR="00000000" w:rsidDel="00000000" w:rsidP="00000000" w:rsidRDefault="00000000" w:rsidRPr="00000000" w14:paraId="00000025">
      <w:pPr>
        <w:rPr>
          <w:rFonts w:ascii="Arial" w:cs="Arial" w:eastAsia="Arial" w:hAnsi="Arial"/>
          <w:sz w:val="24"/>
          <w:szCs w:val="24"/>
        </w:rPr>
      </w:p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0" w:before="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t>Figura 1. Actividades para la Identificación de los Peligros y la Valoración de los Riesgos.</w:t>
      </w:r>
    </w:p>
    <w:p w:rsidR="00000000" w:rsidDel="00000000" w:rsidP="00000000" w:rsidRDefault="00000000" w:rsidRPr="00000000" w14:paraId="00000027">
      <w:pPr>
        <w:jc w:val="both"/>
        <w:rPr>
          <w:rFonts w:ascii="Arial Narrow" w:cs="Arial Narrow" w:eastAsia="Arial Narrow" w:hAnsi="Arial Narrow"/>
          <w:sz w:val="24"/>
          <w:szCs w:val="24"/>
        </w:rPr>
      </w:pPr>
      <w:r/>
    </w:p>
    <w:p w:rsidR="00000000" w:rsidDel="00000000" w:rsidP="00000000" w:rsidRDefault="00000000" w:rsidRPr="00000000" w14:paraId="00000028">
      <w:pPr>
        <w:jc w:val="both"/>
        <w:rPr>
          <w:rFonts w:ascii="Arial Narrow" w:cs="Arial Narrow" w:eastAsia="Arial Narrow" w:hAnsi="Arial Narrow"/>
          <w:sz w:val="24"/>
          <w:szCs w:val="24"/>
        </w:rPr>
      </w:pPr>
      <w:r/>
    </w:p>
    <w:p w:rsidR="00000000" w:rsidDel="00000000" w:rsidP="00000000" w:rsidRDefault="00000000" w:rsidRPr="00000000" w14:paraId="00000029">
      <w:pPr>
        <w:jc w:val="both"/>
        <w:rPr>
          <w:rFonts w:ascii="Arial Narrow" w:cs="Arial Narrow" w:eastAsia="Arial Narrow" w:hAnsi="Arial Narrow"/>
          <w:sz w:val="24"/>
          <w:szCs w:val="24"/>
        </w:rPr>
      </w:pPr>
      <w:r/>
    </w:p>
    <w:p w:rsidR="00000000" w:rsidDel="00000000" w:rsidP="00000000" w:rsidRDefault="00000000" w:rsidRPr="00000000" w14:paraId="0000002A">
      <w:pPr>
        <w:jc w:val="both"/>
        <w:rPr>
          <w:rFonts w:ascii="Arial Narrow" w:cs="Arial Narrow" w:eastAsia="Arial Narrow" w:hAnsi="Arial Narrow"/>
          <w:sz w:val="24"/>
          <w:szCs w:val="24"/>
        </w:rPr>
      </w:pPr>
      <w:r/>
    </w:p>
    <w:p w:rsidR="00000000" w:rsidDel="00000000" w:rsidP="00000000" w:rsidRDefault="00000000" w:rsidRPr="00000000" w14:paraId="0000002B">
      <w:pPr>
        <w:jc w:val="both"/>
        <w:rPr>
          <w:rFonts w:ascii="Arial Narrow" w:cs="Arial Narrow" w:eastAsia="Arial Narrow" w:hAnsi="Arial Narrow"/>
          <w:sz w:val="24"/>
          <w:szCs w:val="24"/>
        </w:rPr>
      </w:pPr>
      <w:r/>
    </w:p>
    <w:p w:rsidR="00000000" w:rsidDel="00000000" w:rsidP="00000000" w:rsidRDefault="00000000" w:rsidRPr="00000000" w14:paraId="0000002C">
      <w:pPr>
        <w:jc w:val="both"/>
        <w:rPr>
          <w:rFonts w:ascii="Arial Narrow" w:cs="Arial Narrow" w:eastAsia="Arial Narrow" w:hAnsi="Arial Narrow"/>
          <w:sz w:val="24"/>
          <w:szCs w:val="24"/>
        </w:rPr>
      </w:pPr>
      <w:r/>
    </w:p>
    <w:p w:rsidR="00000000" w:rsidDel="00000000" w:rsidP="00000000" w:rsidRDefault="00000000" w:rsidRPr="00000000" w14:paraId="0000002D">
      <w:pPr>
        <w:jc w:val="both"/>
        <w:rPr>
          <w:rFonts w:ascii="Arial Narrow" w:cs="Arial Narrow" w:eastAsia="Arial Narrow" w:hAnsi="Arial Narrow"/>
          <w:sz w:val="24"/>
          <w:szCs w:val="24"/>
        </w:rPr>
      </w:pPr>
      <w:r/>
    </w:p>
    <w:p w:rsidR="00000000" w:rsidDel="00000000" w:rsidP="00000000" w:rsidRDefault="00000000" w:rsidRPr="00000000" w14:paraId="0000002E">
      <w:pPr>
        <w:jc w:val="both"/>
        <w:rPr>
          <w:rFonts w:ascii="Arial Narrow" w:cs="Arial Narrow" w:eastAsia="Arial Narrow" w:hAnsi="Arial Narrow"/>
          <w:sz w:val="24"/>
          <w:szCs w:val="24"/>
        </w:rPr>
      </w:pPr>
      <w:r/>
    </w:p>
    <w:p w:rsidR="00000000" w:rsidDel="00000000" w:rsidP="00000000" w:rsidRDefault="00000000" w:rsidRPr="00000000" w14:paraId="0000002F">
      <w:pPr>
        <w:jc w:val="both"/>
        <w:rPr>
          <w:rFonts w:ascii="Arial Narrow" w:cs="Arial Narrow" w:eastAsia="Arial Narrow" w:hAnsi="Arial Narrow"/>
          <w:sz w:val="24"/>
          <w:szCs w:val="24"/>
        </w:rPr>
      </w:pPr>
      <w:r/>
    </w:p>
    <w:p w:rsidR="00000000" w:rsidDel="00000000" w:rsidP="00000000" w:rsidRDefault="00000000" w:rsidRPr="00000000" w14:paraId="00000030">
      <w:pPr>
        <w:jc w:val="both"/>
        <w:rPr>
          <w:rFonts w:ascii="Arial Narrow" w:cs="Arial Narrow" w:eastAsia="Arial Narrow" w:hAnsi="Arial Narrow"/>
          <w:sz w:val="24"/>
          <w:szCs w:val="24"/>
        </w:rPr>
      </w:pPr>
      <w:r/>
    </w:p>
    <w:p w:rsidR="00000000" w:rsidDel="00000000" w:rsidP="00000000" w:rsidRDefault="00000000" w:rsidRPr="00000000" w14:paraId="00000031">
      <w:pPr>
        <w:jc w:val="both"/>
        <w:rPr>
          <w:rFonts w:ascii="Arial Narrow" w:cs="Arial Narrow" w:eastAsia="Arial Narrow" w:hAnsi="Arial Narrow"/>
          <w:sz w:val="24"/>
          <w:szCs w:val="24"/>
        </w:rPr>
      </w:pPr>
      <w:r/>
    </w:p>
    <w:p w:rsidR="00000000" w:rsidDel="00000000" w:rsidP="00000000" w:rsidRDefault="00000000" w:rsidRPr="00000000" w14:paraId="00000032">
      <w:pPr>
        <w:spacing w:line="276" w:lineRule="auto"/>
        <w:rPr>
          <w:rFonts w:ascii="Arial" w:cs="Arial" w:eastAsia="Arial" w:hAnsi="Arial"/>
          <w:sz w:val="24"/>
          <w:szCs w:val="24"/>
        </w:rPr>
      </w:pPr>
      <w:r/>
    </w:p>
    <w:p w:rsidR="00000000" w:rsidDel="00000000" w:rsidP="00000000" w:rsidRDefault="00000000" w:rsidRPr="00000000" w14:paraId="00000033">
      <w:pPr>
        <w:spacing w:line="276" w:lineRule="auto"/>
        <w:rPr>
          <w:rFonts w:ascii="Arial" w:cs="Arial" w:eastAsia="Arial" w:hAnsi="Arial"/>
          <w:sz w:val="24"/>
          <w:szCs w:val="24"/>
        </w:rPr>
      </w:p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t>CLASIFICACIÓN DE PROCESOS, ACTIVIDADES Y TAREAS.</w:t>
      </w:r>
    </w:p>
    <w:p w:rsidR="00000000" w:rsidDel="00000000" w:rsidP="00000000" w:rsidRDefault="00000000" w:rsidRPr="00000000" w14:paraId="00000035">
      <w:pPr>
        <w:spacing w:line="240" w:lineRule="auto"/>
        <w:jc w:val="both"/>
        <w:rPr>
          <w:rFonts w:ascii="Arial" w:cs="Arial" w:eastAsia="Arial" w:hAnsi="Arial"/>
          <w:sz w:val="24"/>
          <w:szCs w:val="24"/>
        </w:rPr>
      </w:pPr>
      <w:r>
        <w:t xml:space="preserve">Para la evaluación de riesgos se debe preparar una lista de actividades de trabajo, agruparlas de manera racional y manejable y reunir la información necesaria sobre ellas. Es vital incluir tareas no rutinarias de mantenimiento, al igual que el trabajo diario o tareas rutinarias. </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t>IDENTIFICACIÓN DE PELIGROS.</w:t>
      </w:r>
    </w:p>
    <w:p w:rsidR="00000000" w:rsidDel="00000000" w:rsidP="00000000" w:rsidRDefault="00000000" w:rsidRPr="00000000" w14:paraId="00000037">
      <w:pPr>
        <w:spacing w:line="240" w:lineRule="auto"/>
        <w:jc w:val="both"/>
        <w:rPr>
          <w:rFonts w:ascii="Arial" w:cs="Arial" w:eastAsia="Arial" w:hAnsi="Arial"/>
          <w:sz w:val="24"/>
          <w:szCs w:val="24"/>
        </w:rPr>
      </w:pPr>
      <w:r>
        <w:t xml:space="preserve">La identificación de peligros incluye: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Descripción y clasificación de peligros.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Para identificar los peligros, se debe plantear una serie de preguntas como las siguientes:</w:t>
      </w:r>
    </w:p>
    <w:p w:rsidR="00000000" w:rsidDel="00000000" w:rsidP="00000000" w:rsidRDefault="00000000" w:rsidRPr="00000000" w14:paraId="0000003A">
      <w:pPr>
        <w:numPr>
          <w:ilvl w:val="0"/>
          <w:numId w:val="4"/>
        </w:numPr>
        <w:spacing w:after="0" w:line="240" w:lineRule="auto"/>
        <w:ind w:left="720" w:hanging="360"/>
        <w:rPr>
          <w:rFonts w:ascii="Arial" w:cs="Arial" w:eastAsia="Arial" w:hAnsi="Arial"/>
          <w:sz w:val="24"/>
          <w:szCs w:val="24"/>
        </w:rPr>
      </w:pPr>
      <w:r>
        <w:t>¿Existe una situación que pueda generar daño?</w:t>
      </w:r>
    </w:p>
    <w:p w:rsidR="00000000" w:rsidDel="00000000" w:rsidP="00000000" w:rsidRDefault="00000000" w:rsidRPr="00000000" w14:paraId="0000003B">
      <w:pPr>
        <w:numPr>
          <w:ilvl w:val="0"/>
          <w:numId w:val="4"/>
        </w:numPr>
        <w:spacing w:after="0" w:line="240" w:lineRule="auto"/>
        <w:ind w:left="720" w:hanging="360"/>
        <w:rPr>
          <w:rFonts w:ascii="Arial" w:cs="Arial" w:eastAsia="Arial" w:hAnsi="Arial"/>
          <w:sz w:val="24"/>
          <w:szCs w:val="24"/>
        </w:rPr>
      </w:pPr>
      <w:r>
        <w:t>¿Quién (o qué) puede sufrir daño?</w:t>
      </w:r>
    </w:p>
    <w:p w:rsidR="00000000" w:rsidDel="00000000" w:rsidP="00000000" w:rsidRDefault="00000000" w:rsidRPr="00000000" w14:paraId="0000003C">
      <w:pPr>
        <w:numPr>
          <w:ilvl w:val="0"/>
          <w:numId w:val="4"/>
        </w:numPr>
        <w:spacing w:after="0" w:line="240" w:lineRule="auto"/>
        <w:ind w:left="720" w:hanging="360"/>
        <w:rPr>
          <w:rFonts w:ascii="Arial" w:cs="Arial" w:eastAsia="Arial" w:hAnsi="Arial"/>
          <w:sz w:val="24"/>
          <w:szCs w:val="24"/>
        </w:rPr>
      </w:pPr>
      <w:r>
        <w:t>¿Cómo puede ocurrir el daño?</w:t>
      </w:r>
    </w:p>
    <w:p w:rsidR="00000000" w:rsidDel="00000000" w:rsidP="00000000" w:rsidRDefault="00000000" w:rsidRPr="00000000" w14:paraId="0000003D">
      <w:pPr>
        <w:numPr>
          <w:ilvl w:val="0"/>
          <w:numId w:val="4"/>
        </w:numPr>
        <w:spacing w:line="240" w:lineRule="auto"/>
        <w:ind w:left="720" w:hanging="360"/>
        <w:jc w:val="both"/>
        <w:rPr>
          <w:rFonts w:ascii="Arial" w:cs="Arial" w:eastAsia="Arial" w:hAnsi="Arial"/>
          <w:sz w:val="24"/>
          <w:szCs w:val="24"/>
        </w:rPr>
      </w:pPr>
      <w:r>
        <w:t>¿Cuándo puede ocurrir el daño?</w:t>
      </w:r>
    </w:p>
    <w:p w:rsidR="00000000" w:rsidDel="00000000" w:rsidP="00000000" w:rsidRDefault="00000000" w:rsidRPr="00000000" w14:paraId="0000003E">
      <w:pPr>
        <w:widowControl w:val="0"/>
        <w:spacing w:line="240" w:lineRule="auto"/>
        <w:ind w:right="61"/>
        <w:jc w:val="both"/>
        <w:rPr>
          <w:rFonts w:ascii="Arial" w:cs="Arial" w:eastAsia="Arial" w:hAnsi="Arial"/>
          <w:b w:val="1"/>
          <w:bCs w:val="1"/>
          <w:color w:val="000000"/>
          <w:sz w:val="24"/>
          <w:szCs w:val="24"/>
        </w:rPr>
      </w:pPr>
      <w:r>
        <w:t>Para la descripción y clasificación de los peligros se debe tener en cuenta el Listado de Peligros que aparece en la tabla 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t>Tabla 1 Listado de Peligros</w:t>
      </w:r>
    </w:p>
    <w:tbl>
      <w:tblPr>
        <w:tblStyle w:val="Table1"/>
        <w:tblW w:w="8879.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10"/>
        <w:gridCol w:w="6769"/>
        <w:tblGridChange w:id="0">
          <w:tblGrid>
            <w:gridCol w:w="2110"/>
            <w:gridCol w:w="6769"/>
          </w:tblGrid>
        </w:tblGridChange>
      </w:tblGrid>
      <w:tr>
        <w:trPr>
          <w:cantSplit w:val="0"/>
          <w:tblHeader w:val="1"/>
        </w:trPr>
        <w:tc>
          <w:tcPr>
            <w:shd w:fill="auto" w:val="clear"/>
          </w:tcPr>
          <w:p>
            <w:r>
              <w:t>CLASIFICACIÓN</w:t>
            </w:r>
          </w:p>
        </w:tc>
        <w:tc>
          <w:tcPr>
            <w:shd w:fill="auto" w:val="clear"/>
          </w:tcPr>
          <w:p>
            <w:r>
              <w:t>DESCRIPCIÓN</w:t>
            </w:r>
          </w:p>
        </w:tc>
      </w:tr>
      <w:tr>
        <w:trPr>
          <w:cantSplit w:val="0"/>
          <w:tblHeader w:val="0"/>
        </w:trPr>
        <w:tc>
          <w:tcPr>
            <w:shd w:fill="auto" w:val="clear"/>
            <w:vAlign w:val="center"/>
          </w:tcPr>
          <w:p>
            <w:r>
              <w:t>BIOLÓGICO</w:t>
            </w:r>
          </w:p>
        </w:tc>
        <w:tc>
          <w:tcPr>
            <w:shd w:fill="auto" w:val="clear"/>
          </w:tcPr>
          <w:p>
            <w:r>
              <w:t>Virus.</w:t>
              <w:br/>
              <w:t>Bacterias.</w:t>
              <w:br/>
              <w:t>Hongos.</w:t>
              <w:br/>
              <w:t>Parásitos.</w:t>
              <w:br/>
              <w:t>Picaduras.</w:t>
              <w:br/>
              <w:t>Mordeduras.</w:t>
            </w:r>
          </w:p>
        </w:tc>
      </w:tr>
      <w:tr>
        <w:trPr>
          <w:cantSplit w:val="0"/>
          <w:tblHeader w:val="0"/>
        </w:trPr>
        <w:tc>
          <w:tcPr>
            <w:shd w:fill="auto" w:val="clear"/>
            <w:vAlign w:val="center"/>
          </w:tcPr>
          <w:p>
            <w:r>
              <w:t>FÍSICO</w:t>
            </w:r>
          </w:p>
        </w:tc>
        <w:tc>
          <w:tcPr>
            <w:shd w:fill="auto" w:val="clear"/>
          </w:tcPr>
          <w:p>
            <w:r>
              <w:t>Ruido (de impacto, intermitente, continuo).</w:t>
              <w:br/>
              <w:t>Iluminación (luz visible por exceso o deficiencia).</w:t>
              <w:br/>
              <w:t>Vibración (Cuerpo entero, segmentaria).</w:t>
              <w:br/>
              <w:t>Temperaturas extremas (calor y frío).</w:t>
              <w:br/>
              <w:t>Radiaciones ionizantes (rayos X, gama, beta y alfa).</w:t>
              <w:br/>
              <w:t>Radiaciones no ionizantes (láser, ultravioleta, infrarroja, radiofrecuencia, microondas).</w:t>
            </w:r>
          </w:p>
        </w:tc>
      </w:tr>
      <w:tr>
        <w:trPr>
          <w:cantSplit w:val="0"/>
          <w:trHeight w:val="1309" w:hRule="atLeast"/>
          <w:tblHeader w:val="0"/>
        </w:trPr>
        <w:tc>
          <w:tcPr>
            <w:shd w:fill="auto" w:val="clear"/>
            <w:vAlign w:val="center"/>
          </w:tcPr>
          <w:p>
            <w:r>
              <w:t>QUÍMICO</w:t>
            </w:r>
          </w:p>
        </w:tc>
        <w:tc>
          <w:tcPr>
            <w:shd w:fill="auto" w:val="clear"/>
          </w:tcPr>
          <w:p>
            <w:r>
              <w:t>Polvos orgánicos – inorgánicos.</w:t>
              <w:br/>
              <w:t>Fibras.</w:t>
              <w:br/>
              <w:t>Líquidos (nieblas y rocíos).</w:t>
              <w:br/>
              <w:t>Gases y vapores.</w:t>
              <w:br/>
              <w:t>Humos metálicos, no metálicos.</w:t>
              <w:br/>
              <w:t>Material particulado.</w:t>
            </w:r>
          </w:p>
        </w:tc>
      </w:tr>
      <w:tr>
        <w:trPr>
          <w:cantSplit w:val="0"/>
          <w:tblHeader w:val="0"/>
        </w:trPr>
        <w:tc>
          <w:tcPr>
            <w:shd w:fill="auto" w:val="clear"/>
            <w:vAlign w:val="center"/>
          </w:tcPr>
          <w:p>
            <w:r>
              <w:t>PSICOSOCIAL</w:t>
            </w:r>
          </w:p>
        </w:tc>
        <w:tc>
          <w:tcPr>
            <w:shd w:fill="auto" w:val="clear"/>
          </w:tcPr>
          <w:p>
            <w:r>
              <w:t>Gestión organizacional (estilo de mando, pago, contratación, participación, inducción y capacitación, bienestar social, evaluación del desempeño, manejo de cambios).</w:t>
              <w:br/>
              <w:t>Características de la organización del trabajo (comunicación, tecnología, organización del trabajo, demandas cualitativas y cuantitativas de la labor).</w:t>
              <w:br/>
              <w:t>Características del grupo social de trabajo (relaciones, cohesión, calidad de interacciones, trabajo en equipo).</w:t>
              <w:br/>
              <w:t>Condiciones de la tarea (carga mental, contenido de la tarea, demandas emocionales, sistemas de control, definición de roles, monotonía, etc.).</w:t>
              <w:br/>
              <w:t>Interface persona – tarea (conocimientos, habilidades en relación con la demanda de la tarea, iniciativa, autonomía y reconocimiento, identificación de la persona con la tarea y la organización).</w:t>
              <w:br/>
              <w:t>Jornada de trabajo (pausas, trabajo nocturno, rotación, horas extras, descansos).</w:t>
            </w:r>
          </w:p>
        </w:tc>
      </w:tr>
      <w:tr>
        <w:trPr>
          <w:cantSplit w:val="0"/>
          <w:trHeight w:val="348" w:hRule="atLeast"/>
          <w:tblHeader w:val="0"/>
        </w:trPr>
        <w:tc>
          <w:tcPr>
            <w:shd w:fill="auto" w:val="clear"/>
            <w:vAlign w:val="center"/>
          </w:tcPr>
          <w:p>
            <w:r>
              <w:t>BIOMECÁNICOS</w:t>
            </w:r>
          </w:p>
        </w:tc>
        <w:tc>
          <w:tcPr>
            <w:shd w:fill="auto" w:val="clear"/>
          </w:tcPr>
          <w:p>
            <w:r>
              <w:t>Postura (prolongada mantenida, forzada, anti gravitacional).</w:t>
              <w:br/>
              <w:t>Esfuerzo.</w:t>
              <w:br/>
              <w:t>Movimiento repetitivo.</w:t>
              <w:br/>
              <w:t>Manipulación manual de cargas.</w:t>
            </w:r>
          </w:p>
        </w:tc>
      </w:tr>
      <w:tr>
        <w:trPr>
          <w:cantSplit w:val="0"/>
          <w:tblHeader w:val="0"/>
        </w:trPr>
        <w:tc>
          <w:tcPr>
            <w:shd w:fill="auto" w:val="clear"/>
            <w:vAlign w:val="center"/>
          </w:tcPr>
          <w:p>
            <w:r>
              <w:t>CONDICIONES DE SEGURIDAD</w:t>
            </w:r>
          </w:p>
        </w:tc>
        <w:tc>
          <w:tcPr>
            <w:shd w:fill="auto" w:val="clear"/>
          </w:tcPr>
          <w:p>
            <w:r>
              <w:t>Mecánico (elementos o partes de máquinas, herramientas, equipos, piezas a trabajar, materiales proyectados sólidos o fluidos).</w:t>
              <w:br/>
              <w:t>Eléctrico (alta y baja tensión, estática).</w:t>
              <w:br/>
              <w:t>Locativo (sistemas y medios de almacenamiento).</w:t>
              <w:br/>
              <w:t>Superficies de trabajo (irregular, deslizante, con diferencia de nivel).</w:t>
              <w:br/>
              <w:t xml:space="preserve">Condiciones de orden y aseo (caídas de objeto). </w:t>
              <w:br/>
              <w:t>Tecnológico (explosión, fuga, derrame, incendio)</w:t>
              <w:br/>
              <w:t>Accidentes de tránsito</w:t>
              <w:br/>
              <w:t>Públicos (Robos, atracos, asaltos, atentados, desorden público, etc.)</w:t>
            </w:r>
          </w:p>
        </w:tc>
      </w:tr>
      <w:tr>
        <w:trPr>
          <w:cantSplit w:val="0"/>
          <w:tblHeader w:val="0"/>
        </w:trPr>
        <w:tc>
          <w:tcPr>
            <w:shd w:fill="auto" w:val="clear"/>
            <w:vAlign w:val="center"/>
          </w:tcPr>
          <w:p>
            <w:r>
              <w:t>FENÓMENOS NATURALES</w:t>
            </w:r>
          </w:p>
        </w:tc>
        <w:tc>
          <w:tcPr>
            <w:shd w:fill="auto" w:val="clear"/>
          </w:tcPr>
          <w:p>
            <w:r>
              <w:t>Sismo.</w:t>
              <w:br/>
              <w:t>Terremoto.</w:t>
              <w:br/>
              <w:t>Vendaval.</w:t>
              <w:br/>
              <w:t>Precipitaciones (lluvias, granizadas, heladas)</w:t>
            </w:r>
          </w:p>
        </w:tc>
      </w:tr>
    </w:tbl>
    <w:p w:rsidR="00000000" w:rsidDel="00000000" w:rsidP="00000000" w:rsidRDefault="00000000" w:rsidRPr="00000000" w14:paraId="00000071">
      <w:pPr>
        <w:spacing w:before="240" w:line="240" w:lineRule="auto"/>
        <w:jc w:val="both"/>
        <w:rPr>
          <w:rFonts w:ascii="Arial" w:cs="Arial" w:eastAsia="Arial" w:hAnsi="Arial"/>
          <w:sz w:val="24"/>
          <w:szCs w:val="24"/>
        </w:rPr>
      </w:pPr>
      <w:r>
        <w:t>NOTA 2: Identificación de factores de riesgo. Condiciones de Seguridad.</w:t>
      </w:r>
    </w:p>
    <w:p w:rsidR="00000000" w:rsidDel="00000000" w:rsidP="00000000" w:rsidRDefault="00000000" w:rsidRPr="00000000" w14:paraId="00000072">
      <w:pPr>
        <w:spacing w:line="240" w:lineRule="auto"/>
        <w:jc w:val="both"/>
        <w:rPr>
          <w:rFonts w:ascii="Arial" w:cs="Arial" w:eastAsia="Arial" w:hAnsi="Arial"/>
          <w:sz w:val="24"/>
          <w:szCs w:val="24"/>
        </w:rPr>
      </w:pPr>
      <w:r>
        <w:t>Además se pueden incluir otros peligros que la empresa identifique en sus actividades.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t>Efectos Posibles.</w:t>
      </w:r>
    </w:p>
    <w:p w:rsidR="00000000" w:rsidDel="00000000" w:rsidP="00000000" w:rsidRDefault="00000000" w:rsidRPr="00000000" w14:paraId="00000074">
      <w:pPr>
        <w:spacing w:line="240" w:lineRule="auto"/>
        <w:jc w:val="both"/>
        <w:rPr>
          <w:rFonts w:ascii="Arial" w:cs="Arial" w:eastAsia="Arial" w:hAnsi="Arial"/>
          <w:sz w:val="24"/>
          <w:szCs w:val="24"/>
        </w:rPr>
      </w:pPr>
      <w:r>
        <w:t>Para establecer los efectos posibles de los peligros sobre la integridad o salud de los trabajadores, se debe tener en cuenta preguntas como las siguientes:</w:t>
      </w:r>
    </w:p>
    <w:p w:rsidR="00000000" w:rsidDel="00000000" w:rsidP="00000000" w:rsidRDefault="00000000" w:rsidRPr="00000000" w14:paraId="00000075">
      <w:pPr>
        <w:numPr>
          <w:ilvl w:val="0"/>
          <w:numId w:val="7"/>
        </w:numPr>
        <w:spacing w:after="0" w:line="240" w:lineRule="auto"/>
        <w:ind w:left="720" w:hanging="360"/>
        <w:rPr>
          <w:rFonts w:ascii="Arial" w:cs="Arial" w:eastAsia="Arial" w:hAnsi="Arial"/>
          <w:sz w:val="24"/>
          <w:szCs w:val="24"/>
        </w:rPr>
      </w:pPr>
      <w:r>
        <w:t>¿Cómo el trabajador o la parte interesada expuesta puede ser afectada?</w:t>
      </w:r>
    </w:p>
    <w:p w:rsidR="00000000" w:rsidDel="00000000" w:rsidP="00000000" w:rsidRDefault="00000000" w:rsidRPr="00000000" w14:paraId="00000076">
      <w:pPr>
        <w:numPr>
          <w:ilvl w:val="0"/>
          <w:numId w:val="7"/>
        </w:numPr>
        <w:spacing w:line="240" w:lineRule="auto"/>
        <w:ind w:left="720" w:hanging="360"/>
        <w:jc w:val="both"/>
        <w:rPr>
          <w:rFonts w:ascii="Arial" w:cs="Arial" w:eastAsia="Arial" w:hAnsi="Arial"/>
          <w:sz w:val="24"/>
          <w:szCs w:val="24"/>
        </w:rPr>
      </w:pPr>
      <w:r>
        <w:t>¿Cuál es el daño que le puede ocurrir?</w:t>
      </w:r>
    </w:p>
    <w:p w:rsidR="00000000" w:rsidDel="00000000" w:rsidP="00000000" w:rsidRDefault="00000000" w:rsidRPr="00000000" w14:paraId="00000077">
      <w:pPr>
        <w:spacing w:line="240" w:lineRule="auto"/>
        <w:jc w:val="both"/>
        <w:rPr>
          <w:rFonts w:ascii="Arial" w:cs="Arial" w:eastAsia="Arial" w:hAnsi="Arial"/>
          <w:sz w:val="24"/>
          <w:szCs w:val="24"/>
        </w:rPr>
      </w:pPr>
      <w:r>
        <w:t xml:space="preserve">Igualmente se debe tener en cuenta el nivel de daño que puede generar en las personas de acuerdo a la tabla 2: </w:t>
      </w:r>
    </w:p>
    <w:p w:rsidR="00000000" w:rsidDel="00000000" w:rsidP="00000000" w:rsidRDefault="00000000" w:rsidRPr="00000000" w14:paraId="00000078">
      <w:pPr>
        <w:rPr>
          <w:rFonts w:ascii="Arial" w:cs="Arial" w:eastAsia="Arial" w:hAnsi="Arial"/>
          <w:sz w:val="24"/>
          <w:szCs w:val="24"/>
        </w:rPr>
      </w:p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2. Niveles de Daño</w:t>
      </w:r>
    </w:p>
    <w:tbl>
      <w:tblPr>
        <w:tblStyle w:val="Table2"/>
        <w:tblW w:w="9123.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2126"/>
        <w:gridCol w:w="2552"/>
        <w:gridCol w:w="3027"/>
        <w:tblGridChange w:id="0">
          <w:tblGrid>
            <w:gridCol w:w="1418"/>
            <w:gridCol w:w="2126"/>
            <w:gridCol w:w="2552"/>
            <w:gridCol w:w="3027"/>
          </w:tblGrid>
        </w:tblGridChange>
      </w:tblGrid>
      <w:tr>
        <w:trPr>
          <w:cantSplit w:val="0"/>
          <w:tblHeader w:val="0"/>
        </w:trPr>
        <w:tc>
          <w:tcPr>
            <w:vAlign w:val="center"/>
          </w:tcPr>
          <w:p>
            <w:r>
              <w:t>Categoría del Daño</w:t>
            </w:r>
          </w:p>
        </w:tc>
        <w:tc>
          <w:tcPr>
            <w:vAlign w:val="center"/>
          </w:tcPr>
          <w:p>
            <w:r>
              <w:t>Daño Leve</w:t>
            </w:r>
          </w:p>
        </w:tc>
        <w:tc>
          <w:tcPr>
            <w:vAlign w:val="center"/>
          </w:tcPr>
          <w:p>
            <w:r>
              <w:t>Daño Medio</w:t>
            </w:r>
          </w:p>
        </w:tc>
        <w:tc>
          <w:tcPr>
            <w:vAlign w:val="center"/>
          </w:tcPr>
          <w:p>
            <w:r>
              <w:t>Daño Extremo</w:t>
            </w:r>
          </w:p>
        </w:tc>
      </w:tr>
      <w:tr>
        <w:trPr>
          <w:cantSplit w:val="0"/>
          <w:trHeight w:val="2388" w:hRule="atLeast"/>
          <w:tblHeader w:val="0"/>
        </w:trPr>
        <w:tc>
          <w:tcPr>
            <w:vAlign w:val="center"/>
          </w:tcPr>
          <w:p>
            <w:r>
              <w:t>Salud</w:t>
            </w:r>
          </w:p>
        </w:tc>
        <w:tc>
          <w:tcPr>
            <w:vAlign w:val="center"/>
          </w:tcPr>
          <w:p>
            <w:r>
              <w:t>Molestias e irritación (ejemplo: dolor de cabeza); enfermedad temporal que produce malestar (ejemplo: diarrea)</w:t>
            </w:r>
          </w:p>
        </w:tc>
        <w:tc>
          <w:tcPr>
            <w:vAlign w:val="center"/>
          </w:tcPr>
          <w:p>
            <w:r>
              <w:t>Enfermedades que causan incapacidad temporal. Ejemplo: pérdida parcial de la audición; dermatitis; asma; desórdenes de las extremidades superiores.</w:t>
            </w:r>
          </w:p>
        </w:tc>
        <w:tc>
          <w:tcPr>
            <w:vAlign w:val="center"/>
          </w:tcPr>
          <w:p>
            <w:r>
              <w:t>Enfermedades agudas o crónicas; que generan incapacidad permanente parcial, invalidez o muerte.</w:t>
            </w:r>
          </w:p>
        </w:tc>
      </w:tr>
      <w:tr>
        <w:trPr>
          <w:cantSplit w:val="0"/>
          <w:trHeight w:val="3812" w:hRule="atLeast"/>
          <w:tblHeader w:val="0"/>
        </w:trPr>
        <w:tc>
          <w:tcPr>
            <w:vAlign w:val="center"/>
          </w:tcPr>
          <w:p>
            <w:r>
              <w:t>Seguridad</w:t>
            </w:r>
          </w:p>
        </w:tc>
        <w:tc>
          <w:tcPr>
            <w:vAlign w:val="center"/>
          </w:tcPr>
          <w:p>
            <w:r>
              <w:t>Lesiones superficiales; heridas de poca profundidad, contusiones; irritaciones del ojo por material particulado.</w:t>
            </w:r>
          </w:p>
        </w:tc>
        <w:tc>
          <w:tcPr>
            <w:vAlign w:val="center"/>
          </w:tcPr>
          <w:p>
            <w:r>
              <w:t>Laceraciones; heridas profundas; quemaduras de primer grado; conmoción cerebral; esguinces graves; fracturas de huesos cortos.</w:t>
            </w:r>
          </w:p>
        </w:tc>
        <w:tc>
          <w:tcPr>
            <w:vAlign w:val="center"/>
          </w:tcPr>
          <w:p>
            <w:r>
              <w:t>Lesiones que generen amputaciones; fracturas de huesos largos; trauma cráneo encefálico; quemaduras de segundo y tercer grado; alteraciones severas de mano, de columna vertebral con compromiso de la médula espinal, oculares que comprometan el campo visual; disminuyan la capacidad auditiva.</w:t>
            </w:r>
          </w:p>
        </w:tc>
      </w:tr>
    </w:tbl>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4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IDENTIFICACIÓN DE LOS CONTROLES EXISTENTES.</w:t>
      </w:r>
    </w:p>
    <w:p w:rsidR="00000000" w:rsidDel="00000000" w:rsidP="00000000" w:rsidRDefault="00000000" w:rsidRPr="00000000" w14:paraId="00000087">
      <w:pPr>
        <w:spacing w:line="240" w:lineRule="auto"/>
        <w:jc w:val="both"/>
        <w:rPr>
          <w:rFonts w:ascii="Arial" w:cs="Arial" w:eastAsia="Arial" w:hAnsi="Arial"/>
          <w:sz w:val="24"/>
          <w:szCs w:val="24"/>
        </w:rPr>
      </w:pPr>
      <w:r>
        <w:t>La empresa debe identificar los controles existentes para cada uno de los peligros identificados y clasificarlos en Fuente, Medio e Individuo.</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VALORACIÓN DEL RIESGO.</w:t>
      </w:r>
    </w:p>
    <w:p w:rsidR="00000000" w:rsidDel="00000000" w:rsidP="00000000" w:rsidRDefault="00000000" w:rsidRPr="00000000" w14:paraId="00000089">
      <w:pPr>
        <w:spacing w:line="240" w:lineRule="auto"/>
        <w:jc w:val="both"/>
        <w:rPr>
          <w:rFonts w:ascii="Arial" w:cs="Arial" w:eastAsia="Arial" w:hAnsi="Arial"/>
          <w:sz w:val="24"/>
          <w:szCs w:val="24"/>
        </w:rPr>
      </w:pPr>
      <w:r>
        <w:t xml:space="preserve">La valoración del riesgo incluye las siguientes etapas: </w:t>
      </w:r>
    </w:p>
    <w:p w:rsidR="00000000" w:rsidDel="00000000" w:rsidP="00000000" w:rsidRDefault="00000000" w:rsidRPr="00000000" w14:paraId="0000008A">
      <w:pPr>
        <w:spacing w:line="240" w:lineRule="auto"/>
        <w:jc w:val="both"/>
        <w:rPr>
          <w:rFonts w:ascii="Arial" w:cs="Arial" w:eastAsia="Arial" w:hAnsi="Arial"/>
          <w:b w:val="1"/>
          <w:bCs w:val="1"/>
          <w:sz w:val="24"/>
          <w:szCs w:val="24"/>
        </w:rPr>
      </w:pPr>
      <w:r>
        <w:t>a) Definición de los criterios de aceptabilidad del riesgo</w:t>
      </w:r>
    </w:p>
    <w:p w:rsidR="00000000" w:rsidDel="00000000" w:rsidP="00000000" w:rsidRDefault="00000000" w:rsidRPr="00000000" w14:paraId="0000008B">
      <w:pPr>
        <w:spacing w:line="240" w:lineRule="auto"/>
        <w:jc w:val="both"/>
        <w:rPr>
          <w:rFonts w:ascii="Arial" w:cs="Arial" w:eastAsia="Arial" w:hAnsi="Arial"/>
          <w:sz w:val="24"/>
          <w:szCs w:val="24"/>
        </w:rPr>
      </w:pPr>
      <w:r>
        <w:t>Para determinar los criterios de aceptabilidad del riesgo la empresa debe tener en cuenta entre otros aspectos como Cumplimiento de los requisitos legales aplicables y otros, su política de Seguridad y salud en el trabajo, Objetivos y metas de la organización, aspectos operacionales, técnicos, financieros, sociales y otros, y Opiniones de las partes interesadas.</w:t>
      </w:r>
    </w:p>
    <w:p w:rsidR="00000000" w:rsidDel="00000000" w:rsidP="00000000" w:rsidRDefault="00000000" w:rsidRPr="00000000" w14:paraId="0000008C">
      <w:pPr>
        <w:rPr>
          <w:rFonts w:ascii="Arial" w:cs="Arial" w:eastAsia="Arial" w:hAnsi="Arial"/>
          <w:sz w:val="24"/>
          <w:szCs w:val="24"/>
        </w:rPr>
      </w:pPr>
      <w:r/>
    </w:p>
    <w:p w:rsidR="00000000" w:rsidDel="00000000" w:rsidP="00000000" w:rsidRDefault="00000000" w:rsidRPr="00000000" w14:paraId="0000008D">
      <w:pPr>
        <w:spacing w:line="240" w:lineRule="auto"/>
        <w:rPr>
          <w:rFonts w:ascii="Arial" w:cs="Arial" w:eastAsia="Arial" w:hAnsi="Arial"/>
          <w:b w:val="1"/>
          <w:bCs w:val="1"/>
          <w:sz w:val="24"/>
          <w:szCs w:val="24"/>
        </w:rPr>
      </w:pPr>
      <w:r>
        <w:t>b) Evaluación de los riesgos.</w:t>
      </w:r>
    </w:p>
    <w:p w:rsidR="00000000" w:rsidDel="00000000" w:rsidP="00000000" w:rsidRDefault="00000000" w:rsidRPr="00000000" w14:paraId="0000008E">
      <w:pPr>
        <w:spacing w:line="240" w:lineRule="auto"/>
        <w:jc w:val="both"/>
        <w:rPr>
          <w:rFonts w:ascii="Arial" w:cs="Arial" w:eastAsia="Arial" w:hAnsi="Arial"/>
          <w:sz w:val="24"/>
          <w:szCs w:val="24"/>
        </w:rPr>
      </w:pPr>
      <w:r>
        <w:t>NIT No. 901989693-7</w:t>
      </w:r>
    </w:p>
    <w:p w:rsidR="00000000" w:rsidDel="00000000" w:rsidP="00000000" w:rsidRDefault="00000000" w:rsidRPr="00000000" w14:paraId="0000008F">
      <w:pPr>
        <w:spacing w:line="240" w:lineRule="auto"/>
        <w:jc w:val="both"/>
        <w:rPr>
          <w:rFonts w:ascii="Arial" w:cs="Arial" w:eastAsia="Arial" w:hAnsi="Arial"/>
          <w:sz w:val="24"/>
          <w:szCs w:val="24"/>
        </w:rPr>
      </w:pPr>
      <w:r>
        <w:t>Para evaluar el nivel de riesgo (NR), se debería determinar lo siguiente:</w:t>
      </w:r>
    </w:p>
    <w:p w:rsidR="00000000" w:rsidDel="00000000" w:rsidP="00000000" w:rsidRDefault="00000000" w:rsidRPr="00000000" w14:paraId="00000090">
      <w:pPr>
        <w:spacing w:line="240" w:lineRule="auto"/>
        <w:ind w:left="708" w:firstLine="708"/>
        <w:jc w:val="both"/>
        <w:rPr>
          <w:rFonts w:ascii="Arial" w:cs="Arial" w:eastAsia="Arial" w:hAnsi="Arial"/>
          <w:sz w:val="24"/>
          <w:szCs w:val="24"/>
        </w:rPr>
      </w:pPr>
      <w:r>
        <w:t>NR = NP x NC</w:t>
      </w:r>
    </w:p>
    <w:p w:rsidR="00000000" w:rsidDel="00000000" w:rsidP="00000000" w:rsidRDefault="00000000" w:rsidRPr="00000000" w14:paraId="00000091">
      <w:pPr>
        <w:spacing w:line="240" w:lineRule="auto"/>
        <w:jc w:val="both"/>
        <w:rPr>
          <w:rFonts w:ascii="Arial" w:cs="Arial" w:eastAsia="Arial" w:hAnsi="Arial"/>
          <w:sz w:val="24"/>
          <w:szCs w:val="24"/>
          <w:u w:val="single"/>
        </w:rPr>
      </w:pPr>
      <w:r>
        <w:t>Dónde:</w:t>
      </w:r>
    </w:p>
    <w:p w:rsidR="00000000" w:rsidDel="00000000" w:rsidP="00000000" w:rsidRDefault="00000000" w:rsidRPr="00000000" w14:paraId="00000092">
      <w:pPr>
        <w:spacing w:line="240" w:lineRule="auto"/>
        <w:ind w:left="708" w:firstLine="708"/>
        <w:jc w:val="both"/>
        <w:rPr>
          <w:rFonts w:ascii="Arial" w:cs="Arial" w:eastAsia="Arial" w:hAnsi="Arial"/>
          <w:sz w:val="24"/>
          <w:szCs w:val="24"/>
        </w:rPr>
      </w:pPr>
      <w:r>
        <w:t>NP = Nivel de probabilidad</w:t>
      </w:r>
    </w:p>
    <w:p w:rsidR="00000000" w:rsidDel="00000000" w:rsidP="00000000" w:rsidRDefault="00000000" w:rsidRPr="00000000" w14:paraId="00000093">
      <w:pPr>
        <w:spacing w:line="240" w:lineRule="auto"/>
        <w:ind w:left="708" w:firstLine="708"/>
        <w:jc w:val="both"/>
        <w:rPr>
          <w:rFonts w:ascii="Arial" w:cs="Arial" w:eastAsia="Arial" w:hAnsi="Arial"/>
          <w:sz w:val="24"/>
          <w:szCs w:val="24"/>
        </w:rPr>
      </w:pPr>
      <w:r>
        <w:t>NC = Nivel de consecuencia</w:t>
      </w:r>
    </w:p>
    <w:p w:rsidR="00000000" w:rsidDel="00000000" w:rsidP="00000000" w:rsidRDefault="00000000" w:rsidRPr="00000000" w14:paraId="00000094">
      <w:pPr>
        <w:spacing w:line="276" w:lineRule="auto"/>
        <w:jc w:val="both"/>
        <w:rPr>
          <w:rFonts w:ascii="Arial" w:cs="Arial" w:eastAsia="Arial" w:hAnsi="Arial"/>
          <w:sz w:val="24"/>
          <w:szCs w:val="24"/>
        </w:rPr>
      </w:pPr>
      <w:r>
        <w:t>A su vez, para determinar el NP se requiere:</w:t>
      </w:r>
    </w:p>
    <w:p w:rsidR="00000000" w:rsidDel="00000000" w:rsidP="00000000" w:rsidRDefault="00000000" w:rsidRPr="00000000" w14:paraId="00000095">
      <w:pPr>
        <w:spacing w:line="240" w:lineRule="auto"/>
        <w:ind w:left="708" w:firstLine="708"/>
        <w:jc w:val="both"/>
        <w:rPr>
          <w:rFonts w:ascii="Arial" w:cs="Arial" w:eastAsia="Arial" w:hAnsi="Arial"/>
          <w:sz w:val="24"/>
          <w:szCs w:val="24"/>
        </w:rPr>
      </w:pPr>
      <w:r>
        <w:t>NP= ND x NE</w:t>
      </w:r>
    </w:p>
    <w:p w:rsidR="00000000" w:rsidDel="00000000" w:rsidP="00000000" w:rsidRDefault="00000000" w:rsidRPr="00000000" w14:paraId="00000096">
      <w:pPr>
        <w:spacing w:line="240" w:lineRule="auto"/>
        <w:jc w:val="both"/>
        <w:rPr>
          <w:rFonts w:ascii="Arial" w:cs="Arial" w:eastAsia="Arial" w:hAnsi="Arial"/>
          <w:sz w:val="24"/>
          <w:szCs w:val="24"/>
        </w:rPr>
      </w:pPr>
      <w:r>
        <w:t>Dónde:</w:t>
      </w:r>
    </w:p>
    <w:p w:rsidR="00000000" w:rsidDel="00000000" w:rsidP="00000000" w:rsidRDefault="00000000" w:rsidRPr="00000000" w14:paraId="00000097">
      <w:pPr>
        <w:spacing w:line="240" w:lineRule="auto"/>
        <w:ind w:left="708" w:firstLine="708"/>
        <w:jc w:val="both"/>
        <w:rPr>
          <w:rFonts w:ascii="Arial" w:cs="Arial" w:eastAsia="Arial" w:hAnsi="Arial"/>
          <w:sz w:val="24"/>
          <w:szCs w:val="24"/>
        </w:rPr>
      </w:pPr>
      <w:r>
        <w:t xml:space="preserve">ND = Nivel de deficiencia </w:t>
      </w:r>
    </w:p>
    <w:p w:rsidR="00000000" w:rsidDel="00000000" w:rsidP="00000000" w:rsidRDefault="00000000" w:rsidRPr="00000000" w14:paraId="00000098">
      <w:pPr>
        <w:spacing w:line="360" w:lineRule="auto"/>
        <w:jc w:val="both"/>
        <w:rPr>
          <w:rFonts w:ascii="Arial" w:cs="Arial" w:eastAsia="Arial" w:hAnsi="Arial"/>
          <w:sz w:val="24"/>
          <w:szCs w:val="24"/>
        </w:rPr>
      </w:pPr>
      <w:r>
        <w:tab/>
        <w:tab/>
        <w:t xml:space="preserve">NE = Nivel de exposición </w:t>
      </w:r>
    </w:p>
    <w:p w:rsidR="00000000" w:rsidDel="00000000" w:rsidP="00000000" w:rsidRDefault="00000000" w:rsidRPr="00000000" w14:paraId="00000099">
      <w:pPr>
        <w:spacing w:line="240" w:lineRule="auto"/>
        <w:jc w:val="both"/>
        <w:rPr>
          <w:rFonts w:ascii="Arial" w:cs="Arial" w:eastAsia="Arial" w:hAnsi="Arial"/>
          <w:sz w:val="24"/>
          <w:szCs w:val="24"/>
        </w:rPr>
      </w:pPr>
      <w:r>
        <w:t xml:space="preserve">Para determinar el ND se utiliza la Tabla 3, a continuación: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3. Determinación del Nivel de Deficiencia.</w:t>
      </w:r>
    </w:p>
    <w:tbl>
      <w:tblPr>
        <w:tblStyle w:val="Table3"/>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59"/>
        <w:gridCol w:w="6095"/>
        <w:tblGridChange w:id="0">
          <w:tblGrid>
            <w:gridCol w:w="1560"/>
            <w:gridCol w:w="1559"/>
            <w:gridCol w:w="6095"/>
          </w:tblGrid>
        </w:tblGridChange>
      </w:tblGrid>
      <w:tr>
        <w:trPr>
          <w:cantSplit w:val="0"/>
          <w:trHeight w:val="684" w:hRule="atLeast"/>
          <w:tblHeader w:val="0"/>
        </w:trPr>
        <w:tc>
          <w:tcPr>
            <w:vAlign w:val="center"/>
          </w:tcPr>
          <w:p>
            <w:r>
              <w:t>Nivel de Deficiencia</w:t>
            </w:r>
          </w:p>
        </w:tc>
        <w:tc>
          <w:tcPr>
            <w:vAlign w:val="center"/>
          </w:tcPr>
          <w:p>
            <w:r>
              <w:t>Valor de</w:t>
              <w:br/>
              <w:t>ND</w:t>
            </w:r>
          </w:p>
        </w:tc>
        <w:tc>
          <w:tcPr>
            <w:vAlign w:val="center"/>
          </w:tcPr>
          <w:p>
            <w:r>
              <w:t>Significado</w:t>
            </w:r>
          </w:p>
        </w:tc>
      </w:tr>
      <w:tr>
        <w:trPr>
          <w:cantSplit w:val="0"/>
          <w:trHeight w:val="1362" w:hRule="atLeast"/>
          <w:tblHeader w:val="0"/>
        </w:trPr>
        <w:tc>
          <w:tcPr>
            <w:vAlign w:val="center"/>
          </w:tcPr>
          <w:p>
            <w:r>
              <w:t>Muy Alto (MA)</w:t>
            </w:r>
          </w:p>
        </w:tc>
        <w:tc>
          <w:tcPr>
            <w:vAlign w:val="center"/>
          </w:tcPr>
          <w:p>
            <w:r>
              <w:t>10</w:t>
            </w:r>
          </w:p>
        </w:tc>
        <w:tc>
          <w:tcPr/>
          <w:p>
            <w:r>
              <w:t>Se ha(n) detectado peligro(s) que determina(n) como posible la generación de incidentes o consecuencias muy significativas, o la eficacia del conjunto de medidas preventivas existentes respecto al riesgo es nula o no existe, o ambos.</w:t>
            </w:r>
          </w:p>
        </w:tc>
      </w:tr>
      <w:tr>
        <w:trPr>
          <w:cantSplit w:val="0"/>
          <w:tblHeader w:val="0"/>
        </w:trPr>
        <w:tc>
          <w:tcPr>
            <w:vAlign w:val="center"/>
          </w:tcPr>
          <w:p>
            <w:r>
              <w:t>Alto (A)</w:t>
            </w:r>
          </w:p>
        </w:tc>
        <w:tc>
          <w:tcPr>
            <w:vAlign w:val="center"/>
          </w:tcPr>
          <w:p>
            <w:r>
              <w:t>6</w:t>
            </w:r>
          </w:p>
        </w:tc>
        <w:tc>
          <w:tcPr/>
          <w:p>
            <w:r>
              <w:t>Se ha(n) detectado algún(os) peligro(s) que pueden dar lugar a consecuencias significativa(s), o la eficacia del conjunto de medidas preventivas existentes es baja, o ambos.</w:t>
            </w:r>
          </w:p>
        </w:tc>
      </w:tr>
      <w:tr>
        <w:trPr>
          <w:cantSplit w:val="0"/>
          <w:tblHeader w:val="0"/>
        </w:trPr>
        <w:tc>
          <w:tcPr>
            <w:vAlign w:val="center"/>
          </w:tcPr>
          <w:p>
            <w:r>
              <w:t>Medio (M)</w:t>
            </w:r>
          </w:p>
        </w:tc>
        <w:tc>
          <w:tcPr>
            <w:vAlign w:val="center"/>
          </w:tcPr>
          <w:p>
            <w:r>
              <w:t>2</w:t>
            </w:r>
          </w:p>
        </w:tc>
        <w:tc>
          <w:tcPr/>
          <w:p>
            <w:r>
              <w:t>Se han detectado peligros que pueden dar lugar a consecuencias poco significativas o de menor importancia, o la eficacia del conjunto de medidas preventivas existentes es moderada, o ambos.</w:t>
            </w:r>
          </w:p>
        </w:tc>
      </w:tr>
      <w:tr>
        <w:trPr>
          <w:cantSplit w:val="0"/>
          <w:trHeight w:val="828" w:hRule="atLeast"/>
          <w:tblHeader w:val="0"/>
        </w:trPr>
        <w:tc>
          <w:tcPr>
            <w:vAlign w:val="center"/>
          </w:tcPr>
          <w:p>
            <w:r>
              <w:t>Bajo (B)</w:t>
            </w:r>
          </w:p>
        </w:tc>
        <w:tc>
          <w:tcPr>
            <w:vAlign w:val="center"/>
          </w:tcPr>
          <w:p>
            <w:r>
              <w:t>No se Asigna Valor</w:t>
            </w:r>
          </w:p>
        </w:tc>
        <w:tc>
          <w:tcPr/>
          <w:p>
            <w:r>
              <w:t>No se ha detectado consecuencia alguna, o la eficacia del conjunto de medidas preventivas existentes es alta, o ambos. El riesgo está controlado. Estos peligros se clasifican directamente en el nivel de riesgo y de intervención cuatro IV.</w:t>
            </w:r>
          </w:p>
        </w:tc>
      </w:tr>
    </w:tbl>
    <w:p w:rsidR="00000000" w:rsidDel="00000000" w:rsidP="00000000" w:rsidRDefault="00000000" w:rsidRPr="00000000" w14:paraId="000000AB">
      <w:pPr>
        <w:spacing w:before="240" w:line="240" w:lineRule="auto"/>
        <w:jc w:val="both"/>
        <w:rPr>
          <w:rFonts w:ascii="Arial" w:cs="Arial" w:eastAsia="Arial" w:hAnsi="Arial"/>
          <w:sz w:val="24"/>
          <w:szCs w:val="24"/>
        </w:rPr>
      </w:pPr>
      <w:r>
        <w:t>La determinación del nivel de deficiencia para los peligros higiénicos (físico, químico, biológico, etc.) se hace en forma cualitativa. Ver Determinación Cualitativa del Nivel de Deficiencia de los Peligros Higiénicos  Para determinar el NE se aplican los criterios de la siguiente tabla.</w:t>
      </w:r>
    </w:p>
    <w:p w:rsidR="00000000" w:rsidDel="00000000" w:rsidP="00000000" w:rsidRDefault="00000000" w:rsidRPr="00000000" w14:paraId="000000AC">
      <w:pPr>
        <w:spacing w:before="240" w:line="360" w:lineRule="auto"/>
        <w:jc w:val="center"/>
        <w:rPr>
          <w:rFonts w:ascii="Arial" w:cs="Arial" w:eastAsia="Arial" w:hAnsi="Arial"/>
          <w:sz w:val="24"/>
          <w:szCs w:val="24"/>
        </w:rPr>
      </w:pPr>
      <w:r>
        <w:t>Tabla 4. Determinación del Nivel de Exposición.</w:t>
      </w:r>
    </w:p>
    <w:tbl>
      <w:tblPr>
        <w:tblStyle w:val="Table4"/>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993"/>
        <w:gridCol w:w="6520"/>
        <w:tblGridChange w:id="0">
          <w:tblGrid>
            <w:gridCol w:w="1701"/>
            <w:gridCol w:w="993"/>
            <w:gridCol w:w="6520"/>
          </w:tblGrid>
        </w:tblGridChange>
      </w:tblGrid>
      <w:tr>
        <w:trPr>
          <w:cantSplit w:val="0"/>
          <w:tblHeader w:val="0"/>
        </w:trPr>
        <w:tc>
          <w:tcPr>
            <w:vAlign w:val="center"/>
          </w:tcPr>
          <w:p>
            <w:r>
              <w:t>Nivel de exposición</w:t>
            </w:r>
          </w:p>
        </w:tc>
        <w:tc>
          <w:tcPr>
            <w:vAlign w:val="center"/>
          </w:tcPr>
          <w:p>
            <w:r>
              <w:t>Valor de NE</w:t>
            </w:r>
          </w:p>
        </w:tc>
        <w:tc>
          <w:tcPr>
            <w:vAlign w:val="center"/>
          </w:tcPr>
          <w:p>
            <w:r>
              <w:t>Significado</w:t>
            </w:r>
          </w:p>
        </w:tc>
      </w:tr>
      <w:tr>
        <w:trPr>
          <w:cantSplit w:val="0"/>
          <w:trHeight w:val="426" w:hRule="atLeast"/>
          <w:tblHeader w:val="0"/>
        </w:trPr>
        <w:tc>
          <w:tcPr>
            <w:vAlign w:val="center"/>
          </w:tcPr>
          <w:p>
            <w:r>
              <w:t>Continua (EC)</w:t>
            </w:r>
          </w:p>
        </w:tc>
        <w:tc>
          <w:tcPr>
            <w:vAlign w:val="center"/>
          </w:tcPr>
          <w:p>
            <w:r>
              <w:t>4</w:t>
            </w:r>
          </w:p>
        </w:tc>
        <w:tc>
          <w:tcPr>
            <w:vAlign w:val="center"/>
          </w:tcPr>
          <w:p>
            <w:r>
              <w:t>La situación de exposición se presenta sin interrupción o varias veces con tiempo prolongado durante la jornada laboral.</w:t>
            </w:r>
          </w:p>
        </w:tc>
      </w:tr>
      <w:tr>
        <w:trPr>
          <w:cantSplit w:val="0"/>
          <w:trHeight w:val="390" w:hRule="atLeast"/>
          <w:tblHeader w:val="0"/>
        </w:trPr>
        <w:tc>
          <w:tcPr>
            <w:vAlign w:val="center"/>
          </w:tcPr>
          <w:p>
            <w:r>
              <w:t>Frecuente (EF)</w:t>
            </w:r>
          </w:p>
        </w:tc>
        <w:tc>
          <w:tcPr>
            <w:vAlign w:val="center"/>
          </w:tcPr>
          <w:p>
            <w:r>
              <w:t>3</w:t>
            </w:r>
          </w:p>
        </w:tc>
        <w:tc>
          <w:tcPr>
            <w:vAlign w:val="center"/>
          </w:tcPr>
          <w:p>
            <w:r>
              <w:t>La situación de exposición se presenta varias veces durante la jornada laboral por tiempos cortos.</w:t>
            </w:r>
          </w:p>
        </w:tc>
      </w:tr>
      <w:tr>
        <w:trPr>
          <w:cantSplit w:val="0"/>
          <w:trHeight w:val="198" w:hRule="atLeast"/>
          <w:tblHeader w:val="0"/>
        </w:trPr>
        <w:tc>
          <w:tcPr>
            <w:vAlign w:val="center"/>
          </w:tcPr>
          <w:p>
            <w:r>
              <w:t>Ocasional (EO)</w:t>
            </w:r>
          </w:p>
        </w:tc>
        <w:tc>
          <w:tcPr>
            <w:vAlign w:val="center"/>
          </w:tcPr>
          <w:p>
            <w:r>
              <w:t>2</w:t>
            </w:r>
          </w:p>
        </w:tc>
        <w:tc>
          <w:tcPr>
            <w:vAlign w:val="center"/>
          </w:tcPr>
          <w:p>
            <w:r>
              <w:t>La situación de exposición se presenta alguna vez durante la jornada laboral y por un periodo de tiempo corto.</w:t>
            </w:r>
          </w:p>
        </w:tc>
      </w:tr>
      <w:tr>
        <w:trPr>
          <w:cantSplit w:val="0"/>
          <w:tblHeader w:val="0"/>
        </w:trPr>
        <w:tc>
          <w:tcPr>
            <w:vAlign w:val="center"/>
          </w:tcPr>
          <w:p>
            <w:r>
              <w:t>Esporádica (EE)</w:t>
            </w:r>
          </w:p>
        </w:tc>
        <w:tc>
          <w:tcPr>
            <w:vAlign w:val="center"/>
          </w:tcPr>
          <w:p>
            <w:r>
              <w:t>1</w:t>
            </w:r>
          </w:p>
        </w:tc>
        <w:tc>
          <w:tcPr>
            <w:vAlign w:val="center"/>
          </w:tcPr>
          <w:p>
            <w:r>
              <w:t>La situación de exposición se presenta de manera eventual.</w:t>
            </w:r>
          </w:p>
        </w:tc>
      </w:tr>
    </w:tbl>
    <w:p w:rsidR="00000000" w:rsidDel="00000000" w:rsidP="00000000" w:rsidRDefault="00000000" w:rsidRPr="00000000" w14:paraId="000000BC">
      <w:pPr>
        <w:spacing w:before="240" w:line="240" w:lineRule="auto"/>
        <w:jc w:val="both"/>
        <w:rPr>
          <w:rFonts w:ascii="Arial" w:cs="Arial" w:eastAsia="Arial" w:hAnsi="Arial"/>
          <w:sz w:val="24"/>
          <w:szCs w:val="24"/>
        </w:rPr>
      </w:pPr>
      <w:r>
        <w:t>Para determinar el NP se combinan los resultados de las tablas 3 y 4, en la tabla 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t>Tabla 5. Determinación del Nivel de Probabilidad.</w:t>
      </w:r>
    </w:p>
    <w:tbl>
      <w:tblPr>
        <w:tblStyle w:val="Table5"/>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827"/>
        <w:gridCol w:w="1642"/>
        <w:gridCol w:w="1586"/>
        <w:gridCol w:w="1533"/>
        <w:gridCol w:w="1559"/>
        <w:tblGridChange w:id="0">
          <w:tblGrid>
            <w:gridCol w:w="2067"/>
            <w:gridCol w:w="827"/>
            <w:gridCol w:w="1642"/>
            <w:gridCol w:w="1586"/>
            <w:gridCol w:w="1533"/>
            <w:gridCol w:w="1559"/>
          </w:tblGrid>
        </w:tblGridChange>
      </w:tblGrid>
      <w:tr>
        <w:trPr>
          <w:cantSplit w:val="1"/>
          <w:trHeight w:val="337" w:hRule="atLeast"/>
          <w:tblHeader w:val="0"/>
        </w:trPr>
        <w:tc>
          <w:tcPr>
            <w:gridSpan w:val="2"/>
            <w:vMerge w:val="restart"/>
            <w:vAlign w:val="center"/>
          </w:tcPr>
          <w:p>
            <w:r>
              <w:t>Niveles de Probabilidad</w:t>
            </w:r>
          </w:p>
        </w:tc>
        <w:tc>
          <w:tcPr>
            <w:gridSpan w:val="4"/>
            <w:vAlign w:val="center"/>
          </w:tcPr>
          <w:p>
            <w:r>
              <w:t>Nivel de Exposición (NE)</w:t>
            </w:r>
          </w:p>
        </w:tc>
      </w:tr>
      <w:tr>
        <w:trPr>
          <w:cantSplit w:val="1"/>
          <w:tblHeader w:val="0"/>
        </w:trPr>
        <w:tc>
          <w:tcPr>
            <w:gridSpan w:val="2"/>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tcBorders>
              <w:bottom w:color="000000" w:space="0" w:sz="4" w:val="single"/>
            </w:tcBorders>
            <w:vAlign w:val="center"/>
          </w:tcPr>
          <w:p>
            <w:r>
              <w:t>4</w:t>
            </w:r>
          </w:p>
        </w:tc>
        <w:tc>
          <w:tcPr>
            <w:tcBorders>
              <w:bottom w:color="000000" w:space="0" w:sz="4" w:val="single"/>
            </w:tcBorders>
            <w:vAlign w:val="center"/>
          </w:tcPr>
          <w:p>
            <w:r>
              <w:t>3</w:t>
            </w:r>
          </w:p>
        </w:tc>
        <w:tc>
          <w:tcPr>
            <w:tcBorders>
              <w:bottom w:color="000000" w:space="0" w:sz="4" w:val="single"/>
            </w:tcBorders>
            <w:vAlign w:val="center"/>
          </w:tcPr>
          <w:p>
            <w:r>
              <w:t>2</w:t>
            </w:r>
          </w:p>
        </w:tc>
        <w:tc>
          <w:tcPr>
            <w:tcBorders>
              <w:bottom w:color="000000" w:space="0" w:sz="4" w:val="single"/>
            </w:tcBorders>
            <w:vAlign w:val="center"/>
          </w:tcPr>
          <w:p>
            <w:r>
              <w:t>1</w:t>
            </w:r>
          </w:p>
        </w:tc>
      </w:tr>
      <w:tr>
        <w:trPr>
          <w:cantSplit w:val="1"/>
          <w:trHeight w:val="418" w:hRule="atLeast"/>
          <w:tblHeader w:val="0"/>
        </w:trPr>
        <w:tc>
          <w:tcPr>
            <w:vMerge w:val="restart"/>
            <w:vAlign w:val="center"/>
          </w:tcPr>
          <w:p>
            <w:r>
              <w:t>Nivel de deficiencia (ND)</w:t>
            </w:r>
          </w:p>
        </w:tc>
        <w:tc>
          <w:tcPr>
            <w:vAlign w:val="center"/>
          </w:tcPr>
          <w:p>
            <w:r>
              <w:t>10</w:t>
            </w:r>
          </w:p>
        </w:tc>
        <w:tc>
          <w:tcPr>
            <w:tcBorders>
              <w:bottom w:color="000000" w:space="0" w:sz="4" w:val="single"/>
            </w:tcBorders>
            <w:shd w:fill="ff0000" w:val="clear"/>
            <w:vAlign w:val="center"/>
          </w:tcPr>
          <w:p>
            <w:r>
              <w:t>MA–40</w:t>
            </w:r>
          </w:p>
        </w:tc>
        <w:tc>
          <w:tcPr>
            <w:tcBorders>
              <w:bottom w:color="000000" w:space="0" w:sz="4" w:val="single"/>
            </w:tcBorders>
            <w:shd w:fill="ff0000" w:val="clear"/>
            <w:vAlign w:val="center"/>
          </w:tcPr>
          <w:p>
            <w:r>
              <w:t>MA–30</w:t>
            </w:r>
          </w:p>
        </w:tc>
        <w:tc>
          <w:tcPr>
            <w:tcBorders>
              <w:bottom w:color="000000" w:space="0" w:sz="4" w:val="single"/>
            </w:tcBorders>
            <w:shd w:fill="ffff00" w:val="clear"/>
            <w:vAlign w:val="center"/>
          </w:tcPr>
          <w:p>
            <w:r>
              <w:t>A–20</w:t>
            </w:r>
          </w:p>
        </w:tc>
        <w:tc>
          <w:tcPr>
            <w:tcBorders>
              <w:bottom w:color="000000" w:space="0" w:sz="4" w:val="single"/>
            </w:tcBorders>
            <w:shd w:fill="ffff00" w:val="clear"/>
            <w:vAlign w:val="center"/>
          </w:tcPr>
          <w:p>
            <w:r>
              <w:t>A-10</w:t>
            </w:r>
          </w:p>
        </w:tc>
      </w:tr>
      <w:tr>
        <w:trPr>
          <w:cantSplit w:val="1"/>
          <w:trHeight w:val="424" w:hRule="atLeast"/>
          <w:tblHeader w:val="0"/>
        </w:trPr>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
              <w:t>6</w:t>
            </w:r>
          </w:p>
        </w:tc>
        <w:tc>
          <w:tcPr>
            <w:tcBorders>
              <w:bottom w:color="000000" w:space="0" w:sz="4" w:val="single"/>
            </w:tcBorders>
            <w:shd w:fill="ff0000" w:val="clear"/>
            <w:vAlign w:val="center"/>
          </w:tcPr>
          <w:p>
            <w:r>
              <w:t>MA–24</w:t>
            </w:r>
          </w:p>
        </w:tc>
        <w:tc>
          <w:tcPr>
            <w:tcBorders>
              <w:bottom w:color="000000" w:space="0" w:sz="4" w:val="single"/>
            </w:tcBorders>
            <w:shd w:fill="ffff00" w:val="clear"/>
            <w:vAlign w:val="center"/>
          </w:tcPr>
          <w:p>
            <w:r>
              <w:t>A–18</w:t>
            </w:r>
          </w:p>
        </w:tc>
        <w:tc>
          <w:tcPr>
            <w:shd w:fill="ffff00" w:val="clear"/>
            <w:vAlign w:val="center"/>
          </w:tcPr>
          <w:p>
            <w:r>
              <w:t>A–12</w:t>
            </w:r>
          </w:p>
        </w:tc>
        <w:tc>
          <w:tcPr>
            <w:shd w:fill="00b050" w:val="clear"/>
            <w:vAlign w:val="center"/>
          </w:tcPr>
          <w:p>
            <w:r>
              <w:t>M-6</w:t>
            </w:r>
          </w:p>
        </w:tc>
      </w:tr>
      <w:tr>
        <w:trPr>
          <w:cantSplit w:val="1"/>
          <w:trHeight w:val="402" w:hRule="atLeast"/>
          <w:tblHeader w:val="0"/>
        </w:trPr>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
              <w:t>2</w:t>
            </w:r>
          </w:p>
        </w:tc>
        <w:tc>
          <w:tcPr>
            <w:shd w:fill="00b050" w:val="clear"/>
            <w:vAlign w:val="center"/>
          </w:tcPr>
          <w:p>
            <w:r>
              <w:t>M–8</w:t>
            </w:r>
          </w:p>
        </w:tc>
        <w:tc>
          <w:tcPr>
            <w:shd w:fill="00b050" w:val="clear"/>
            <w:vAlign w:val="center"/>
          </w:tcPr>
          <w:p>
            <w:r>
              <w:t>M–6</w:t>
            </w:r>
          </w:p>
        </w:tc>
        <w:tc>
          <w:tcPr>
            <w:vAlign w:val="center"/>
          </w:tcPr>
          <w:p>
            <w:r>
              <w:t>B–4</w:t>
            </w:r>
          </w:p>
        </w:tc>
        <w:tc>
          <w:tcPr>
            <w:vAlign w:val="center"/>
          </w:tcPr>
          <w:p>
            <w:r>
              <w:t>B–2</w:t>
            </w:r>
          </w:p>
        </w:tc>
      </w:tr>
    </w:tbl>
    <w:p w:rsidR="00000000" w:rsidDel="00000000" w:rsidP="00000000" w:rsidRDefault="00000000" w:rsidRPr="00000000" w14:paraId="000000DC">
      <w:pPr>
        <w:spacing w:before="240" w:line="240" w:lineRule="auto"/>
        <w:jc w:val="both"/>
        <w:rPr>
          <w:rFonts w:ascii="Arial" w:cs="Arial" w:eastAsia="Arial" w:hAnsi="Arial"/>
          <w:sz w:val="24"/>
          <w:szCs w:val="24"/>
        </w:rPr>
      </w:pPr>
      <w:r>
        <w:t>El resultado de la Tabla 5 se interpreta de acuerdo con el significado que aparece en la tabla 6.</w:t>
      </w:r>
    </w:p>
    <w:p w:rsidR="00000000" w:rsidDel="00000000" w:rsidP="00000000" w:rsidRDefault="00000000" w:rsidRPr="00000000" w14:paraId="000000DD">
      <w:pPr>
        <w:rPr>
          <w:rFonts w:ascii="Arial" w:cs="Arial" w:eastAsia="Arial" w:hAnsi="Arial"/>
          <w:sz w:val="24"/>
          <w:szCs w:val="24"/>
        </w:rPr>
      </w:p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6. Significado de los Diferentes Niveles de Probabilidad.</w:t>
      </w:r>
    </w:p>
    <w:tbl>
      <w:tblPr>
        <w:tblStyle w:val="Table6"/>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1560"/>
        <w:gridCol w:w="5953"/>
        <w:tblGridChange w:id="0">
          <w:tblGrid>
            <w:gridCol w:w="1701"/>
            <w:gridCol w:w="1560"/>
            <w:gridCol w:w="5953"/>
          </w:tblGrid>
        </w:tblGridChange>
      </w:tblGrid>
      <w:tr>
        <w:trPr>
          <w:cantSplit w:val="0"/>
          <w:tblHeader w:val="0"/>
        </w:trPr>
        <w:tc>
          <w:tcPr>
            <w:vAlign w:val="center"/>
          </w:tcPr>
          <w:p>
            <w:r>
              <w:t>Nivel de Probabilidad</w:t>
            </w:r>
          </w:p>
        </w:tc>
        <w:tc>
          <w:tcPr>
            <w:vAlign w:val="center"/>
          </w:tcPr>
          <w:p>
            <w:r>
              <w:t>Valor de NP</w:t>
            </w:r>
          </w:p>
        </w:tc>
        <w:tc>
          <w:tcPr>
            <w:vAlign w:val="bottom"/>
          </w:tcPr>
          <w:p>
            <w:r>
              <w:t>Significado</w:t>
            </w:r>
          </w:p>
        </w:tc>
      </w:tr>
      <w:tr>
        <w:trPr>
          <w:cantSplit w:val="0"/>
          <w:tblHeader w:val="0"/>
        </w:trPr>
        <w:tc>
          <w:tcPr>
            <w:vAlign w:val="center"/>
          </w:tcPr>
          <w:p>
            <w:r>
              <w:t>Muy Alto (MA)</w:t>
            </w:r>
          </w:p>
        </w:tc>
        <w:tc>
          <w:tcPr>
            <w:vAlign w:val="center"/>
          </w:tcPr>
          <w:p>
            <w:r>
              <w:t>Entre 40 y 24</w:t>
            </w:r>
          </w:p>
        </w:tc>
        <w:tc>
          <w:tcPr>
            <w:vAlign w:val="center"/>
          </w:tcPr>
          <w:p>
            <w:r>
              <w:t>Situación deficiente con exposición continua, o muy deficiente con exposición frecuente. Normalmente la materialización del riesgo ocurre con frecuencia.</w:t>
            </w:r>
          </w:p>
        </w:tc>
      </w:tr>
      <w:tr>
        <w:trPr>
          <w:cantSplit w:val="0"/>
          <w:tblHeader w:val="0"/>
        </w:trPr>
        <w:tc>
          <w:tcPr>
            <w:vAlign w:val="center"/>
          </w:tcPr>
          <w:p>
            <w:r>
              <w:t>Alto (A)</w:t>
            </w:r>
          </w:p>
        </w:tc>
        <w:tc>
          <w:tcPr>
            <w:vAlign w:val="center"/>
          </w:tcPr>
          <w:p>
            <w:r>
              <w:t>Entre 20 y 10</w:t>
            </w:r>
          </w:p>
        </w:tc>
        <w:tc>
          <w:tcPr>
            <w:vAlign w:val="center"/>
          </w:tcPr>
          <w:p>
            <w:r>
              <w:t>Situación deficiente con exposición frecuente u ocasional, o bien situación muy deficiente con exposición ocasional o esporádica.</w:t>
              <w:br/>
              <w:t>La materialización del Riesgo es posible que suceda varias veces en la vida laboral.</w:t>
            </w:r>
          </w:p>
        </w:tc>
      </w:tr>
      <w:tr>
        <w:trPr>
          <w:cantSplit w:val="0"/>
          <w:tblHeader w:val="0"/>
        </w:trPr>
        <w:tc>
          <w:tcPr>
            <w:vAlign w:val="center"/>
          </w:tcPr>
          <w:p>
            <w:r>
              <w:t>Medio (M)</w:t>
            </w:r>
          </w:p>
        </w:tc>
        <w:tc>
          <w:tcPr>
            <w:vAlign w:val="center"/>
          </w:tcPr>
          <w:p>
            <w:r>
              <w:t>Entre 8 y 6</w:t>
            </w:r>
          </w:p>
        </w:tc>
        <w:tc>
          <w:tcPr>
            <w:vAlign w:val="center"/>
          </w:tcPr>
          <w:p>
            <w:r>
              <w:t>Situación deficiente con exposición esporádica, o bien situación mejorable con exposición continuada o frecuente.</w:t>
              <w:br/>
              <w:t>Es posible que suceda el daño alguna vez.</w:t>
            </w:r>
          </w:p>
        </w:tc>
      </w:tr>
      <w:tr>
        <w:trPr>
          <w:cantSplit w:val="0"/>
          <w:tblHeader w:val="0"/>
        </w:trPr>
        <w:tc>
          <w:tcPr>
            <w:vAlign w:val="center"/>
          </w:tcPr>
          <w:p>
            <w:r>
              <w:t>Bajo (B)</w:t>
            </w:r>
          </w:p>
        </w:tc>
        <w:tc>
          <w:tcPr>
            <w:vAlign w:val="center"/>
          </w:tcPr>
          <w:p>
            <w:r>
              <w:t>Entre 4 y 2</w:t>
            </w:r>
          </w:p>
        </w:tc>
        <w:tc>
          <w:tcPr>
            <w:vAlign w:val="center"/>
          </w:tcPr>
          <w:p>
            <w:r>
              <w:t xml:space="preserve">Situación mejorable con exposición ocasional o esporádica, o situación sin anomalía destacable con cualquier nivel de exposición. </w:t>
              <w:br/>
              <w:t>No es esperable que se materialice el riesgo, aunque puede ser concebible.</w:t>
            </w:r>
          </w:p>
        </w:tc>
      </w:tr>
    </w:tbl>
    <w:p w:rsidR="00000000" w:rsidDel="00000000" w:rsidP="00000000" w:rsidRDefault="00000000" w:rsidRPr="00000000" w14:paraId="000000F1">
      <w:pPr>
        <w:spacing w:before="240" w:line="240" w:lineRule="auto"/>
        <w:jc w:val="both"/>
        <w:rPr>
          <w:rFonts w:ascii="Arial" w:cs="Arial" w:eastAsia="Arial" w:hAnsi="Arial"/>
          <w:sz w:val="24"/>
          <w:szCs w:val="24"/>
        </w:rPr>
      </w:pPr>
      <w:r>
        <w:t>A continuación se determina el nivel de consecuencias según los parámetros de la tabla 7.</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7. Determinación del Nivel de Consecuencias.</w:t>
      </w:r>
    </w:p>
    <w:tbl>
      <w:tblPr>
        <w:tblStyle w:val="Table7"/>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851"/>
        <w:gridCol w:w="5953"/>
        <w:tblGridChange w:id="0">
          <w:tblGrid>
            <w:gridCol w:w="2410"/>
            <w:gridCol w:w="851"/>
            <w:gridCol w:w="5953"/>
          </w:tblGrid>
        </w:tblGridChange>
      </w:tblGrid>
      <w:tr>
        <w:trPr>
          <w:cantSplit w:val="1"/>
          <w:trHeight w:val="310" w:hRule="atLeast"/>
          <w:tblHeader w:val="0"/>
        </w:trPr>
        <w:tc>
          <w:tcPr>
            <w:vMerge w:val="restart"/>
            <w:vAlign w:val="center"/>
          </w:tcPr>
          <w:p>
            <w:r>
              <w:t>Nivel de Consecuencias</w:t>
            </w:r>
          </w:p>
        </w:tc>
        <w:tc>
          <w:tcPr>
            <w:vMerge w:val="restart"/>
            <w:vAlign w:val="center"/>
          </w:tcPr>
          <w:p>
            <w:r>
              <w:t>NC</w:t>
            </w:r>
          </w:p>
        </w:tc>
        <w:tc>
          <w:tcPr>
            <w:vAlign w:val="center"/>
          </w:tcPr>
          <w:p>
            <w:r>
              <w:t>Significado</w:t>
            </w:r>
          </w:p>
        </w:tc>
      </w:tr>
      <w:tr>
        <w:trPr>
          <w:cantSplit w:val="1"/>
          <w:trHeight w:val="252" w:hRule="atLeast"/>
          <w:tblHeader w:val="0"/>
        </w:trPr>
        <w:tc>
          <w:tcPr>
            <w:vMerge w:val="continue"/>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vAlign w:val="center"/>
          </w:tcPr>
          <w:p>
            <w:r>
              <w:t>Daños personales</w:t>
            </w:r>
          </w:p>
        </w:tc>
      </w:tr>
      <w:tr>
        <w:trPr>
          <w:cantSplit w:val="0"/>
          <w:tblHeader w:val="0"/>
        </w:trPr>
        <w:tc>
          <w:tcPr>
            <w:vAlign w:val="center"/>
          </w:tcPr>
          <w:p>
            <w:r>
              <w:t>Mortal o Catastrófico (M)</w:t>
            </w:r>
          </w:p>
        </w:tc>
        <w:tc>
          <w:tcPr>
            <w:vAlign w:val="center"/>
          </w:tcPr>
          <w:p>
            <w:r>
              <w:t>100</w:t>
            </w:r>
          </w:p>
        </w:tc>
        <w:tc>
          <w:tcPr>
            <w:vAlign w:val="center"/>
          </w:tcPr>
          <w:p>
            <w:r>
              <w:t>Muerte (s)</w:t>
            </w:r>
          </w:p>
        </w:tc>
      </w:tr>
      <w:tr>
        <w:trPr>
          <w:cantSplit w:val="0"/>
          <w:tblHeader w:val="0"/>
        </w:trPr>
        <w:tc>
          <w:tcPr>
            <w:vAlign w:val="center"/>
          </w:tcPr>
          <w:p>
            <w:r>
              <w:t>Muy grave (MG)</w:t>
            </w:r>
          </w:p>
        </w:tc>
        <w:tc>
          <w:tcPr>
            <w:vAlign w:val="center"/>
          </w:tcPr>
          <w:p>
            <w:r>
              <w:t>60</w:t>
            </w:r>
          </w:p>
        </w:tc>
        <w:tc>
          <w:tcPr>
            <w:vAlign w:val="center"/>
          </w:tcPr>
          <w:p>
            <w:r>
              <w:t>Lesiones o enfermedades graves irreparables (Incapacidad permanente parcial o invalidez).</w:t>
            </w:r>
          </w:p>
        </w:tc>
      </w:tr>
      <w:tr>
        <w:trPr>
          <w:cantSplit w:val="0"/>
          <w:tblHeader w:val="0"/>
        </w:trPr>
        <w:tc>
          <w:tcPr>
            <w:vAlign w:val="center"/>
          </w:tcPr>
          <w:p>
            <w:r>
              <w:t>Grave (G)</w:t>
            </w:r>
          </w:p>
        </w:tc>
        <w:tc>
          <w:tcPr>
            <w:vAlign w:val="center"/>
          </w:tcPr>
          <w:p>
            <w:r>
              <w:t>25</w:t>
            </w:r>
          </w:p>
        </w:tc>
        <w:tc>
          <w:tcPr>
            <w:vAlign w:val="center"/>
          </w:tcPr>
          <w:p>
            <w:r>
              <w:t>Lesiones o enfermedades con incapacidad laboral temporal (ILT).</w:t>
            </w:r>
          </w:p>
        </w:tc>
      </w:tr>
      <w:tr>
        <w:trPr>
          <w:cantSplit w:val="0"/>
          <w:tblHeader w:val="0"/>
        </w:trPr>
        <w:tc>
          <w:tcPr>
            <w:vAlign w:val="center"/>
          </w:tcPr>
          <w:p>
            <w:r>
              <w:t>Leve (L)</w:t>
            </w:r>
          </w:p>
        </w:tc>
        <w:tc>
          <w:tcPr>
            <w:vAlign w:val="center"/>
          </w:tcPr>
          <w:p>
            <w:r>
              <w:t>10</w:t>
            </w:r>
          </w:p>
        </w:tc>
        <w:tc>
          <w:tcPr>
            <w:vAlign w:val="center"/>
          </w:tcPr>
          <w:p>
            <w:r>
              <w:t>Lesiones o enfermedades que no requieren incapacidad.</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240" w:before="24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NOTA: Para evaluar el nivel de consecuencias, tenga en cuenta la consecuencia directa más grave que se pueda presentar en la actividad valorada.</w:t>
      </w:r>
    </w:p>
    <w:p w:rsidR="00000000" w:rsidDel="00000000" w:rsidP="00000000" w:rsidRDefault="00000000" w:rsidRPr="00000000" w14:paraId="00000106">
      <w:pPr>
        <w:spacing w:line="240" w:lineRule="auto"/>
        <w:jc w:val="both"/>
        <w:rPr>
          <w:rFonts w:ascii="Arial" w:cs="Arial" w:eastAsia="Arial" w:hAnsi="Arial"/>
          <w:sz w:val="24"/>
          <w:szCs w:val="24"/>
        </w:rPr>
      </w:pPr>
      <w:r>
        <w:t>Los resultados de las Tablas 6 y 7 se combinan en la Tabla 8 para obtener el nivel de riesgo, el cual se interpreta de acuerdo con los criterios de la Tabla 9.</w:t>
      </w:r>
    </w:p>
    <w:p w:rsidR="00000000" w:rsidDel="00000000" w:rsidP="00000000" w:rsidRDefault="00000000" w:rsidRPr="00000000" w14:paraId="00000107">
      <w:pPr>
        <w:rPr>
          <w:rFonts w:ascii="Arial" w:cs="Arial" w:eastAsia="Arial" w:hAnsi="Arial"/>
          <w:sz w:val="24"/>
          <w:szCs w:val="24"/>
        </w:rPr>
      </w:p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8. Determinación del Nivel de Riesgo.</w:t>
      </w:r>
    </w:p>
    <w:tbl>
      <w:tblPr>
        <w:tblStyle w:val="Table8"/>
        <w:tblW w:w="8847.0" w:type="dxa"/>
        <w:jc w:val="left"/>
        <w:tblInd w:w="-5.0" w:type="dxa"/>
        <w:tblLayout w:type="fixed"/>
        <w:tblLook w:val="0400"/>
      </w:tblPr>
      <w:tblGrid>
        <w:gridCol w:w="2277"/>
        <w:gridCol w:w="1314"/>
        <w:gridCol w:w="1314"/>
        <w:gridCol w:w="1314"/>
        <w:gridCol w:w="1314"/>
        <w:gridCol w:w="1314"/>
        <w:tblGridChange w:id="0">
          <w:tblGrid>
            <w:gridCol w:w="2277"/>
            <w:gridCol w:w="1314"/>
            <w:gridCol w:w="1314"/>
            <w:gridCol w:w="1314"/>
            <w:gridCol w:w="1314"/>
            <w:gridCol w:w="1314"/>
          </w:tblGrid>
        </w:tblGridChange>
      </w:tblGrid>
      <w:tr>
        <w:trPr>
          <w:cantSplit w:val="0"/>
          <w:trHeight w:val="341" w:hRule="atLeast"/>
          <w:tblHeader w:val="0"/>
        </w:trPr>
        <w:tc>
          <w:tcPr>
            <w:gridSpan w:val="6"/>
            <w:tcBorders>
              <w:top w:color="000000" w:space="0" w:sz="4" w:val="single"/>
              <w:left w:color="000000" w:space="0" w:sz="4" w:val="single"/>
              <w:bottom w:color="000000" w:space="0" w:sz="4" w:val="single"/>
              <w:right w:color="000000" w:space="0" w:sz="4" w:val="single"/>
            </w:tcBorders>
            <w:shd w:fill="ffe699" w:val="clear"/>
            <w:vAlign w:val="bottom"/>
          </w:tcPr>
          <w:p>
            <w:r>
              <w:t>TABLA VII. DETERMINACIÓN DEL NIVEL DE RIESGO</w:t>
            </w:r>
          </w:p>
        </w:tc>
      </w:tr>
      <w:tr>
        <w:trPr>
          <w:cantSplit w:val="0"/>
          <w:trHeight w:val="32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d9d9d9" w:val="clear"/>
            <w:vAlign w:val="bottom"/>
          </w:tcPr>
          <w:p>
            <w:r>
              <w:t xml:space="preserve">Nivel de riesgo </w:t>
              <w:br/>
              <w:t>NR = NP X NC</w:t>
            </w:r>
          </w:p>
        </w:tc>
        <w:tc>
          <w:tcPr>
            <w:gridSpan w:val="4"/>
            <w:tcBorders>
              <w:top w:color="000000" w:space="0" w:sz="4" w:val="single"/>
              <w:left w:color="000000" w:space="0" w:sz="0" w:val="nil"/>
              <w:bottom w:color="000000" w:space="0" w:sz="4" w:val="single"/>
              <w:right w:color="000000" w:space="0" w:sz="4" w:val="single"/>
            </w:tcBorders>
            <w:shd w:fill="d9d9d9" w:val="clear"/>
            <w:vAlign w:val="bottom"/>
          </w:tcPr>
          <w:p>
            <w:r>
              <w:t>Nivel de probabilidad (NP)</w:t>
            </w:r>
          </w:p>
        </w:tc>
      </w:tr>
      <w:tr>
        <w:trPr>
          <w:cantSplit w:val="0"/>
          <w:trHeight w:val="341"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bottom"/>
          </w:tcPr>
          <w:p>
            <w:r>
              <w:t>40 - 24</w:t>
            </w:r>
          </w:p>
        </w:tc>
        <w:tc>
          <w:tcPr>
            <w:tcBorders>
              <w:top w:color="000000" w:space="0" w:sz="0" w:val="nil"/>
              <w:left w:color="000000" w:space="0" w:sz="0" w:val="nil"/>
              <w:bottom w:color="000000" w:space="0" w:sz="4" w:val="single"/>
              <w:right w:color="000000" w:space="0" w:sz="4" w:val="single"/>
            </w:tcBorders>
            <w:shd w:fill="d9d9d9" w:val="clear"/>
            <w:vAlign w:val="bottom"/>
          </w:tcPr>
          <w:p>
            <w:r>
              <w:t>20 - 10</w:t>
            </w:r>
          </w:p>
        </w:tc>
        <w:tc>
          <w:tcPr>
            <w:tcBorders>
              <w:top w:color="000000" w:space="0" w:sz="0" w:val="nil"/>
              <w:left w:color="000000" w:space="0" w:sz="0" w:val="nil"/>
              <w:bottom w:color="000000" w:space="0" w:sz="4" w:val="single"/>
              <w:right w:color="000000" w:space="0" w:sz="4" w:val="single"/>
            </w:tcBorders>
            <w:shd w:fill="d9d9d9" w:val="clear"/>
            <w:vAlign w:val="bottom"/>
          </w:tcPr>
          <w:p>
            <w:r>
              <w:t>8 - 6.</w:t>
            </w:r>
          </w:p>
        </w:tc>
        <w:tc>
          <w:tcPr>
            <w:tcBorders>
              <w:top w:color="000000" w:space="0" w:sz="0" w:val="nil"/>
              <w:left w:color="000000" w:space="0" w:sz="0" w:val="nil"/>
              <w:bottom w:color="000000" w:space="0" w:sz="4" w:val="single"/>
              <w:right w:color="000000" w:space="0" w:sz="4" w:val="single"/>
            </w:tcBorders>
            <w:shd w:fill="d9d9d9" w:val="clear"/>
            <w:vAlign w:val="bottom"/>
          </w:tcPr>
          <w:p>
            <w:r>
              <w:t>4 - 2.</w:t>
            </w:r>
          </w:p>
        </w:tc>
      </w:tr>
      <w:tr>
        <w:trPr>
          <w:cantSplit w:val="0"/>
          <w:trHeight w:val="666"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
              <w:t>Nivel de consecuencias (NC)</w:t>
            </w:r>
          </w:p>
        </w:tc>
        <w:tc>
          <w:tcPr>
            <w:tcBorders>
              <w:top w:color="000000" w:space="0" w:sz="0" w:val="nil"/>
              <w:left w:color="000000" w:space="0" w:sz="0" w:val="nil"/>
              <w:bottom w:color="000000" w:space="0" w:sz="4" w:val="single"/>
              <w:right w:color="000000" w:space="0" w:sz="4" w:val="single"/>
            </w:tcBorders>
            <w:shd w:fill="auto" w:val="clear"/>
            <w:vAlign w:val="center"/>
          </w:tcPr>
          <w:p>
            <w:r>
              <w:t>100</w:t>
            </w:r>
          </w:p>
        </w:tc>
        <w:tc>
          <w:tcPr>
            <w:tcBorders>
              <w:top w:color="000000" w:space="0" w:sz="0" w:val="nil"/>
              <w:left w:color="000000" w:space="0" w:sz="0" w:val="nil"/>
              <w:bottom w:color="000000" w:space="0" w:sz="4" w:val="single"/>
              <w:right w:color="000000" w:space="0" w:sz="4" w:val="single"/>
            </w:tcBorders>
            <w:shd w:fill="ff0000" w:val="clear"/>
            <w:vAlign w:val="bottom"/>
          </w:tcPr>
          <w:p>
            <w:r>
              <w:t>I</w:t>
              <w:br/>
              <w:t>4000 - 2400</w:t>
            </w:r>
          </w:p>
        </w:tc>
        <w:tc>
          <w:tcPr>
            <w:tcBorders>
              <w:top w:color="000000" w:space="0" w:sz="0" w:val="nil"/>
              <w:left w:color="000000" w:space="0" w:sz="4" w:val="single"/>
              <w:bottom w:color="000000" w:space="0" w:sz="4" w:val="single"/>
              <w:right w:color="000000" w:space="0" w:sz="4" w:val="single"/>
            </w:tcBorders>
            <w:shd w:fill="ff0000" w:val="clear"/>
            <w:vAlign w:val="bottom"/>
          </w:tcPr>
          <w:p>
            <w:r>
              <w:t>I</w:t>
              <w:br/>
              <w:t>2000 - 1200</w:t>
            </w:r>
          </w:p>
        </w:tc>
        <w:tc>
          <w:tcPr>
            <w:tcBorders>
              <w:top w:color="000000" w:space="0" w:sz="0" w:val="nil"/>
              <w:left w:color="000000" w:space="0" w:sz="0" w:val="nil"/>
              <w:bottom w:color="000000" w:space="0" w:sz="4" w:val="single"/>
              <w:right w:color="000000" w:space="0" w:sz="4" w:val="single"/>
            </w:tcBorders>
            <w:shd w:fill="ff0000" w:val="clear"/>
            <w:vAlign w:val="bottom"/>
          </w:tcPr>
          <w:p>
            <w:r>
              <w:t>I</w:t>
              <w:br/>
              <w:t>800 - 600</w:t>
            </w:r>
          </w:p>
        </w:tc>
        <w:tc>
          <w:tcPr>
            <w:tcBorders>
              <w:top w:color="000000" w:space="0" w:sz="0" w:val="nil"/>
              <w:left w:color="000000" w:space="0" w:sz="0" w:val="nil"/>
              <w:bottom w:color="000000" w:space="0" w:sz="4" w:val="single"/>
              <w:right w:color="000000" w:space="0" w:sz="4" w:val="single"/>
            </w:tcBorders>
            <w:shd w:fill="ffff00" w:val="clear"/>
            <w:vAlign w:val="bottom"/>
          </w:tcPr>
          <w:p>
            <w:r>
              <w:t xml:space="preserve">II </w:t>
              <w:br/>
              <w:t>400 - 200</w:t>
            </w:r>
          </w:p>
        </w:tc>
      </w:tr>
      <w:tr>
        <w:trPr>
          <w:cantSplit w:val="0"/>
          <w:trHeight w:val="649"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
              <w:t>60</w:t>
            </w:r>
          </w:p>
        </w:tc>
        <w:tc>
          <w:tcPr>
            <w:tcBorders>
              <w:top w:color="000000" w:space="0" w:sz="4" w:val="single"/>
              <w:left w:color="000000" w:space="0" w:sz="0" w:val="nil"/>
              <w:bottom w:color="000000" w:space="0" w:sz="4" w:val="single"/>
              <w:right w:color="000000" w:space="0" w:sz="4" w:val="single"/>
            </w:tcBorders>
            <w:shd w:fill="ff0000" w:val="clear"/>
            <w:vAlign w:val="bottom"/>
          </w:tcPr>
          <w:p>
            <w:r>
              <w:t>I</w:t>
              <w:br/>
              <w:t>2400 - 1440</w:t>
            </w:r>
          </w:p>
        </w:tc>
        <w:tc>
          <w:tcPr>
            <w:tcBorders>
              <w:top w:color="000000" w:space="0" w:sz="0" w:val="nil"/>
              <w:left w:color="000000" w:space="0" w:sz="0" w:val="nil"/>
              <w:bottom w:color="000000" w:space="0" w:sz="4" w:val="single"/>
              <w:right w:color="000000" w:space="0" w:sz="4" w:val="single"/>
            </w:tcBorders>
            <w:shd w:fill="ff0000" w:val="clear"/>
            <w:vAlign w:val="bottom"/>
          </w:tcPr>
          <w:p>
            <w:r>
              <w:t>I</w:t>
              <w:br/>
              <w:t>1200 - 600</w:t>
            </w:r>
          </w:p>
        </w:tc>
        <w:tc>
          <w:tcPr>
            <w:tcBorders>
              <w:top w:color="000000" w:space="0" w:sz="0" w:val="nil"/>
              <w:left w:color="000000" w:space="0" w:sz="0" w:val="nil"/>
              <w:bottom w:color="000000" w:space="0" w:sz="4" w:val="single"/>
              <w:right w:color="000000" w:space="0" w:sz="4" w:val="single"/>
            </w:tcBorders>
            <w:shd w:fill="ffff00" w:val="clear"/>
            <w:vAlign w:val="bottom"/>
          </w:tcPr>
          <w:p>
            <w:r>
              <w:t>II</w:t>
              <w:br/>
              <w:t>480 - 360</w:t>
            </w:r>
          </w:p>
        </w:tc>
        <w:tc>
          <w:tcPr>
            <w:tcBorders>
              <w:top w:color="000000" w:space="0" w:sz="0" w:val="nil"/>
              <w:left w:color="000000" w:space="0" w:sz="0" w:val="nil"/>
              <w:bottom w:color="000000" w:space="0" w:sz="4" w:val="single"/>
              <w:right w:color="000000" w:space="0" w:sz="4" w:val="single"/>
            </w:tcBorders>
            <w:shd w:fill="auto" w:val="clear"/>
            <w:vAlign w:val="bottom"/>
          </w:tcPr>
          <w:p>
            <w:r>
              <w:t xml:space="preserve"> </w:t>
            </w:r>
          </w:p>
        </w:tc>
      </w:tr>
      <w:tr>
        <w:trPr>
          <w:cantSplit w:val="0"/>
          <w:trHeight w:val="584"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
              <w:t>25</w:t>
            </w:r>
          </w:p>
        </w:tc>
        <w:tc>
          <w:tcPr>
            <w:tcBorders>
              <w:top w:color="000000" w:space="0" w:sz="0" w:val="nil"/>
              <w:left w:color="000000" w:space="0" w:sz="0" w:val="nil"/>
              <w:bottom w:color="000000" w:space="0" w:sz="4" w:val="single"/>
              <w:right w:color="000000" w:space="0" w:sz="4" w:val="single"/>
            </w:tcBorders>
            <w:shd w:fill="ff0000" w:val="clear"/>
            <w:vAlign w:val="bottom"/>
          </w:tcPr>
          <w:p>
            <w:r>
              <w:t xml:space="preserve">I </w:t>
              <w:br/>
              <w:t>1000 - 600</w:t>
            </w:r>
          </w:p>
        </w:tc>
        <w:tc>
          <w:tcPr>
            <w:tcBorders>
              <w:top w:color="000000" w:space="0" w:sz="0" w:val="nil"/>
              <w:left w:color="000000" w:space="0" w:sz="0" w:val="nil"/>
              <w:bottom w:color="000000" w:space="0" w:sz="4" w:val="single"/>
              <w:right w:color="000000" w:space="0" w:sz="4" w:val="single"/>
            </w:tcBorders>
            <w:shd w:fill="ffff00" w:val="clear"/>
            <w:vAlign w:val="bottom"/>
          </w:tcPr>
          <w:p>
            <w:r>
              <w:t xml:space="preserve">II </w:t>
              <w:br/>
              <w:t>500 - 250</w:t>
            </w:r>
          </w:p>
        </w:tc>
        <w:tc>
          <w:tcPr>
            <w:tcBorders>
              <w:top w:color="000000" w:space="0" w:sz="0" w:val="nil"/>
              <w:left w:color="000000" w:space="0" w:sz="0" w:val="nil"/>
              <w:bottom w:color="000000" w:space="0" w:sz="4" w:val="single"/>
              <w:right w:color="000000" w:space="0" w:sz="4" w:val="single"/>
            </w:tcBorders>
            <w:shd w:fill="ffff00" w:val="clear"/>
            <w:vAlign w:val="bottom"/>
          </w:tcPr>
          <w:p>
            <w:r>
              <w:t>II</w:t>
              <w:br/>
              <w:t>200 - 150</w:t>
            </w:r>
          </w:p>
        </w:tc>
        <w:tc>
          <w:tcPr>
            <w:tcBorders>
              <w:top w:color="000000" w:space="0" w:sz="0" w:val="nil"/>
              <w:left w:color="000000" w:space="0" w:sz="0" w:val="nil"/>
              <w:bottom w:color="000000" w:space="0" w:sz="4" w:val="single"/>
              <w:right w:color="000000" w:space="0" w:sz="4" w:val="single"/>
            </w:tcBorders>
            <w:shd w:fill="00b050" w:val="clear"/>
            <w:vAlign w:val="bottom"/>
          </w:tcPr>
          <w:p>
            <w:r>
              <w:t xml:space="preserve">III </w:t>
              <w:br/>
              <w:t>100 - 50</w:t>
            </w:r>
          </w:p>
        </w:tc>
      </w:tr>
      <w:tr>
        <w:trPr>
          <w:cantSplit w:val="0"/>
          <w:trHeight w:val="682"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
              <w:t>10</w:t>
            </w:r>
          </w:p>
        </w:tc>
        <w:tc>
          <w:tcPr>
            <w:tcBorders>
              <w:top w:color="000000" w:space="0" w:sz="0" w:val="nil"/>
              <w:left w:color="000000" w:space="0" w:sz="0" w:val="nil"/>
              <w:bottom w:color="000000" w:space="0" w:sz="4" w:val="single"/>
              <w:right w:color="000000" w:space="0" w:sz="4" w:val="single"/>
            </w:tcBorders>
            <w:shd w:fill="ffff00" w:val="clear"/>
            <w:vAlign w:val="bottom"/>
          </w:tcPr>
          <w:p>
            <w:r>
              <w:t>II</w:t>
              <w:br/>
              <w:t>400 - 240</w:t>
            </w:r>
          </w:p>
        </w:tc>
        <w:tc>
          <w:tcPr>
            <w:tcBorders>
              <w:top w:color="000000" w:space="0" w:sz="0" w:val="nil"/>
              <w:left w:color="000000" w:space="0" w:sz="0" w:val="nil"/>
              <w:bottom w:color="000000" w:space="0" w:sz="4" w:val="single"/>
              <w:right w:color="000000" w:space="0" w:sz="4" w:val="single"/>
            </w:tcBorders>
            <w:shd w:fill="auto" w:val="clear"/>
            <w:vAlign w:val="bottom"/>
          </w:tcPr>
          <w:p>
            <w:r>
              <w:t xml:space="preserve"> </w:t>
            </w:r>
          </w:p>
        </w:tc>
        <w:tc>
          <w:tcPr>
            <w:tcBorders>
              <w:top w:color="000000" w:space="0" w:sz="0" w:val="nil"/>
              <w:left w:color="000000" w:space="0" w:sz="0" w:val="nil"/>
              <w:bottom w:color="000000" w:space="0" w:sz="4" w:val="single"/>
              <w:right w:color="000000" w:space="0" w:sz="4" w:val="single"/>
            </w:tcBorders>
            <w:shd w:fill="00b050" w:val="clear"/>
            <w:vAlign w:val="bottom"/>
          </w:tcPr>
          <w:p>
            <w:r>
              <w:t xml:space="preserve">III </w:t>
              <w:br/>
              <w:t>80 - 60</w:t>
            </w:r>
          </w:p>
        </w:tc>
        <w:tc>
          <w:tcPr>
            <w:tcBorders>
              <w:top w:color="000000" w:space="0" w:sz="0" w:val="nil"/>
              <w:left w:color="000000" w:space="0" w:sz="0" w:val="nil"/>
              <w:bottom w:color="000000" w:space="0" w:sz="4" w:val="single"/>
              <w:right w:color="000000" w:space="0" w:sz="4" w:val="single"/>
            </w:tcBorders>
            <w:shd w:fill="00b050" w:val="clear"/>
            <w:vAlign w:val="bottom"/>
          </w:tcPr>
          <w:p>
            <w:r>
              <w:t xml:space="preserve"> </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12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t>Tabla 9. Significado del Nivel de Riesgo.</w:t>
      </w:r>
    </w:p>
    <w:tbl>
      <w:tblPr>
        <w:tblStyle w:val="Table9"/>
        <w:tblW w:w="893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1632"/>
        <w:gridCol w:w="5172"/>
        <w:tblGridChange w:id="0">
          <w:tblGrid>
            <w:gridCol w:w="2127"/>
            <w:gridCol w:w="1632"/>
            <w:gridCol w:w="5172"/>
          </w:tblGrid>
        </w:tblGridChange>
      </w:tblGrid>
      <w:tr>
        <w:trPr>
          <w:cantSplit w:val="0"/>
          <w:tblHeader w:val="0"/>
        </w:trPr>
        <w:tc>
          <w:tcPr>
            <w:shd w:fill="d9d9d9" w:val="clear"/>
            <w:vAlign w:val="center"/>
          </w:tcPr>
          <w:p>
            <w:r>
              <w:t>NIVEL DE RIESGO</w:t>
            </w:r>
          </w:p>
        </w:tc>
        <w:tc>
          <w:tcPr>
            <w:shd w:fill="d9d9d9" w:val="clear"/>
            <w:vAlign w:val="center"/>
          </w:tcPr>
          <w:p>
            <w:r>
              <w:t>VALOR DE NR</w:t>
            </w:r>
          </w:p>
        </w:tc>
        <w:tc>
          <w:tcPr>
            <w:shd w:fill="d9d9d9" w:val="clear"/>
            <w:vAlign w:val="center"/>
          </w:tcPr>
          <w:p>
            <w:r>
              <w:t>SIGNIFICADO</w:t>
            </w:r>
          </w:p>
        </w:tc>
      </w:tr>
      <w:tr>
        <w:trPr>
          <w:cantSplit w:val="0"/>
          <w:trHeight w:val="504" w:hRule="atLeast"/>
          <w:tblHeader w:val="0"/>
        </w:trPr>
        <w:tc>
          <w:tcPr>
            <w:shd w:fill="auto" w:val="clear"/>
            <w:vAlign w:val="center"/>
          </w:tcPr>
          <w:p>
            <w:r>
              <w:t>I</w:t>
            </w:r>
          </w:p>
        </w:tc>
        <w:tc>
          <w:tcPr>
            <w:shd w:fill="auto" w:val="clear"/>
            <w:vAlign w:val="center"/>
          </w:tcPr>
          <w:p>
            <w:r>
              <w:t>4000 – 6000</w:t>
            </w:r>
          </w:p>
        </w:tc>
        <w:tc>
          <w:tcPr>
            <w:shd w:fill="auto" w:val="clear"/>
            <w:vAlign w:val="center"/>
          </w:tcPr>
          <w:p>
            <w:r>
              <w:t>Situación crítica. Suspender actividades hasta que el riesgo esté bajo control. Intervención urgente.</w:t>
            </w:r>
          </w:p>
        </w:tc>
      </w:tr>
      <w:tr>
        <w:trPr>
          <w:cantSplit w:val="0"/>
          <w:trHeight w:val="270" w:hRule="atLeast"/>
          <w:tblHeader w:val="0"/>
        </w:trPr>
        <w:tc>
          <w:tcPr>
            <w:shd w:fill="auto" w:val="clear"/>
            <w:vAlign w:val="center"/>
          </w:tcPr>
          <w:p>
            <w:r>
              <w:t>II</w:t>
            </w:r>
          </w:p>
        </w:tc>
        <w:tc>
          <w:tcPr>
            <w:shd w:fill="auto" w:val="clear"/>
            <w:vAlign w:val="center"/>
          </w:tcPr>
          <w:p>
            <w:r>
              <w:t>500 – 150</w:t>
            </w:r>
          </w:p>
        </w:tc>
        <w:tc>
          <w:tcPr>
            <w:shd w:fill="auto" w:val="clear"/>
            <w:vAlign w:val="center"/>
          </w:tcPr>
          <w:p>
            <w:r>
              <w:t>Corregir y adoptar medidas de control de inmediato</w:t>
            </w:r>
          </w:p>
        </w:tc>
      </w:tr>
      <w:tr>
        <w:trPr>
          <w:cantSplit w:val="0"/>
          <w:trHeight w:val="571" w:hRule="atLeast"/>
          <w:tblHeader w:val="0"/>
        </w:trPr>
        <w:tc>
          <w:tcPr>
            <w:shd w:fill="auto" w:val="clear"/>
            <w:vAlign w:val="center"/>
          </w:tcPr>
          <w:p>
            <w:r>
              <w:t>III</w:t>
            </w:r>
          </w:p>
        </w:tc>
        <w:tc>
          <w:tcPr>
            <w:shd w:fill="auto" w:val="clear"/>
            <w:vAlign w:val="center"/>
          </w:tcPr>
          <w:p>
            <w:r>
              <w:t>120 – 40</w:t>
            </w:r>
          </w:p>
        </w:tc>
        <w:tc>
          <w:tcPr>
            <w:shd w:fill="auto" w:val="clear"/>
            <w:vAlign w:val="center"/>
          </w:tcPr>
          <w:p>
            <w:r>
              <w:t>Mejorar si es posible. Sería conveniente justificar la intervención y su rentabilidad.</w:t>
            </w:r>
          </w:p>
        </w:tc>
      </w:tr>
      <w:tr>
        <w:trPr>
          <w:cantSplit w:val="0"/>
          <w:tblHeader w:val="0"/>
        </w:trPr>
        <w:tc>
          <w:tcPr>
            <w:shd w:fill="auto" w:val="clear"/>
            <w:vAlign w:val="center"/>
          </w:tcPr>
          <w:p>
            <w:r>
              <w:t>IV</w:t>
            </w:r>
          </w:p>
        </w:tc>
        <w:tc>
          <w:tcPr>
            <w:shd w:fill="auto" w:val="clear"/>
            <w:vAlign w:val="center"/>
          </w:tcPr>
          <w:p>
            <w:r>
              <w:t>20</w:t>
            </w:r>
          </w:p>
        </w:tc>
        <w:tc>
          <w:tcPr>
            <w:shd w:fill="auto" w:val="clear"/>
            <w:vAlign w:val="center"/>
          </w:tcPr>
          <w:p>
            <w:r>
              <w:t>Mantener las medidas de control existentes, pero se deberían considerar soluciones o mejoras y se deben hacer comprobaciones periódicas para asegurar que el riesgo aún es aceptable.</w:t>
            </w:r>
          </w:p>
        </w:tc>
      </w:tr>
    </w:tbl>
    <w:p w:rsidR="00000000" w:rsidDel="00000000" w:rsidP="00000000" w:rsidRDefault="00000000" w:rsidRPr="00000000" w14:paraId="00000143">
      <w:pPr>
        <w:spacing w:before="240" w:line="240" w:lineRule="auto"/>
        <w:jc w:val="both"/>
        <w:rPr>
          <w:rFonts w:ascii="Arial" w:cs="Arial" w:eastAsia="Arial" w:hAnsi="Arial"/>
          <w:b w:val="1"/>
          <w:bCs w:val="1"/>
          <w:sz w:val="24"/>
          <w:szCs w:val="24"/>
        </w:rPr>
      </w:pPr>
      <w:r>
        <w:t>c. Decidir si el riesgo es aceptable o No.</w:t>
      </w:r>
    </w:p>
    <w:p w:rsidR="00000000" w:rsidDel="00000000" w:rsidP="00000000" w:rsidRDefault="00000000" w:rsidRPr="00000000" w14:paraId="00000144">
      <w:pPr>
        <w:spacing w:line="240" w:lineRule="auto"/>
        <w:jc w:val="both"/>
        <w:rPr>
          <w:rFonts w:ascii="Arial" w:cs="Arial" w:eastAsia="Arial" w:hAnsi="Arial"/>
          <w:sz w:val="24"/>
          <w:szCs w:val="24"/>
        </w:rPr>
      </w:pPr>
      <w:r>
        <w:t>Una vez determinado el nivel de riesgo, la empresa debe decidir cuáles riesgos son aceptables y cuáles no mediante los criterios de aceptabilidad que aparecen en la Tabla 10.</w:t>
      </w:r>
    </w:p>
    <w:p w:rsidR="00000000" w:rsidDel="00000000" w:rsidP="00000000" w:rsidRDefault="00000000" w:rsidRPr="00000000" w14:paraId="00000145">
      <w:pPr>
        <w:rPr>
          <w:rFonts w:ascii="Arial" w:cs="Arial" w:eastAsia="Arial" w:hAnsi="Arial"/>
          <w:sz w:val="24"/>
          <w:szCs w:val="24"/>
        </w:rPr>
      </w:p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s>
        <w:spacing w:after="1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t>Tabla 10. Aceptabilidad del Riesgo.</w:t>
      </w:r>
    </w:p>
    <w:tbl>
      <w:tblPr>
        <w:tblStyle w:val="Table10"/>
        <w:tblpPr w:leftFromText="141" w:rightFromText="141" w:topFromText="0" w:bottomFromText="0" w:vertAnchor="text" w:horzAnchor="text" w:tblpX="792.0000000000016" w:tblpY="23"/>
        <w:tblW w:w="8045.999999999999"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93"/>
        <w:gridCol w:w="5953"/>
        <w:tblGridChange w:id="0">
          <w:tblGrid>
            <w:gridCol w:w="2093"/>
            <w:gridCol w:w="5953"/>
          </w:tblGrid>
        </w:tblGridChange>
      </w:tblGrid>
      <w:tr>
        <w:trPr>
          <w:cantSplit w:val="0"/>
          <w:tblHeader w:val="0"/>
        </w:trPr>
        <w:tc>
          <w:tcPr>
            <w:shd w:fill="d9d9d9" w:val="clear"/>
            <w:vAlign w:val="center"/>
          </w:tcPr>
          <w:p>
            <w:r>
              <w:t>NIVEL DE RIESGO</w:t>
            </w:r>
          </w:p>
        </w:tc>
        <w:tc>
          <w:tcPr>
            <w:shd w:fill="d9d9d9" w:val="clear"/>
            <w:vAlign w:val="center"/>
          </w:tcPr>
          <w:p>
            <w:r>
              <w:t>SIGNIFICADO</w:t>
            </w:r>
          </w:p>
        </w:tc>
      </w:tr>
      <w:tr>
        <w:trPr>
          <w:cantSplit w:val="0"/>
          <w:trHeight w:val="309" w:hRule="atLeast"/>
          <w:tblHeader w:val="0"/>
        </w:trPr>
        <w:tc>
          <w:tcPr>
            <w:shd w:fill="auto" w:val="clear"/>
            <w:vAlign w:val="center"/>
          </w:tcPr>
          <w:p>
            <w:r>
              <w:t>I</w:t>
            </w:r>
          </w:p>
        </w:tc>
        <w:tc>
          <w:tcPr>
            <w:shd w:fill="auto" w:val="clear"/>
            <w:vAlign w:val="center"/>
          </w:tcPr>
          <w:p>
            <w:r>
              <w:t>No Aceptable. Situación crítica, corrección urgente.</w:t>
            </w:r>
          </w:p>
        </w:tc>
      </w:tr>
      <w:tr>
        <w:trPr>
          <w:cantSplit w:val="0"/>
          <w:tblHeader w:val="0"/>
        </w:trPr>
        <w:tc>
          <w:tcPr>
            <w:shd w:fill="auto" w:val="clear"/>
            <w:vAlign w:val="center"/>
          </w:tcPr>
          <w:p>
            <w:r>
              <w:t>II</w:t>
            </w:r>
          </w:p>
        </w:tc>
        <w:tc>
          <w:tcPr>
            <w:shd w:fill="auto" w:val="clear"/>
            <w:vAlign w:val="center"/>
          </w:tcPr>
          <w:p>
            <w:r>
              <w:t>Aceptable con control especifico. Corregir o adoptar medidas de control.</w:t>
            </w:r>
          </w:p>
        </w:tc>
      </w:tr>
      <w:tr>
        <w:trPr>
          <w:cantSplit w:val="0"/>
          <w:trHeight w:val="337" w:hRule="atLeast"/>
          <w:tblHeader w:val="0"/>
        </w:trPr>
        <w:tc>
          <w:tcPr>
            <w:shd w:fill="auto" w:val="clear"/>
            <w:vAlign w:val="center"/>
          </w:tcPr>
          <w:p>
            <w:r>
              <w:t>III</w:t>
            </w:r>
          </w:p>
        </w:tc>
        <w:tc>
          <w:tcPr>
            <w:shd w:fill="auto" w:val="clear"/>
            <w:vAlign w:val="center"/>
          </w:tcPr>
          <w:p>
            <w:r>
              <w:t>Aceptable. Mejorar el control existente de ser posible.</w:t>
            </w:r>
          </w:p>
        </w:tc>
      </w:tr>
      <w:tr>
        <w:trPr>
          <w:cantSplit w:val="0"/>
          <w:tblHeader w:val="0"/>
        </w:trPr>
        <w:tc>
          <w:tcPr>
            <w:shd w:fill="auto" w:val="clear"/>
            <w:vAlign w:val="center"/>
          </w:tcPr>
          <w:p>
            <w:r>
              <w:t>IV</w:t>
            </w:r>
          </w:p>
        </w:tc>
        <w:tc>
          <w:tcPr>
            <w:shd w:fill="auto" w:val="clear"/>
            <w:vAlign w:val="center"/>
          </w:tcPr>
          <w:p>
            <w:r>
              <w:t>Aceptable. No intervenir, salvo que un análisis más preciso lo justifique.</w:t>
            </w:r>
          </w:p>
        </w:tc>
      </w:tr>
    </w:tbl>
    <w:p w:rsidR="00000000" w:rsidDel="00000000" w:rsidP="00000000" w:rsidRDefault="00000000" w:rsidRPr="00000000" w14:paraId="00000151">
      <w:pPr>
        <w:spacing w:line="240" w:lineRule="auto"/>
        <w:jc w:val="both"/>
        <w:rPr>
          <w:rFonts w:ascii="Arial" w:cs="Arial" w:eastAsia="Arial" w:hAnsi="Arial"/>
          <w:b w:val="1"/>
          <w:bCs w:val="1"/>
          <w:sz w:val="24"/>
          <w:szCs w:val="24"/>
        </w:rPr>
      </w:pPr>
      <w:r/>
    </w:p>
    <w:p w:rsidR="00000000" w:rsidDel="00000000" w:rsidP="00000000" w:rsidRDefault="00000000" w:rsidRPr="00000000" w14:paraId="00000152">
      <w:pPr>
        <w:spacing w:line="240" w:lineRule="auto"/>
        <w:rPr>
          <w:rFonts w:ascii="Arial" w:cs="Arial" w:eastAsia="Arial" w:hAnsi="Arial"/>
          <w:b w:val="1"/>
          <w:bCs w:val="1"/>
          <w:sz w:val="24"/>
          <w:szCs w:val="24"/>
        </w:rPr>
      </w:pPr>
      <w:r/>
    </w:p>
    <w:p w:rsidR="00000000" w:rsidDel="00000000" w:rsidP="00000000" w:rsidRDefault="00000000" w:rsidRPr="00000000" w14:paraId="00000153">
      <w:pPr>
        <w:spacing w:line="240" w:lineRule="auto"/>
        <w:rPr>
          <w:rFonts w:ascii="Arial" w:cs="Arial" w:eastAsia="Arial" w:hAnsi="Arial"/>
          <w:sz w:val="24"/>
          <w:szCs w:val="24"/>
        </w:rPr>
      </w:pPr>
      <w:r/>
    </w:p>
    <w:p w:rsidR="00000000" w:rsidDel="00000000" w:rsidP="00000000" w:rsidRDefault="00000000" w:rsidRPr="00000000" w14:paraId="00000154">
      <w:pPr>
        <w:spacing w:line="240" w:lineRule="auto"/>
        <w:rPr>
          <w:rFonts w:ascii="Arial" w:cs="Arial" w:eastAsia="Arial" w:hAnsi="Arial"/>
          <w:b w:val="1"/>
          <w:bCs w:val="1"/>
          <w:sz w:val="24"/>
          <w:szCs w:val="24"/>
        </w:rPr>
      </w:pPr>
      <w:r/>
    </w:p>
    <w:p w:rsidR="00000000" w:rsidDel="00000000" w:rsidP="00000000" w:rsidRDefault="00000000" w:rsidRPr="00000000" w14:paraId="00000155">
      <w:pPr>
        <w:spacing w:line="240" w:lineRule="auto"/>
        <w:rPr>
          <w:rFonts w:ascii="Arial" w:cs="Arial" w:eastAsia="Arial" w:hAnsi="Arial"/>
          <w:b w:val="1"/>
          <w:bCs w:val="1"/>
          <w:sz w:val="24"/>
          <w:szCs w:val="24"/>
        </w:rPr>
      </w:pPr>
      <w:r/>
    </w:p>
    <w:p w:rsidR="00000000" w:rsidDel="00000000" w:rsidP="00000000" w:rsidRDefault="00000000" w:rsidRPr="00000000" w14:paraId="00000156">
      <w:pPr>
        <w:spacing w:line="240" w:lineRule="auto"/>
        <w:rPr>
          <w:rFonts w:ascii="Arial" w:cs="Arial" w:eastAsia="Arial" w:hAnsi="Arial"/>
          <w:b w:val="1"/>
          <w:bCs w:val="1"/>
          <w:sz w:val="24"/>
          <w:szCs w:val="24"/>
        </w:rPr>
      </w:pPr>
      <w:r/>
    </w:p>
    <w:p w:rsidR="00000000" w:rsidDel="00000000" w:rsidP="00000000" w:rsidRDefault="00000000" w:rsidRPr="00000000" w14:paraId="000001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ELABORAR EL PLAN DE ACCIÓN PARA EL CONTROL DE LOS RIESGOS.</w:t>
      </w:r>
    </w:p>
    <w:p w:rsidR="00000000" w:rsidDel="00000000" w:rsidP="00000000" w:rsidRDefault="00000000" w:rsidRPr="00000000" w14:paraId="00000158">
      <w:pPr>
        <w:spacing w:line="240" w:lineRule="auto"/>
        <w:jc w:val="both"/>
        <w:rPr>
          <w:rFonts w:ascii="Arial" w:cs="Arial" w:eastAsia="Arial" w:hAnsi="Arial"/>
          <w:sz w:val="24"/>
          <w:szCs w:val="24"/>
        </w:rPr>
      </w:pPr>
      <w:r>
        <w:t xml:space="preserve">Los niveles de riesgo, como se muestra en la Tabla 9 forman la base para decidir si se requiere mejorar los controles y el plazo para la acción. Igualmente muestra el tipo de control y la urgencia que se debería proporcionar al control del riesgo. </w:t>
      </w:r>
    </w:p>
    <w:p w:rsidR="00000000" w:rsidDel="00000000" w:rsidP="00000000" w:rsidRDefault="00000000" w:rsidRPr="00000000" w14:paraId="000001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CRITERIOS PARA ESTABLECER CONTROLES.</w:t>
      </w:r>
    </w:p>
    <w:p w:rsidR="00000000" w:rsidDel="00000000" w:rsidP="00000000" w:rsidRDefault="00000000" w:rsidRPr="00000000" w14:paraId="0000015A">
      <w:pPr>
        <w:spacing w:line="240" w:lineRule="auto"/>
        <w:jc w:val="both"/>
        <w:rPr>
          <w:rFonts w:ascii="Arial" w:cs="Arial" w:eastAsia="Arial" w:hAnsi="Arial"/>
          <w:sz w:val="24"/>
          <w:szCs w:val="24"/>
        </w:rPr>
      </w:pPr>
      <w:r>
        <w:t>La empresa establece los siguientes criterios para priorizar sus controles:</w:t>
      </w:r>
    </w:p>
    <w:p w:rsidR="00000000" w:rsidDel="00000000" w:rsidP="00000000" w:rsidRDefault="00000000" w:rsidRPr="00000000" w14:paraId="0000015B">
      <w:pPr>
        <w:numPr>
          <w:ilvl w:val="0"/>
          <w:numId w:val="8"/>
        </w:numPr>
        <w:spacing w:line="240" w:lineRule="auto"/>
        <w:ind w:left="284" w:hanging="284"/>
        <w:jc w:val="both"/>
        <w:rPr>
          <w:rFonts w:ascii="Arial" w:cs="Arial" w:eastAsia="Arial" w:hAnsi="Arial"/>
          <w:sz w:val="24"/>
          <w:szCs w:val="24"/>
        </w:rPr>
      </w:pPr>
      <w:r>
        <w:t>Número de trabajadores expuestos: importante tenerlo en cuenta para identificar el alcance del control que se va a implementar.</w:t>
      </w:r>
    </w:p>
    <w:p w:rsidR="00000000" w:rsidDel="00000000" w:rsidP="00000000" w:rsidRDefault="00000000" w:rsidRPr="00000000" w14:paraId="0000015C">
      <w:pPr>
        <w:numPr>
          <w:ilvl w:val="0"/>
          <w:numId w:val="8"/>
        </w:numPr>
        <w:spacing w:line="240" w:lineRule="auto"/>
        <w:ind w:left="284" w:hanging="284"/>
        <w:jc w:val="both"/>
        <w:rPr>
          <w:rFonts w:ascii="Arial" w:cs="Arial" w:eastAsia="Arial" w:hAnsi="Arial"/>
          <w:sz w:val="24"/>
          <w:szCs w:val="24"/>
        </w:rPr>
      </w:pPr>
      <w:r>
        <w:t>Peor consecuencia: aunque se han identificado los efectos posibles, se debe tener en cuenta que el control que se va a implementar evite siempre la peor consecuencia al estar expuesto al riesgo.</w:t>
      </w:r>
    </w:p>
    <w:p w:rsidR="00000000" w:rsidDel="00000000" w:rsidP="00000000" w:rsidRDefault="00000000" w:rsidRPr="00000000" w14:paraId="0000015D">
      <w:pPr>
        <w:numPr>
          <w:ilvl w:val="0"/>
          <w:numId w:val="8"/>
        </w:numPr>
        <w:spacing w:line="240" w:lineRule="auto"/>
        <w:ind w:left="284" w:hanging="284"/>
        <w:jc w:val="both"/>
        <w:rPr>
          <w:rFonts w:ascii="Arial" w:cs="Arial" w:eastAsia="Arial" w:hAnsi="Arial"/>
          <w:b w:val="1"/>
          <w:bCs w:val="1"/>
          <w:sz w:val="24"/>
          <w:szCs w:val="24"/>
        </w:rPr>
      </w:pPr>
      <w:r>
        <w:t>Existencia requisito legal asociado: la empresa podría establecer si existe o no un requisito legal específico a la tarea que se está evaluando para tener parámetros de priorización en la implementación de las medidas de intervención.</w:t>
      </w:r>
    </w:p>
    <w:p w:rsidR="00000000" w:rsidDel="00000000" w:rsidP="00000000" w:rsidRDefault="00000000" w:rsidRPr="00000000" w14:paraId="000001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MEDIDAS DE INTERVENCIÓN.</w:t>
      </w:r>
    </w:p>
    <w:p w:rsidR="00000000" w:rsidDel="00000000" w:rsidP="00000000" w:rsidRDefault="00000000" w:rsidRPr="00000000" w14:paraId="0000015F">
      <w:pPr>
        <w:spacing w:line="240" w:lineRule="auto"/>
        <w:jc w:val="both"/>
        <w:rPr>
          <w:rFonts w:ascii="Arial" w:cs="Arial" w:eastAsia="Arial" w:hAnsi="Arial"/>
          <w:sz w:val="24"/>
          <w:szCs w:val="24"/>
        </w:rPr>
      </w:pPr>
      <w:r>
        <w:t>A continuación se presenta la jerarquía que la empresa debe tener en cuenta al implementar medidas de intervención:</w:t>
      </w:r>
    </w:p>
    <w:p w:rsidR="00000000" w:rsidDel="00000000" w:rsidP="00000000" w:rsidRDefault="00000000" w:rsidRPr="00000000" w14:paraId="00000160">
      <w:pPr>
        <w:numPr>
          <w:ilvl w:val="0"/>
          <w:numId w:val="9"/>
        </w:numPr>
        <w:spacing w:line="240" w:lineRule="auto"/>
        <w:ind w:left="284" w:hanging="284"/>
        <w:jc w:val="both"/>
        <w:rPr>
          <w:rFonts w:ascii="Arial" w:cs="Arial" w:eastAsia="Arial" w:hAnsi="Arial"/>
          <w:sz w:val="24"/>
          <w:szCs w:val="24"/>
        </w:rPr>
      </w:pPr>
      <w:r>
        <w:t>Eliminación: modificar un diseño para eliminar el peligro.</w:t>
      </w:r>
    </w:p>
    <w:p w:rsidR="00000000" w:rsidDel="00000000" w:rsidP="00000000" w:rsidRDefault="00000000" w:rsidRPr="00000000" w14:paraId="00000161">
      <w:pPr>
        <w:numPr>
          <w:ilvl w:val="0"/>
          <w:numId w:val="9"/>
        </w:numPr>
        <w:spacing w:line="240" w:lineRule="auto"/>
        <w:ind w:left="284" w:hanging="284"/>
        <w:jc w:val="both"/>
        <w:rPr>
          <w:rFonts w:ascii="Arial" w:cs="Arial" w:eastAsia="Arial" w:hAnsi="Arial"/>
          <w:sz w:val="24"/>
          <w:szCs w:val="24"/>
        </w:rPr>
      </w:pPr>
      <w:r>
        <w:t>Sustitución: sustituir por un material menos peligroso o reducir la energía del sistema.</w:t>
      </w:r>
    </w:p>
    <w:p w:rsidR="00000000" w:rsidDel="00000000" w:rsidP="00000000" w:rsidRDefault="00000000" w:rsidRPr="00000000" w14:paraId="00000162">
      <w:pPr>
        <w:numPr>
          <w:ilvl w:val="0"/>
          <w:numId w:val="9"/>
        </w:numPr>
        <w:spacing w:line="240" w:lineRule="auto"/>
        <w:ind w:left="284" w:hanging="284"/>
        <w:jc w:val="both"/>
        <w:rPr>
          <w:rFonts w:ascii="Arial" w:cs="Arial" w:eastAsia="Arial" w:hAnsi="Arial"/>
          <w:sz w:val="24"/>
          <w:szCs w:val="24"/>
        </w:rPr>
      </w:pPr>
      <w:r>
        <w:t>Controles de ingeniería: instalar sistemas de ventilación, protección para las máquinas, enclavamiento, cerramientos acústicos, etc.</w:t>
      </w:r>
    </w:p>
    <w:p w:rsidR="00000000" w:rsidDel="00000000" w:rsidP="00000000" w:rsidRDefault="00000000" w:rsidRPr="00000000" w14:paraId="00000163">
      <w:pPr>
        <w:numPr>
          <w:ilvl w:val="0"/>
          <w:numId w:val="9"/>
        </w:numPr>
        <w:spacing w:line="240" w:lineRule="auto"/>
        <w:ind w:left="284" w:hanging="284"/>
        <w:jc w:val="both"/>
        <w:rPr>
          <w:rFonts w:ascii="Arial" w:cs="Arial" w:eastAsia="Arial" w:hAnsi="Arial"/>
          <w:sz w:val="24"/>
          <w:szCs w:val="24"/>
        </w:rPr>
      </w:pPr>
      <w:r>
        <w:t>Señalización, advertencias o controles administrativos: instalación de alarmas, procedimientos de seguridad, inspecciones de los equipos, controles de acceso, capacitación del personal.</w:t>
      </w:r>
    </w:p>
    <w:p w:rsidR="00000000" w:rsidDel="00000000" w:rsidP="00000000" w:rsidRDefault="00000000" w:rsidRPr="00000000" w14:paraId="00000164">
      <w:pPr>
        <w:numPr>
          <w:ilvl w:val="0"/>
          <w:numId w:val="9"/>
        </w:numPr>
        <w:spacing w:line="240" w:lineRule="auto"/>
        <w:ind w:left="284" w:hanging="284"/>
        <w:jc w:val="both"/>
        <w:rPr>
          <w:rFonts w:ascii="Arial" w:cs="Arial" w:eastAsia="Arial" w:hAnsi="Arial"/>
          <w:sz w:val="24"/>
          <w:szCs w:val="24"/>
        </w:rPr>
      </w:pPr>
      <w:r>
        <w:t>Equipos / elementos de protección personal: gafas de seguridad, protección auditiva, máscaras faciales, sistemas de detención de caídas, respiradores y guantes.</w:t>
      </w:r>
    </w:p>
    <w:p w:rsidR="00000000" w:rsidDel="00000000" w:rsidP="00000000" w:rsidRDefault="00000000" w:rsidRPr="00000000" w14:paraId="000001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REVISAR LA CONVENIENCIA DEL PLAN DE ACCIÓN.</w:t>
      </w:r>
    </w:p>
    <w:p w:rsidR="00000000" w:rsidDel="00000000" w:rsidP="00000000" w:rsidRDefault="00000000" w:rsidRPr="00000000" w14:paraId="00000166">
      <w:pPr>
        <w:spacing w:line="240" w:lineRule="auto"/>
        <w:jc w:val="both"/>
        <w:rPr>
          <w:rFonts w:ascii="Arial" w:cs="Arial" w:eastAsia="Arial" w:hAnsi="Arial"/>
          <w:sz w:val="24"/>
          <w:szCs w:val="24"/>
        </w:rPr>
      </w:pPr>
      <w:r>
        <w:t>La empresa debe revisar el plan de acción semestralmente y garantizar que la valoración de los riesgos y el establecimiento de criterios son correctos y la ejecución del proceso es eficaz.</w:t>
      </w:r>
    </w:p>
    <w:p w:rsidR="00000000" w:rsidDel="00000000" w:rsidP="00000000" w:rsidRDefault="00000000" w:rsidRPr="00000000" w14:paraId="000001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t>MANTENIMIENTO Y ACTUALIZACIÓN.</w:t>
      </w:r>
    </w:p>
    <w:p w:rsidR="00000000" w:rsidDel="00000000" w:rsidP="00000000" w:rsidRDefault="00000000" w:rsidRPr="00000000" w14:paraId="00000168">
      <w:pPr>
        <w:spacing w:line="240" w:lineRule="auto"/>
        <w:jc w:val="both"/>
        <w:rPr>
          <w:rFonts w:ascii="Arial" w:cs="Arial" w:eastAsia="Arial" w:hAnsi="Arial"/>
          <w:sz w:val="24"/>
          <w:szCs w:val="24"/>
        </w:rPr>
      </w:pPr>
      <w:r>
        <w:t>Siempre que no exista una periodicidad establecida legalmente, la revisión de la evaluación de riesgos se realiza anualmente o cada vez que ocurra un incidente, accidente y/o enfermedad laboral.</w:t>
      </w:r>
    </w:p>
    <w:p w:rsidR="00000000" w:rsidDel="00000000" w:rsidP="00000000" w:rsidRDefault="00000000" w:rsidRPr="00000000" w14:paraId="00000169">
      <w:pPr>
        <w:spacing w:line="240" w:lineRule="auto"/>
        <w:jc w:val="both"/>
        <w:rPr>
          <w:rFonts w:ascii="Arial" w:cs="Arial" w:eastAsia="Arial" w:hAnsi="Arial"/>
          <w:sz w:val="24"/>
          <w:szCs w:val="24"/>
        </w:rPr>
      </w:pPr>
      <w:r>
        <w:t>Independientemente de la periodicidad establecida, la evaluación de riesgos se aplica cuando se presenta alguna circunstancias establecidas legalmente, un cambio en las condiciones de trabajo; introducción de nuevas tecnologías, equipos de trabajo, sustancias o preparados químicos; daños o anomalías en la salud de los trabajadores; incorporación de trabajadores especialmente sensibles o cuando  lo crea conveniente por alguna razón justificada; teniendo en cuenta lo descrito en el presente procedimiento.</w:t>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t xml:space="preserve">DOCUMENTAR EL SEGUIMIENTO </w:t>
      </w:r>
    </w:p>
    <w:p w:rsidR="00000000" w:rsidDel="00000000" w:rsidP="00000000" w:rsidRDefault="00000000" w:rsidRPr="00000000" w14:paraId="0000016B">
      <w:pPr>
        <w:spacing w:line="240" w:lineRule="auto"/>
        <w:jc w:val="both"/>
        <w:rPr>
          <w:rFonts w:ascii="Arial" w:cs="Arial" w:eastAsia="Arial" w:hAnsi="Arial"/>
          <w:sz w:val="24"/>
          <w:szCs w:val="24"/>
        </w:rPr>
      </w:pPr>
      <w:r>
        <w:t>Fecha: 02/02/2026</w:t>
      </w:r>
    </w:p>
    <w:p w:rsidR="00000000" w:rsidDel="00000000" w:rsidP="00000000" w:rsidRDefault="00000000" w:rsidRPr="00000000" w14:paraId="0000016C">
      <w:pPr>
        <w:spacing w:line="240" w:lineRule="auto"/>
        <w:jc w:val="both"/>
        <w:rPr>
          <w:rFonts w:ascii="Arial" w:cs="Arial" w:eastAsia="Arial" w:hAnsi="Arial"/>
          <w:sz w:val="24"/>
          <w:szCs w:val="24"/>
        </w:rPr>
      </w:pPr>
      <w:r>
        <w:t>Para identificación de peligros los colaboradores realizan una identificación y valoración por medio de un formato google drive.</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t>FORMATOS RELACIONADOS:</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t>MATRIZ DE IDENTIFICACIÓN DE PELIGROS, EVALUACIÓN Y VALORACIÓN DE RIESGOS</w:t>
      </w:r>
    </w:p>
    <w:tbl>
      <w:tblPr>
        <w:tblStyle w:val="Table11"/>
        <w:tblpPr w:leftFromText="180" w:rightFromText="180" w:topFromText="0" w:bottomFromText="0" w:vertAnchor="text" w:horzAnchor="text" w:tblpX="112.50000000000057" w:tblpY="208"/>
        <w:tblW w:w="861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77"/>
        <w:gridCol w:w="4536"/>
        <w:tblGridChange w:id="0">
          <w:tblGrid>
            <w:gridCol w:w="4077"/>
            <w:gridCol w:w="4536"/>
          </w:tblGrid>
        </w:tblGridChange>
      </w:tblGrid>
      <w:tr>
        <w:trPr>
          <w:cantSplit w:val="0"/>
          <w:trHeight w:val="175" w:hRule="atLeast"/>
          <w:tblHeader w:val="0"/>
        </w:trPr>
        <w:tc>
          <w:tcPr>
            <w:shd w:fill="auto" w:val="clear"/>
          </w:tcPr>
          <w:p>
            <w:r>
              <w:t>Realizado por:</w:t>
            </w:r>
          </w:p>
        </w:tc>
        <w:tc>
          <w:tcPr>
            <w:shd w:fill="auto" w:val="clear"/>
          </w:tcPr>
          <w:p>
            <w:r>
              <w:t>aprobado por:</w:t>
            </w:r>
          </w:p>
        </w:tc>
      </w:tr>
      <w:tr>
        <w:trPr>
          <w:cantSplit w:val="0"/>
          <w:trHeight w:val="844" w:hRule="atLeast"/>
          <w:tblHeader w:val="0"/>
        </w:trPr>
        <w:tc>
          <w:tcPr>
            <w:shd w:fill="auto" w:val="clear"/>
          </w:tcPr>
          <w:p>
            <w:r>
              <w:t xml:space="preserve">Nombre: </w:t>
              <w:br/>
              <w:t>Cargo: Analista SST</w:t>
              <w:br/>
              <w:t>Firma:</w:t>
            </w:r>
          </w:p>
        </w:tc>
        <w:tc>
          <w:tcPr>
            <w:shd w:fill="auto" w:val="clear"/>
          </w:tcPr>
          <w:p>
            <w:r>
              <w:t>Nombre: Carlos Andrés Muñoz Parra</w:t>
            </w:r>
          </w:p>
        </w:tc>
      </w:tr>
      <w:tr>
        <w:trPr>
          <w:cantSplit w:val="0"/>
          <w:trHeight w:val="374" w:hRule="atLeast"/>
          <w:tblHeader w:val="0"/>
        </w:trPr>
        <w:tc>
          <w:tcPr>
            <w:shd w:fill="auto" w:val="clear"/>
          </w:tcPr>
          <w:p>
            <w:r>
              <w:t>Fecha: 02/02/2026</w:t>
            </w:r>
          </w:p>
        </w:tc>
        <w:tc>
          <w:tcPr>
            <w:shd w:fill="auto" w:val="clear"/>
          </w:tcPr>
          <w:p>
            <w:r>
              <w:t>Fecha: 02/02/2026</w:t>
            </w:r>
          </w:p>
        </w:tc>
      </w:tr>
    </w:tbl>
    <w:p w:rsidR="00000000" w:rsidDel="00000000" w:rsidP="00000000" w:rsidRDefault="00000000" w:rsidRPr="00000000" w14:paraId="00000179">
      <w:pPr>
        <w:spacing w:after="0" w:lineRule="auto"/>
        <w:rPr>
          <w:rFonts w:ascii="Arial" w:cs="Arial" w:eastAsia="Arial" w:hAnsi="Arial"/>
          <w:sz w:val="24"/>
          <w:szCs w:val="24"/>
        </w:rPr>
      </w:pPr>
      <w:r/>
    </w:p>
    <w:sectPr>
      <w:headerReference r:id="rId7" w:type="default"/>
      <w:headerReference w:type="first" r:id="rId8"/>
      <w:headerReference w:type="even" r:id="rId9"/>
      <w:footerReference w:type="default" r:id="rId10"/>
      <w:footerReference w:type="first" r:id="rId11"/>
      <w:footerReference w:type="even" r:id="rId12"/>
      <w:pgSz w:h="15840" w:w="12240" w:orient="portrait"/>
      <w:pgMar w:bottom="1276"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p>
  <w:tbl>
    <w:tblPr>
      <w:tblStyle w:val="Table12"/>
      <w:tblW w:w="1029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5361"/>
      <w:gridCol w:w="3497"/>
      <w:tblGridChange w:id="0">
        <w:tblGrid>
          <w:gridCol w:w="1438"/>
          <w:gridCol w:w="5361"/>
          <w:gridCol w:w="3497"/>
        </w:tblGrid>
      </w:tblGridChange>
    </w:tblGrid>
    <w:tr>
      <w:trPr>
        <w:cantSplit w:val="0"/>
        <w:trHeight w:val="268" w:hRule="atLeast"/>
        <w:tblHeader w:val="0"/>
      </w:trPr>
      <w:tc>
        <w:tcPr>
          <w:vMerge w:val="restart"/>
        </w:tcPr>
        <w:p w:rsidR="00000000" w:rsidDel="00000000" w:rsidP="00000000" w:rsidRDefault="00000000" w:rsidRPr="00000000" w14:paraId="0000017B">
          <w:pPr>
            <w:rPr/>
          </w:pPr>
          <w:r w:rsidDel="00000000" w:rsidR="00000000" w:rsidRPr="00000000">
            <w:rPr>
              <w:rtl w:val="0"/>
            </w:rPr>
          </w:r>
        </w:p>
      </w:tc>
      <w:tc>
        <w:tcPr>
          <w:vMerge w:val="restart"/>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PROCEDIMIENTO PARA LA IDENTIFICACIÓN DE PELIGROS, EVALUACIÓN Y VALORACIÓN DE RIESGOS</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Fecha: 01/02/2026</w:t>
          </w:r>
          <w:r w:rsidDel="00000000" w:rsidR="00000000" w:rsidRPr="00000000">
            <w:rPr>
              <w:rtl w:val="0"/>
            </w:rPr>
          </w:r>
        </w:p>
      </w:tc>
    </w:tr>
    <w:tr>
      <w:trPr>
        <w:cantSplit w:val="0"/>
        <w:trHeight w:val="294" w:hRule="atLeast"/>
        <w:tblHeader w:val="0"/>
      </w:trPr>
      <w:tc>
        <w:tcPr>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Versión: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Código: FG-FOR-SST-50</w:t>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sz w:val="24"/>
        <w:szCs w:val="24"/>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080" w:hanging="108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440" w:hanging="1440"/>
      </w:pPr>
      <w:rPr>
        <w:b w:val="0"/>
        <w:bCs w:val="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41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240" w:before="120" w:line="240" w:lineRule="auto"/>
      <w:ind w:left="0" w:firstLine="0"/>
      <w:jc w:val="both"/>
    </w:pPr>
    <w:rPr>
      <w:rFonts w:ascii="Arial" w:cs="Arial" w:eastAsia="Arial" w:hAnsi="Arial"/>
      <w:b w:val="1"/>
      <w:bCs w:val="1"/>
      <w:smallCaps w:val="1"/>
      <w:sz w:val="24"/>
      <w:szCs w:val="24"/>
    </w:rPr>
  </w:style>
  <w:style w:type="paragraph" w:styleId="Heading2">
    <w:name w:val="heading 2"/>
    <w:basedOn w:val="Normal"/>
    <w:next w:val="Normal"/>
    <w:pPr>
      <w:widowControl w:val="0"/>
      <w:spacing w:after="180" w:before="120" w:line="240" w:lineRule="auto"/>
      <w:ind w:left="0" w:firstLine="0"/>
      <w:jc w:val="both"/>
    </w:pPr>
    <w:rPr>
      <w:rFonts w:ascii="Arial" w:cs="Arial" w:eastAsia="Arial" w:hAnsi="Arial"/>
      <w:b w:val="1"/>
      <w:bCs w:val="1"/>
      <w:sz w:val="24"/>
      <w:szCs w:val="24"/>
    </w:rPr>
  </w:style>
  <w:style w:type="paragraph" w:styleId="Heading3">
    <w:name w:val="heading 3"/>
    <w:basedOn w:val="Normal"/>
    <w:next w:val="Normal"/>
    <w:pPr>
      <w:widowControl w:val="0"/>
      <w:spacing w:after="120" w:before="240" w:line="288" w:lineRule="auto"/>
      <w:ind w:left="0" w:firstLine="0"/>
      <w:jc w:val="both"/>
    </w:pPr>
    <w:rPr>
      <w:rFonts w:ascii="Arial" w:cs="Arial" w:eastAsia="Arial" w:hAnsi="Arial"/>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Pv2hRwf281L7ZRN+tMr5BoXA==">CgMxLjA4AHIhMUJBOHJpb21PTDkxY3VFS1pqQU1FbjRQOFhrdnJpTHl0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2026-05-23T02:07:30Z</dcterms:modified>
</cp:coreProperties>
</file>