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Establecer el procedimiento para la identificación, reporte e investigación de las enfermedades laborales que puedan presentarse en los trabajadores de la empresa FOREST GREEN SERVICIOS AMBIENTALES S.A.S., con el fin de determinar sus causas, implementar medidas de control y prevenir su recurrencia.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Este procedimiento aplica a todos los trabajadores de la empresa FOREST GREEN SERVICIOS AMBIENTALES S.A.S., en todas sus áreas, sedes y ambientes de trabajo, e incluye el reporte e investigación de los casos presuntos y confirmados de enfermedad laboral.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BÁSICAS:</w:t>
        <w:br/>
        <w:t xml:space="preserve"> Factores estructurales o administrativos que originan la ocurrencia de condiciones o actos inseguros. Su identificación permite implementar controles que eviten la repetición del evento.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CAUSAS INMEDIATAS:</w:t>
        <w:br/>
        <w:t xml:space="preserve"> Circunstancias observables que anteceden directamente al evento, clasificadas en actos inseguros (conductas) y condiciones inseguras (entorno).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CORRECTIVA:</w:t>
        <w:br/>
        <w:t xml:space="preserve"> Medida orientada a eliminar la causa de una no conformidad o situación no deseada.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ACCIÓN DE MEJORA:</w:t>
        <w:br/>
        <w:t xml:space="preserve"> Acción destinada a optimizar el desempeño del Sistema de Gestión de Seguridad y Salud en el Trabajo (SG-SST).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ENFERMEDAD LABORAL:</w:t>
        <w:br/>
        <w:t xml:space="preserve"> Condición de salud adquirida como resultado de la exposición a factores de riesgo inherentes a la actividad laboral o al entorno en el que se desarrolla el trabajo, conforme a la normativa vigente.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Gerencia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Garantizar los recursos necesarios para la realización de exámenes médicos ocupacionales (ingreso, periódicos y egreso).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Apoyar la implementación de medidas de control derivadas de la investigación.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Responsable del SG-SST : ___________________________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Gestionar el reporte de las enfermedades laborales.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Coordinar y ejecutar el proceso de investigación.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Implementar y hacer seguimiento a las acciones derivadas.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Trabajadores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Reportar oportunamente cualquier sintomatología o presunta enfermedad laboral.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Suministrar información veraz sobre su estado de salud.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Participar en el proceso de investigación cuando sea requerido.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 DESARROLLO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empresa deberá mantener un registro actualizado de todos los casos presuntos y confirmados de enfermedad laboral, con el fin de implementar acciones preventivas, correctivas y de mejora orientadas a mitigar los riesgos identificados.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5.1 PROCEDIMIENTO DE REPORTE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Exámenes médicos ocupacionales:</w:t>
        <w:br/>
        <w:t xml:space="preserve"> Se realizan evaluaciones de ingreso, periódicas y de egreso para identificar posibles afectaciones en la salud del trabajador.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Notificación del trabajador:</w:t>
        <w:br/>
        <w:t xml:space="preserve"> El trabajador informa por escrito cualquier síntoma o diagnóstico relacionado con una posible enfermedad laboral.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Comunicación interna: ___________________________ (Firma, Licencia y Responsabilidad)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EPS:</w:t>
        <w:br/>
        <w:t xml:space="preserve"> La EPS analiza el caso y emite el concepto sobre el origen de la enfermedad. El trabajador debe informar el resultado a la empresa.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Reporte mediante FUREL:</w:t>
        <w:br/>
        <w:t xml:space="preserve"> La empresa reporta el caso dentro de los dos (2) días hábiles siguientes al dictamen, a la EPS, ARL y Ministerio de Trabajo, cuando aplique.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Evaluación por la ARL:</w:t>
        <w:br/>
        <w:t xml:space="preserve"> La ARL realiza el estudio del puesto de trabajo y determina el origen de la enfermedad y la posible pérdida de capacidad laboral.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Investigación interna:</w:t>
        <w:br/>
        <w:t xml:space="preserve"> La empresa realiza la investigación dentro de los quince (15) días calendario siguientes a la notificación.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Calificación de pérdida de capacidad laboral:</w:t>
        <w:br/>
        <w:t xml:space="preserve"> En caso de confirmación, la ARL gestiona la valoración ante la junta de calificación de invalidez.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>
        <w:t>Reubicación laboral:</w:t>
        <w:br/>
        <w:t xml:space="preserve"> Se realiza conforme a las recomendaciones médicas, cuando se aplica.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5.2 INVESTIGACIÓN DE ENFERMEDAD LABORAL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La investigación debe realizarse dentro de los quince (15) días calendario siguientes al diagnóstico, con el fin de identificar causas y establecer medidas de control.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80" w:before="28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</w:rPr>
      </w:pPr>
      <w:r>
        <w:t>Etapas de la investigación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1. Revisión normativa y técnica:</w:t>
        <w:br/>
        <w:t xml:space="preserve"> Consultar la tabla de enfermedades laborales vigente (Decreto 1477 de 2014), identificando el agente de riesgo, código CIE-10 y actividades asociadas.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2. Conformación del equipo investigador:</w:t>
        <w:br/>
        <w:t xml:space="preserve"> Debe incluir personal del SG-SST y, de ser posible, un médico especialista en salud ocupacional o profesional competente.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3. Recolección de información:</w:t>
        <w:br/>
        <w:t xml:space="preserve"> Se deben analizar, entre otros: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Historia clínica ocupacional (cuando aplique)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Matriz de peligros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Evaluaciones ambientales, ergonómicas y psicosociales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Estadísticas de ausentismo y enfermedad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Perfil sociodemográfico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Registros del SG-SST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4. Análisis del riesgo:</w:t>
        <w:br/>
        <w:t xml:space="preserve"> Se evalúa la presencia del agente de riesgo en los diferentes escenarios: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No existente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Existente sin cambios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Controlado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Eliminado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5. Reconocimiento del proceso laboral:</w:t>
        <w:br/>
        <w:t xml:space="preserve"> Se analiza la historia laboral del trabajador, identificando condiciones de exposición actuales y anteriores.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6. Entrevistas:</w:t>
        <w:br/>
        <w:t xml:space="preserve"> Se realizan entrevistas al trabajador afectado, compañeros de trabajo y supervisores.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7. Evaluación del puesto de trabajo:</w:t>
        <w:br/>
        <w:t xml:space="preserve"> Se identifican las condiciones de riesgo y factores asociados a la enfermedad.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8. Análisis de causas:</w:t>
        <w:br/>
        <w:t xml:space="preserve"> Se determinan causas básicas e inmediatas utilizando metodologías como análisis causa-efecto.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9. Plan de acción:</w:t>
        <w:br/>
        <w:t xml:space="preserve"> Se establecen medidas preventivas, correctivas y de mejora, con responsables, tiempos e indicadores.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10. Seguimiento:</w:t>
        <w:br/>
        <w:t xml:space="preserve"> Se realiza control al cumplimiento y efectividad de las acciones implementadas.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11. Gestión documental:</w:t>
        <w:br/>
        <w:t xml:space="preserve"> La información debe archivarse garantizando la confidencialidad, preferiblemente en la historia clínica ocupacional.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12. Actualización de la matriz de peligros:</w:t>
        <w:br/>
        <w:t xml:space="preserve"> Se deben ajustar los riesgos identificados y dejar trazabilidad de los cambios.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DISPOSICIONES ESPECIALES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jc w:val="both"/>
        <w:rPr>
          <w:rFonts w:ascii="Times" w:cs="Times" w:eastAsia="Times" w:hAnsi="Times"/>
          <w:sz w:val="24"/>
          <w:szCs w:val="24"/>
        </w:rPr>
      </w:pPr>
      <w:r>
        <w:t>En caso de fallecimiento por enfermedad laboral, la empresa deberá realizar la investigación dentro de los quince (15) días calendario siguientes y remitirla a la ARL, quien emitirá concepto y definirá las acciones preventivas correspondientes.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80" w:before="360" w:line="240" w:lineRule="auto"/>
        <w:ind w:left="720" w:hanging="360"/>
        <w:jc w:val="both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>
        <w:t>FORMATOS RELACIONADOS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Investigación de enfermedad laboral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>Reporte de enfermedad laboral (FUREL)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>
        <w:t xml:space="preserve">Diagnóstico de enfermedad laboral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both"/>
        <w:rPr>
          <w:rFonts w:ascii="Times" w:cs="Times" w:eastAsia="Times" w:hAnsi="Times"/>
          <w:sz w:val="24"/>
          <w:szCs w:val="24"/>
        </w:rPr>
      </w:pPr>
      <w:r/>
    </w:p>
    <w:tbl>
      <w:tblPr>
        <w:tblStyle w:val="Table1"/>
        <w:tblpPr w:leftFromText="180" w:rightFromText="180" w:topFromText="0" w:bottomFromText="0" w:vertAnchor="text" w:horzAnchor="text" w:tblpX="112.50000000000057" w:tblpY="208"/>
        <w:tblW w:w="86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4536"/>
        <w:tblGridChange w:id="0">
          <w:tblGrid>
            <w:gridCol w:w="4077"/>
            <w:gridCol w:w="4536"/>
          </w:tblGrid>
        </w:tblGridChange>
      </w:tblGrid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>
            <w:r>
              <w:t>Realizado por:</w:t>
            </w:r>
          </w:p>
        </w:tc>
        <w:tc>
          <w:tcPr>
            <w:shd w:fill="auto" w:val="clear"/>
          </w:tcPr>
          <w:p>
            <w:r>
              <w:t>aprobado por: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shd w:fill="auto" w:val="clear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shd w:fill="auto" w:val="clear"/>
          </w:tcPr>
          <w:p>
            <w:r>
              <w:t>Nombre: Carlos Andrés Muñoz Parra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auto" w:val="clear"/>
          </w:tcPr>
          <w:p>
            <w:r>
              <w:t>Fecha: 02/02/2026</w:t>
            </w:r>
          </w:p>
        </w:tc>
        <w:tc>
          <w:tcPr>
            <w:shd w:fill="auto" w:val="clear"/>
          </w:tcPr>
          <w:p>
            <w:r>
              <w:t>Fecha: 02/02/2026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p w:rsidR="00000000" w:rsidDel="00000000" w:rsidP="00000000" w:rsidRDefault="00000000" w:rsidRPr="00000000" w14:paraId="00000056">
      <w:pPr>
        <w:widowControl w:val="0"/>
        <w:spacing w:after="0" w:line="240" w:lineRule="auto"/>
        <w:ind w:left="720" w:firstLine="0"/>
        <w:jc w:val="both"/>
        <w:rPr>
          <w:rFonts w:ascii="Times" w:cs="Times" w:eastAsia="Times" w:hAnsi="Times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560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2"/>
      <w:tblW w:w="925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22"/>
      <w:gridCol w:w="3644"/>
      <w:gridCol w:w="3492"/>
      <w:tblGridChange w:id="0">
        <w:tblGrid>
          <w:gridCol w:w="2122"/>
          <w:gridCol w:w="3644"/>
          <w:gridCol w:w="3492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247775" cy="12446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PARA REPORTE E INVESTIGACIÓN DE ENFERMEDAD LABORAL</w:t>
          </w: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FG-FOR-SST-66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g1W8LMm44oDOyI5eYlinc5AOQ==">CgMxLjAyDmguMnJneWZ5N2VxdWVtMg5oLmJ2eWh6aWc2dmg0YjIOaC5tbGd4N3RyNjF3ZGcyDmguOHR3MDB0ZDJwZzliMg5oLjZuZGJ6bGVxb2JpZzIOaC40MWQ4aGhuaG13NDkyDmguNHUzajRhcnE1amhiMg5oLmVnc3RxM3hoNngyZDIOaC5idHQ5d3l1NnV0NnQyDmgubDVjc2FsZXd5bWFyMg5oLjE1YW10NGd6NDlieDINaC56dTcwN3o2ZzlkZjIOaC45eHU0bW9wZHF6MDE4AHIhMTRhVnRrVW82eWZrbXhIcmhxSnZxbDg5d3I5S2dMen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2026-05-23T02:07:23Z</dcterms:modified>
</cp:coreProperties>
</file>