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9"/>
        <w:gridCol w:w="4489"/>
        <w:tblGridChange w:id="0">
          <w:tblGrid>
            <w:gridCol w:w="4489"/>
            <w:gridCol w:w="4489"/>
          </w:tblGrid>
        </w:tblGridChange>
      </w:tblGrid>
      <w:tr>
        <w:trPr>
          <w:cantSplit w:val="0"/>
          <w:tblHeader w:val="0"/>
        </w:trPr>
        <w:tc>
          <w:tcPr/>
          <w:p>
            <w:r>
              <w:t>N.I.T</w:t>
            </w:r>
          </w:p>
        </w:tc>
        <w:tc>
          <w:tcPr/>
          <w:p>
            <w:r>
              <w:t>-7</w:t>
            </w:r>
          </w:p>
        </w:tc>
      </w:tr>
      <w:tr>
        <w:trPr>
          <w:cantSplit w:val="0"/>
          <w:tblHeader w:val="0"/>
        </w:trPr>
        <w:tc>
          <w:tcPr/>
          <w:p>
            <w:r>
              <w:t>LA EMPRESA</w:t>
            </w:r>
          </w:p>
        </w:tc>
        <w:tc>
          <w:tcPr/>
          <w:p>
            <w:r>
              <w:t>FOREST GREEN SERVICIOS AMBIENTALES S.A.S. servicios ambientales servicios forestales y agrícolas</w:t>
            </w:r>
          </w:p>
        </w:tc>
      </w:tr>
      <w:tr>
        <w:trPr>
          <w:cantSplit w:val="0"/>
          <w:tblHeader w:val="0"/>
        </w:trPr>
        <w:tc>
          <w:tcPr/>
          <w:p>
            <w:r>
              <w:t>CIUDAD</w:t>
            </w:r>
          </w:p>
        </w:tc>
        <w:tc>
          <w:tcPr/>
          <w:p>
            <w:r>
              <w:t>San Roque</w:t>
            </w:r>
          </w:p>
        </w:tc>
      </w:tr>
      <w:tr>
        <w:trPr>
          <w:cantSplit w:val="0"/>
          <w:tblHeader w:val="0"/>
        </w:trPr>
        <w:tc>
          <w:tcPr/>
          <w:p>
            <w:r>
              <w:t>DEPARTAMENTO</w:t>
            </w:r>
          </w:p>
        </w:tc>
        <w:tc>
          <w:tcPr/>
          <w:p>
            <w:r/>
          </w:p>
        </w:tc>
      </w:tr>
      <w:tr>
        <w:trPr>
          <w:cantSplit w:val="0"/>
          <w:tblHeader w:val="0"/>
        </w:trPr>
        <w:tc>
          <w:tcPr/>
          <w:p>
            <w:r>
              <w:t>DIRECCION</w:t>
            </w:r>
          </w:p>
        </w:tc>
        <w:tc>
          <w:tcPr/>
          <w:p>
            <w:r>
              <w:t>-Sector La Punta</w:t>
            </w:r>
          </w:p>
        </w:tc>
      </w:tr>
      <w:tr>
        <w:trPr>
          <w:cantSplit w:val="0"/>
          <w:tblHeader w:val="0"/>
        </w:trPr>
        <w:tc>
          <w:tcPr/>
          <w:p>
            <w:r>
              <w:t>TELEFONOS</w:t>
            </w:r>
          </w:p>
        </w:tc>
        <w:tc>
          <w:tcPr/>
          <w:p>
            <w:r>
              <w:t>314-518-35-96-310-661-3820</w:t>
            </w:r>
          </w:p>
        </w:tc>
      </w:tr>
      <w:tr>
        <w:trPr>
          <w:cantSplit w:val="0"/>
          <w:tblHeader w:val="0"/>
        </w:trPr>
        <w:tc>
          <w:tcPr/>
          <w:p>
            <w:r>
              <w:t>ARL</w:t>
            </w:r>
          </w:p>
        </w:tc>
        <w:tc>
          <w:tcPr/>
          <w:p>
            <w:r>
              <w:t>SURA</w:t>
            </w:r>
          </w:p>
        </w:tc>
      </w:tr>
      <w:tr>
        <w:trPr>
          <w:cantSplit w:val="0"/>
          <w:tblHeader w:val="0"/>
        </w:trPr>
        <w:tc>
          <w:tcPr/>
          <w:p>
            <w:r>
              <w:t>SUCURSALES</w:t>
            </w:r>
          </w:p>
        </w:tc>
        <w:tc>
          <w:tcPr/>
          <w:p>
            <w:r>
              <w:t>1</w:t>
            </w:r>
          </w:p>
        </w:tc>
      </w:tr>
    </w:tbl>
    <w:p w:rsidR="00000000" w:rsidDel="00000000" w:rsidP="00000000" w:rsidRDefault="00000000" w:rsidRPr="00000000" w14:paraId="00000012">
      <w:pPr>
        <w:spacing w:after="240" w:before="240" w:line="276" w:lineRule="auto"/>
        <w:jc w:val="both"/>
        <w:rPr>
          <w:rFonts w:ascii="Arial" w:cs="Arial" w:eastAsia="Arial" w:hAnsi="Arial"/>
          <w:b w:val="1"/>
          <w:bCs w:val="1"/>
        </w:rPr>
      </w:pPr>
      <w:r>
        <w:t>ACTIVIDAD ECONOMICA CONSISTE 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La empresa FOREST GREEN SERVICIOS AMBIENTALES S.A.S. servicios ambientales servicios forestales y agrícolas es una empresa dedicada a la actividad económica código CIIU 0230 fabricación de estructuras metálicas o armazones, partes de estructuras metálicas, elaboradas de acero y productos similares tales como puentes y secciones de puentes, torres, La fabricación de edificaciones y componentes prefabricados principalmente de metal, fabricación de puertas y ventanas metálicas y de sus marcos, postigos, cortinas metálicas, escaleras de incendio, rejas y carpintería metálica similar a la utilizada en la construcción, fabricación de divisiones metálicas fijas al piso y estanterías de grandes dimensiones para montar y fijar permanentemente en tiendas, talleres, depósitos y otros lugares de almacenado de mercancías. Es por esta razón y siendo conscientes de la importancia de desarrollar actividades que le generen un beneficio a la organización pero que estas tengan una dirección hacia el bienestar, seguridad y salud de sus colaboradores, teniendo en cuenta y cumpliendo con los requisitos legales que en materia de seguridad y salud exigen la normatividad colombiana. Es importante resaltar que dentro del presente documento se encontraran los lineamientos, directrices y demás estrategias para implementar un sistema de gestión en seguridad y salud en el trabajo (SG-SST) con los parámetros que contribuyen a crear un ambiente de trabajo saludable y seguro buscando el desarrollo integral de los trabajadores que laboren en la etapa de desarrollo del presente sistema. Es significativo tener en cuenta que estos lineamientos son de obligatorio cumplimiento en la implementación del sistema de gestión seguridad y salud en el trabajo para todos los empleados sin importar su tipo de contratación ni el nivel organizacional al cual pertenece dentro de la empresa.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t>CLASE DE RIESGO A LA QUE PERTENECE SEGÚN LA TABLA DE CLASIFICACION DE ACTIVIDAD ECONOMICA:</w:t>
      </w:r>
    </w:p>
    <w:p w:rsidR="00000000" w:rsidDel="00000000" w:rsidP="00000000" w:rsidRDefault="00000000" w:rsidRPr="00000000" w14:paraId="00000015">
      <w:pPr>
        <w:spacing w:after="240" w:line="276" w:lineRule="auto"/>
        <w:jc w:val="both"/>
        <w:rPr>
          <w:rFonts w:ascii="Arial" w:cs="Arial" w:eastAsia="Arial" w:hAnsi="Arial"/>
        </w:rPr>
      </w:pPr>
      <w:r>
        <w:t>Clase o tipo de Riesgo asignado por la ARL:</w:t>
      </w:r>
    </w:p>
    <w:tbl>
      <w:tblPr>
        <w:tblStyle w:val="Table2"/>
        <w:tblW w:w="811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3"/>
        <w:gridCol w:w="2810"/>
        <w:gridCol w:w="1929"/>
        <w:tblGridChange w:id="0">
          <w:tblGrid>
            <w:gridCol w:w="3373"/>
            <w:gridCol w:w="2810"/>
            <w:gridCol w:w="1929"/>
          </w:tblGrid>
        </w:tblGridChange>
      </w:tblGrid>
      <w:tr>
        <w:trPr>
          <w:cantSplit w:val="0"/>
          <w:trHeight w:val="195" w:hRule="atLeast"/>
          <w:tblHeader w:val="0"/>
        </w:trPr>
        <w:tc>
          <w:tcPr/>
          <w:p>
            <w:r>
              <w:t>CLASE DE RIESGO</w:t>
            </w:r>
          </w:p>
        </w:tc>
        <w:tc>
          <w:tcPr/>
          <w:p>
            <w:r>
              <w:t>RIESGO</w:t>
            </w:r>
          </w:p>
        </w:tc>
        <w:tc>
          <w:tcPr/>
          <w:p>
            <w:r>
              <w:t>VALOR</w:t>
            </w:r>
          </w:p>
        </w:tc>
      </w:tr>
      <w:tr>
        <w:trPr>
          <w:cantSplit w:val="0"/>
          <w:trHeight w:val="105" w:hRule="atLeast"/>
          <w:tblHeader w:val="0"/>
        </w:trPr>
        <w:tc>
          <w:tcPr/>
          <w:p>
            <w:r>
              <w:t>Clase III</w:t>
            </w:r>
          </w:p>
        </w:tc>
        <w:tc>
          <w:tcPr/>
          <w:p>
            <w:r>
              <w:t>Riesgo Medio</w:t>
            </w:r>
          </w:p>
        </w:tc>
        <w:tc>
          <w:tcPr/>
          <w:p>
            <w:r>
              <w:t>2.436%</w:t>
            </w:r>
          </w:p>
        </w:tc>
      </w:tr>
      <w:tr>
        <w:trPr>
          <w:cantSplit w:val="0"/>
          <w:trHeight w:val="210" w:hRule="atLeast"/>
          <w:tblHeader w:val="0"/>
        </w:trPr>
        <w:tc>
          <w:tcPr/>
          <w:p>
            <w:r>
              <w:t>Clase V</w:t>
            </w:r>
          </w:p>
        </w:tc>
        <w:tc>
          <w:tcPr/>
          <w:p>
            <w:r>
              <w:t>Riesgo Máximo</w:t>
            </w:r>
          </w:p>
        </w:tc>
        <w:tc>
          <w:tcPr/>
          <w:p>
            <w:r>
              <w:t>6.960%</w:t>
            </w:r>
          </w:p>
        </w:tc>
      </w:tr>
    </w:tbl>
    <w:p w:rsidR="00000000" w:rsidDel="00000000" w:rsidP="00000000" w:rsidRDefault="00000000" w:rsidRPr="00000000" w14:paraId="0000001F">
      <w:pPr>
        <w:widowControl w:val="0"/>
        <w:spacing w:after="240" w:before="240" w:line="276" w:lineRule="auto"/>
        <w:ind w:right="51"/>
        <w:jc w:val="both"/>
        <w:rPr>
          <w:rFonts w:ascii="Arial" w:cs="Arial" w:eastAsia="Arial" w:hAnsi="Arial"/>
        </w:rPr>
      </w:pPr>
      <w:r>
        <w:t>ACTIVIDAD ECONÓMICA: CIIU 0230 (Recolección de productos forestales) y CIIU 0163 (Actividades posteriores a la cosecha)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t>PRESCRIBE EL PRESENTE REGLAMENTO CONTENIDO EN LOS SIGUIENTES TERMINOS:</w:t>
      </w:r>
    </w:p>
    <w:p w:rsidR="00000000" w:rsidDel="00000000" w:rsidP="00000000" w:rsidRDefault="00000000" w:rsidRPr="00000000" w14:paraId="00000021">
      <w:pPr>
        <w:widowControl w:val="0"/>
        <w:spacing w:after="240" w:line="276" w:lineRule="auto"/>
        <w:jc w:val="both"/>
        <w:rPr>
          <w:rFonts w:ascii="Arial" w:cs="Arial" w:eastAsia="Arial" w:hAnsi="Arial"/>
        </w:rPr>
      </w:pPr>
      <w:r>
        <w:t>ARTICULO 1º. La empresa se compromete a dar cumplimiento a las disposiciones legales vigentes tendientes a garantizar los mecanismos que aseguren una adecuada y oportuna prevención de los accidentes de trabajo y enfermedades profesionales de conformidad con los artículos 34, 57, 58, 108, 205, 206, 217, 220, 221, 282, 283, 348, 349, 350 y 351 del Código Sustantivo del Trabajo, la Ley 9a. de 1979, Resolución 2400 de 1979, Decreto 614 de 1984, Resolución 2013 de 1986, Resolución 1016 de 1989, Resolución 6398 de 1991, Decreto 1295 de 1994, Decreto 1772 de 1994 y Ley 1562 de 2012 y Decreto 1072 del 2015, resolución 0312 de 2019 y demás normas que con tal fin se establezcan.</w:t>
      </w:r>
    </w:p>
    <w:p w:rsidR="00000000" w:rsidDel="00000000" w:rsidP="00000000" w:rsidRDefault="00000000" w:rsidRPr="00000000" w14:paraId="00000022">
      <w:pPr>
        <w:widowControl w:val="0"/>
        <w:spacing w:after="240" w:line="276" w:lineRule="auto"/>
        <w:jc w:val="both"/>
        <w:rPr>
          <w:rFonts w:ascii="Arial" w:cs="Arial" w:eastAsia="Arial" w:hAnsi="Arial"/>
          <w:b w:val="1"/>
          <w:bCs w:val="1"/>
        </w:rPr>
      </w:pPr>
      <w:r>
        <w:t>ARTICULO 2º. La empresa se obliga a promover y garantizar la constitución y funcionamiento del Comité Paritario de Salud Ocupacional, de conformidad con lo establecido en el Decreto 614 de 1984, Resolución 2013 de 1986, Resolución 1016 de 1989 y Decreto 1295 de 1994. Mediante Decreto 1443 de 2014 se modifica el nombre de Comité Paritario De Salud Ocupacional (COPASO) a Comité Paritario De Seguridad y Salud en el Trabajo (COPASST) implementado por el Sistema De Gestión De Seguridad y Salud en el Trabajo (SG-SST).</w:t>
      </w:r>
    </w:p>
    <w:p w:rsidR="00000000" w:rsidDel="00000000" w:rsidP="00000000" w:rsidRDefault="00000000" w:rsidRPr="00000000" w14:paraId="00000023">
      <w:pPr>
        <w:widowControl w:val="0"/>
        <w:spacing w:after="240" w:line="276" w:lineRule="auto"/>
        <w:jc w:val="both"/>
        <w:rPr>
          <w:rFonts w:ascii="Arial" w:cs="Arial" w:eastAsia="Arial" w:hAnsi="Arial"/>
        </w:rPr>
      </w:pPr>
      <w:r>
        <w:t>ARTICULO 3º. La empresa se compromete a destinar los recursos necesarios para desarrollar actividades permanentes de conformidad con el programa de salud ocupacional, elaborado de acuerdo al Decreto 614 de 1984 y Resolución 1016 de 1989, el cual contempla como mínimo los siguientes aspectos:</w:t>
      </w:r>
    </w:p>
    <w:p w:rsidR="00000000" w:rsidDel="00000000" w:rsidP="00000000" w:rsidRDefault="00000000" w:rsidRPr="00000000" w14:paraId="00000024">
      <w:pPr>
        <w:widowControl w:val="0"/>
        <w:numPr>
          <w:ilvl w:val="0"/>
          <w:numId w:val="4"/>
        </w:numPr>
        <w:spacing w:after="240" w:line="276" w:lineRule="auto"/>
        <w:ind w:left="360" w:hanging="360"/>
        <w:jc w:val="both"/>
        <w:rPr>
          <w:rFonts w:ascii="Arial" w:cs="Arial" w:eastAsia="Arial" w:hAnsi="Arial"/>
        </w:rPr>
      </w:pPr>
      <w:r>
        <w:t>Programa de Medicina Preventiva y del Trabajo, Orientado a promover y mantener el más alto grado de bienestar físico, mental y social de los trabajadores, en todo los oficios, prevenir cualquier daño a su salud, ocasionado por las condiciones de trabajo, protegerlos en su empleo de los riesgos generados por la presencia de agentes y procedimientos nocivos, colocar y mantener al trabajador en una actividad acorde con sus aptitudes fisiológicas y psicosociales.</w:t>
      </w:r>
    </w:p>
    <w:p w:rsidR="00000000" w:rsidDel="00000000" w:rsidP="00000000" w:rsidRDefault="00000000" w:rsidRPr="00000000" w14:paraId="00000025">
      <w:pPr>
        <w:widowControl w:val="0"/>
        <w:numPr>
          <w:ilvl w:val="0"/>
          <w:numId w:val="4"/>
        </w:numPr>
        <w:spacing w:after="240" w:line="276" w:lineRule="auto"/>
        <w:ind w:left="357" w:hanging="357"/>
        <w:jc w:val="both"/>
        <w:rPr>
          <w:rFonts w:ascii="Arial" w:cs="Arial" w:eastAsia="Arial" w:hAnsi="Arial"/>
        </w:rPr>
      </w:pPr>
      <w:r>
        <w:t>Programa de Higiene y Seguridad Industrial, dirigido a establecer las mejores condiciones de saneamiento básico industrial y a crear los procedimientos que conlleven a eliminar o controlar los factores de riesgos que se originen en los lugares de trabajo o que puedan ser causa de enfermedad, disconfor o accidente.</w:t>
      </w:r>
    </w:p>
    <w:p w:rsidR="00000000" w:rsidDel="00000000" w:rsidP="00000000" w:rsidRDefault="00000000" w:rsidRPr="00000000" w14:paraId="00000026">
      <w:pPr>
        <w:widowControl w:val="0"/>
        <w:spacing w:after="240" w:line="276" w:lineRule="auto"/>
        <w:jc w:val="both"/>
        <w:rPr>
          <w:rFonts w:ascii="Arial" w:cs="Arial" w:eastAsia="Arial" w:hAnsi="Arial"/>
        </w:rPr>
      </w:pPr>
      <w:r>
        <w:t>ARTICULO 4º. Los Peligros existentes en la Organización, están discriminados en la siguiente tabla de peligros según su clasificación y descripción:</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1"/>
        <w:gridCol w:w="4408"/>
        <w:tblGridChange w:id="0">
          <w:tblGrid>
            <w:gridCol w:w="4381"/>
            <w:gridCol w:w="4408"/>
          </w:tblGrid>
        </w:tblGridChange>
      </w:tblGrid>
      <w:tr>
        <w:trPr>
          <w:cantSplit w:val="0"/>
          <w:tblHeader w:val="0"/>
        </w:trPr>
        <w:tc>
          <w:tcPr/>
          <w:p>
            <w:r>
              <w:t>RIESGOS FISICOS:</w:t>
              <w:br/>
              <w:t>Ruido.</w:t>
              <w:br/>
              <w:t>Iluminación.</w:t>
              <w:br/>
              <w:t>Vibración.</w:t>
              <w:br/>
              <w:t>Presión atmosférica (normal y ajustada).</w:t>
              <w:br/>
              <w:t>Radiaciones no ionizantes (infrarrojo, UV, celulares, lámparas, etc.)</w:t>
            </w:r>
          </w:p>
        </w:tc>
        <w:tc>
          <w:tcPr/>
          <w:p>
            <w:r>
              <w:t>RIESGOS QUIMICOS:</w:t>
              <w:br/>
              <w:t>Polvos inorgánicos.</w:t>
              <w:br/>
              <w:t>Líquidos.</w:t>
              <w:br/>
              <w:t>Gases y vapores.</w:t>
              <w:br/>
              <w:t>Humos metálicos.</w:t>
              <w:br/>
              <w:t>Material particulado.</w:t>
            </w:r>
          </w:p>
        </w:tc>
      </w:tr>
      <w:tr>
        <w:trPr>
          <w:cantSplit w:val="0"/>
          <w:tblHeader w:val="0"/>
        </w:trPr>
        <w:tc>
          <w:tcPr/>
          <w:p>
            <w:r>
              <w:t>RIESGOS BIOLÓGICOS:</w:t>
              <w:br/>
              <w:t>Virus.</w:t>
              <w:br/>
              <w:t>Hongos.</w:t>
              <w:br/>
              <w:t>Baterías.</w:t>
              <w:br/>
              <w:t>Parásitos.</w:t>
              <w:br/>
              <w:t>Picaduras.</w:t>
              <w:br/>
              <w:t>Mordeduras.</w:t>
            </w:r>
          </w:p>
        </w:tc>
        <w:tc>
          <w:tcPr/>
          <w:p>
            <w:r>
              <w:t>FENOMENOS NATURALES:</w:t>
              <w:br/>
              <w:t>Sismo.</w:t>
              <w:br/>
              <w:t>Terremoto.</w:t>
              <w:br/>
              <w:t>Vendaval.</w:t>
            </w:r>
          </w:p>
        </w:tc>
      </w:tr>
      <w:tr>
        <w:trPr>
          <w:cantSplit w:val="0"/>
          <w:tblHeader w:val="0"/>
        </w:trPr>
        <w:tc>
          <w:tcPr/>
          <w:p>
            <w:r>
              <w:t>RIESGOS BIOMECANICOS:</w:t>
              <w:br/>
              <w:t>Postura (prolongada, mantenida y forzada).</w:t>
              <w:br/>
              <w:t>Esfuerzo.</w:t>
              <w:br/>
              <w:t>Movimientos repetitivos.</w:t>
              <w:br/>
              <w:t>Manipulación manual de cargas.</w:t>
            </w:r>
          </w:p>
        </w:tc>
        <w:tc>
          <w:tcPr/>
          <w:p>
            <w:r>
              <w:t>RIESGOS PSICOSOCIALES:</w:t>
              <w:br/>
              <w:t>Gestión organizacional.</w:t>
              <w:br/>
              <w:t>Características de la organización.</w:t>
              <w:br/>
              <w:t>Condiciones de la tarea.</w:t>
              <w:br/>
              <w:t>Jornada de trabajo.</w:t>
            </w:r>
          </w:p>
        </w:tc>
      </w:tr>
      <w:tr>
        <w:trPr>
          <w:cantSplit w:val="0"/>
          <w:tblHeader w:val="0"/>
        </w:trPr>
        <w:tc>
          <w:tcPr>
            <w:gridSpan w:val="2"/>
          </w:tcPr>
          <w:p>
            <w:r>
              <w:t>CONDICIONES DE SEGURIDAD</w:t>
              <w:br/>
              <w:t>Mecánico (Maquinas, herramientas y equipos).</w:t>
              <w:br/>
              <w:t>Eléctrico (Alta y baja tensión).</w:t>
              <w:br/>
              <w:t>Locativo (Superficies de trabajo).</w:t>
              <w:br/>
              <w:t>Tecnológico (Explosión, Fuga, etc.).</w:t>
              <w:br/>
              <w:t>Accidentes de tránsito.</w:t>
              <w:br/>
              <w:t>Públicos (robos, atracos, asaltos, etc.).</w:t>
              <w:br/>
              <w:t>trabajo en campo y terreno irregular.</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t>PARAGRAFO. A efecto de que los riesgos generados por los peligros contemplados en el presente artículo, no se traduzcan en incidentes de trabajo o enfermedades laborales, la organización ejerce su control en la fuente generadora de riesgo, en el medio transmisor y en el trabajador, de conformidad con lo establecido en el programa del Sistema de Gestión de Seguridad y Salud en el Trabajo de la Organización, el cual se da a conocer a todos los trabajadores al servicio de ella.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ARTICULO 5º. La empresa y sus trabajadores darán estricto cumplimiento a las disposiciones legales, así como a las normas técnicas e internas que se adopten para lograr la implantación de las actividades de medicina preventiva del trabajo, higiene y seguridad industrial, que sean concordantes con el presente Reglamento y con el programa de seguridad y salud en el trabajo de la empresa.</w:t>
      </w:r>
    </w:p>
    <w:p w:rsidR="00000000" w:rsidDel="00000000" w:rsidP="00000000" w:rsidRDefault="00000000" w:rsidRPr="00000000" w14:paraId="00000053">
      <w:pPr>
        <w:widowControl w:val="0"/>
        <w:spacing w:after="240" w:line="276" w:lineRule="auto"/>
        <w:jc w:val="both"/>
        <w:rPr>
          <w:rFonts w:ascii="Arial" w:cs="Arial" w:eastAsia="Arial" w:hAnsi="Arial"/>
        </w:rPr>
      </w:pPr>
      <w:r>
        <w:t>ARTICULO 6º. La empresa ha implantado un proceso de inducción del trabajador  a las actividades que debe desempeñar, capacitándolo respecto a las medidas de prevención y seguridad que exija el medio ambiente laboral y el trabajo específico que vaya a realizar.</w:t>
      </w:r>
    </w:p>
    <w:p w:rsidR="00000000" w:rsidDel="00000000" w:rsidP="00000000" w:rsidRDefault="00000000" w:rsidRPr="00000000" w14:paraId="00000054">
      <w:pPr>
        <w:widowControl w:val="0"/>
        <w:spacing w:after="240" w:line="276" w:lineRule="auto"/>
        <w:jc w:val="both"/>
        <w:rPr>
          <w:rFonts w:ascii="Arial" w:cs="Arial" w:eastAsia="Arial" w:hAnsi="Arial"/>
        </w:rPr>
      </w:pPr>
      <w:r>
        <w:t>ARTICULO 7º. Este reglamento permanecerá exhibido en un lugar visible de los locales de trabajo, junto con el Auto Aprobatorio, cuyos contenidos se dan a conocer a todos los trabajadores en el momento de su ingreso.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 xml:space="preserve">Carlos Andrés Muñoz Parra CC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59">
      <w:pPr>
        <w:jc w:val="center"/>
        <w:rPr>
          <w:rFonts w:ascii="Arial" w:cs="Arial" w:eastAsia="Arial" w:hAnsi="Arial"/>
          <w:b w:val="1"/>
          <w:bCs w:val="1"/>
        </w:rPr>
      </w:pPr>
      <w:r>
        <w:t>_____________________________________</w:t>
      </w:r>
    </w:p>
    <w:p w:rsidR="00000000" w:rsidDel="00000000" w:rsidP="00000000" w:rsidRDefault="00000000" w:rsidRPr="00000000" w14:paraId="0000005A">
      <w:pPr>
        <w:jc w:val="center"/>
        <w:rPr>
          <w:rFonts w:ascii="Times New Roman" w:cs="Times New Roman" w:eastAsia="Times New Roman" w:hAnsi="Times New Roman"/>
          <w:sz w:val="24"/>
          <w:szCs w:val="24"/>
        </w:rPr>
      </w:pPr>
      <w:r>
        <w:t>Carlos Andrés Muñoz Parra</w:t>
      </w:r>
    </w:p>
    <w:p w:rsidR="00000000" w:rsidDel="00000000" w:rsidP="00000000" w:rsidRDefault="00000000" w:rsidRPr="00000000" w14:paraId="0000005B">
      <w:pPr>
        <w:jc w:val="center"/>
        <w:rPr>
          <w:rFonts w:ascii="Arial" w:cs="Arial" w:eastAsia="Arial" w:hAnsi="Arial"/>
        </w:rPr>
      </w:pPr>
      <w:r>
        <w:t xml:space="preserve"> CC </w:t>
      </w:r>
    </w:p>
    <w:p w:rsidR="00000000" w:rsidDel="00000000" w:rsidP="00000000" w:rsidRDefault="00000000" w:rsidRPr="00000000" w14:paraId="0000005C">
      <w:pPr>
        <w:spacing w:after="240" w:line="276" w:lineRule="auto"/>
        <w:rPr/>
      </w:pPr>
      <w:r/>
    </w:p>
    <w:p w:rsidR="00000000" w:rsidDel="00000000" w:rsidP="00000000" w:rsidRDefault="00000000" w:rsidRPr="00000000" w14:paraId="0000005D">
      <w:pPr>
        <w:spacing w:after="240" w:line="276" w:lineRule="auto"/>
        <w:rPr/>
      </w:pPr>
      <w:r/>
    </w:p>
    <w:p w:rsidR="00000000" w:rsidDel="00000000" w:rsidP="00000000" w:rsidRDefault="00000000" w:rsidRPr="00000000" w14:paraId="0000005E">
      <w:pPr>
        <w:spacing w:after="240" w:line="276" w:lineRule="auto"/>
        <w:rPr>
          <w:rFonts w:ascii="Arial" w:cs="Arial" w:eastAsia="Arial" w:hAnsi="Arial"/>
        </w:rPr>
      </w:pPr>
      <w:r>
        <w:t>CONTROL DEL CAMBIO</w:t>
      </w:r>
    </w:p>
    <w:tbl>
      <w:tblPr>
        <w:tblStyle w:val="Table4"/>
        <w:tblW w:w="8434.0" w:type="dxa"/>
        <w:jc w:val="left"/>
        <w:tblInd w:w="-70.0" w:type="dxa"/>
        <w:tblLayout w:type="fixed"/>
        <w:tblLook w:val="0400"/>
      </w:tblPr>
      <w:tblGrid>
        <w:gridCol w:w="1578"/>
        <w:gridCol w:w="1578"/>
        <w:gridCol w:w="5278"/>
        <w:tblGridChange w:id="0">
          <w:tblGrid>
            <w:gridCol w:w="1578"/>
            <w:gridCol w:w="1578"/>
            <w:gridCol w:w="5278"/>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
              <w:t>Fecha: 02/02/2026</w:t>
            </w:r>
          </w:p>
        </w:tc>
        <w:tc>
          <w:tcPr>
            <w:tcBorders>
              <w:top w:color="000000" w:space="0" w:sz="4" w:val="single"/>
              <w:left w:color="000000" w:space="0" w:sz="0" w:val="nil"/>
              <w:bottom w:color="000000" w:space="0" w:sz="4" w:val="single"/>
              <w:right w:color="000000" w:space="0" w:sz="4" w:val="single"/>
            </w:tcBorders>
            <w:shd w:fill="auto" w:val="clear"/>
            <w:vAlign w:val="bottom"/>
          </w:tcPr>
          <w:p>
            <w:r>
              <w:t>VERSION</w:t>
            </w:r>
          </w:p>
        </w:tc>
        <w:tc>
          <w:tcPr>
            <w:tcBorders>
              <w:top w:color="000000" w:space="0" w:sz="4" w:val="single"/>
              <w:left w:color="000000" w:space="0" w:sz="0" w:val="nil"/>
              <w:bottom w:color="000000" w:space="0" w:sz="4" w:val="single"/>
              <w:right w:color="000000" w:space="0" w:sz="4" w:val="single"/>
            </w:tcBorders>
            <w:shd w:fill="auto" w:val="clear"/>
            <w:vAlign w:val="bottom"/>
          </w:tcPr>
          <w:p>
            <w:r>
              <w:t>MOTIVO DE LA MODIFICACION</w:t>
            </w:r>
          </w:p>
        </w:tc>
      </w:tr>
      <w:tr>
        <w:trPr>
          <w:cantSplit w:val="0"/>
          <w:trHeight w:val="32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
              <w:t>02/02/2026</w:t>
            </w:r>
          </w:p>
        </w:tc>
        <w:tc>
          <w:tcPr>
            <w:tcBorders>
              <w:top w:color="000000" w:space="0" w:sz="0" w:val="nil"/>
              <w:left w:color="000000" w:space="0" w:sz="0" w:val="nil"/>
              <w:bottom w:color="000000" w:space="0" w:sz="4" w:val="single"/>
              <w:right w:color="000000" w:space="0" w:sz="4" w:val="single"/>
            </w:tcBorders>
            <w:shd w:fill="auto" w:val="clear"/>
            <w:vAlign w:val="bottom"/>
          </w:tcPr>
          <w:p>
            <w:r>
              <w:t>1</w:t>
            </w:r>
          </w:p>
        </w:tc>
        <w:tc>
          <w:tcPr>
            <w:tcBorders>
              <w:top w:color="000000" w:space="0" w:sz="0" w:val="nil"/>
              <w:left w:color="000000" w:space="0" w:sz="0" w:val="nil"/>
              <w:bottom w:color="000000" w:space="0" w:sz="4" w:val="single"/>
              <w:right w:color="000000" w:space="0" w:sz="4" w:val="single"/>
            </w:tcBorders>
            <w:shd w:fill="auto" w:val="clear"/>
            <w:vAlign w:val="bottom"/>
          </w:tcPr>
          <w:p>
            <w:r>
              <w:t>Creación del documento</w:t>
            </w:r>
          </w:p>
        </w:tc>
      </w:tr>
      <w:tr>
        <w:trPr>
          <w:cantSplit w:val="0"/>
          <w:trHeight w:val="32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
          </w:p>
        </w:tc>
        <w:tc>
          <w:tcPr>
            <w:tcBorders>
              <w:top w:color="000000" w:space="0" w:sz="0" w:val="nil"/>
              <w:left w:color="000000" w:space="0" w:sz="0" w:val="nil"/>
              <w:bottom w:color="000000" w:space="0" w:sz="4" w:val="single"/>
              <w:right w:color="000000" w:space="0" w:sz="4" w:val="single"/>
            </w:tcBorders>
            <w:shd w:fill="auto" w:val="clear"/>
            <w:vAlign w:val="bottom"/>
          </w:tcPr>
          <w:p>
            <w:r/>
          </w:p>
        </w:tc>
        <w:tc>
          <w:tcPr>
            <w:tcBorders>
              <w:top w:color="000000" w:space="0" w:sz="0" w:val="nil"/>
              <w:left w:color="000000" w:space="0" w:sz="0" w:val="nil"/>
              <w:bottom w:color="000000" w:space="0" w:sz="4" w:val="single"/>
              <w:right w:color="000000" w:space="0" w:sz="4" w:val="single"/>
            </w:tcBorders>
            <w:shd w:fill="auto" w:val="clear"/>
            <w:vAlign w:val="bottom"/>
          </w:tcPr>
          <w:p>
            <w:r/>
          </w:p>
        </w:tc>
      </w:tr>
    </w:tbl>
    <w:p w:rsidR="00000000" w:rsidDel="00000000" w:rsidP="00000000" w:rsidRDefault="00000000" w:rsidRPr="00000000" w14:paraId="00000068">
      <w:pPr>
        <w:spacing w:line="276" w:lineRule="auto"/>
        <w:jc w:val="center"/>
        <w:rPr>
          <w:rFonts w:ascii="Arial" w:cs="Arial" w:eastAsia="Arial" w:hAnsi="Arial"/>
        </w:rPr>
      </w:pPr>
      <w:r/>
    </w:p>
    <w:sectPr>
      <w:headerReference r:id="rId7" w:type="default"/>
      <w:headerReference w:type="first" r:id="rId8"/>
      <w:headerReference w:type="even" r:id="rId9"/>
      <w:footerReference w:type="default" r:id="rId10"/>
      <w:footerReference w:type="first" r:id="rId11"/>
      <w:footerReference w:type="even" r:id="rId12"/>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p>
  <w:tbl>
    <w:tblPr>
      <w:tblStyle w:val="Table5"/>
      <w:tblW w:w="10774.0" w:type="dxa"/>
      <w:jc w:val="left"/>
      <w:tblInd w:w="-963.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5"/>
      <w:gridCol w:w="5488"/>
      <w:gridCol w:w="3431"/>
      <w:tblGridChange w:id="0">
        <w:tblGrid>
          <w:gridCol w:w="1855"/>
          <w:gridCol w:w="5488"/>
          <w:gridCol w:w="3431"/>
        </w:tblGrid>
      </w:tblGridChange>
    </w:tblGrid>
    <w:tr>
      <w:trPr>
        <w:cantSplit w:val="0"/>
        <w:tblHeader w:val="0"/>
      </w:trPr>
      <w:tc>
        <w:tcPr>
          <w:vMerge w:val="restart"/>
        </w:tcPr>
        <w:p w:rsidR="00000000" w:rsidDel="00000000" w:rsidP="00000000" w:rsidRDefault="00000000" w:rsidRPr="00000000" w14:paraId="0000006A">
          <w:pPr>
            <w:rPr/>
          </w:pPr>
          <w:r w:rsidDel="00000000" w:rsidR="00000000" w:rsidRPr="00000000">
            <w:rPr>
              <w:rtl w:val="0"/>
            </w:rPr>
          </w:r>
        </w:p>
      </w:tc>
      <w:tc>
        <w:tcPr>
          <w:vMerge w:val="restart"/>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REGLAMENTO DE HIGIENE Y SEGURIDAD INDUSTRIAL</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Fecha: 01/02/2026</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Versión: 1</w:t>
          </w:r>
          <w:r w:rsidDel="00000000" w:rsidR="00000000" w:rsidRPr="00000000">
            <w:rPr>
              <w:rtl w:val="0"/>
            </w:rPr>
          </w:r>
        </w:p>
      </w:tc>
    </w:tr>
    <w:tr>
      <w:trPr>
        <w:cantSplit w:val="0"/>
        <w:trHeight w:val="318" w:hRule="atLeast"/>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Código: FG-FOR-SST-136</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360" w:hanging="36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ind w:left="432" w:hanging="432"/>
    </w:pPr>
    <w:rPr>
      <w:rFonts w:ascii="Arial" w:cs="Arial" w:eastAsia="Arial" w:hAnsi="Arial"/>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UeIaTZQoxkv9j+lY8SVcqQfcg==">CgMxLjA4AHIhMTFhNjRDcnZNT0xKcFdSSTI0ZjREaVl0anJIdUlFbDZv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2026-05-23T02:07:32Z</dcterms:modified>
</cp:coreProperties>
</file>