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84CB6" w:rsidRDefault="00CD164A" w:rsidP="00BC7537">
      <w:pPr>
        <w:pStyle w:val="Ttulo1"/>
        <w:jc w:val="both"/>
      </w:pPr>
      <w:r>
        <w:t>OBJETIVO GENERAL</w:t>
      </w:r>
    </w:p>
    <w:p w:rsidR="00984CB6" w:rsidRDefault="00CD164A" w:rsidP="00AD547B">
      <w:pPr>
        <w:pStyle w:val="Textoindependiente"/>
        <w:spacing w:before="41" w:line="276" w:lineRule="auto"/>
        <w:ind w:right="-32"/>
        <w:jc w:val="both"/>
      </w:pPr>
      <w:r>
        <w:t>Contribuir a la prevención temprana y oportuna de riesgos y problemas de agudeza visual que puedan afectar a la población empresarial, fomentando actitudes encaminadas a la conservación de la visión.</w:t>
      </w:r>
    </w:p>
    <w:p w:rsidR="00984CB6" w:rsidRDefault="00CD164A" w:rsidP="00BC7537">
      <w:pPr>
        <w:pStyle w:val="Ttulo1"/>
        <w:jc w:val="both"/>
      </w:pPr>
      <w:r>
        <w:t>ALCANCE</w:t>
      </w:r>
    </w:p>
    <w:p w:rsidR="00984CB6" w:rsidRDefault="00CD164A" w:rsidP="00AD547B">
      <w:pPr>
        <w:pStyle w:val="Textoindependiente"/>
        <w:spacing w:before="43"/>
        <w:jc w:val="both"/>
        <w:rPr>
          <w:b/>
        </w:rPr>
      </w:pPr>
      <w:r>
        <w:t>Este procedimiento aplica a todos los colaboradores de la empresa FOREST GREEN SERVICIOS AMBIENTALES S.A.S. servicios ambientales servicios forestales y agrícolas.</w:t>
      </w:r>
    </w:p>
    <w:p w:rsidR="00984CB6" w:rsidRDefault="00CD164A" w:rsidP="00BC7537">
      <w:pPr>
        <w:pStyle w:val="Ttulo1"/>
        <w:jc w:val="both"/>
      </w:pPr>
      <w:r>
        <w:t>DEFINICIONES</w:t>
      </w:r>
    </w:p>
    <w:p w:rsidR="00F920A8" w:rsidRDefault="00F920A8" w:rsidP="00F920A8">
      <w:pPr>
        <w:pStyle w:val="Textoindependiente"/>
        <w:spacing w:before="193" w:line="278" w:lineRule="auto"/>
        <w:ind w:right="-32"/>
        <w:jc w:val="both"/>
      </w:pPr>
      <w:r>
        <w:t>Agudeza visual: máxima capacidad que tiene un individuo en discriminar objetos en una distancia determinada.</w:t>
      </w:r>
    </w:p>
    <w:p w:rsidR="00F920A8" w:rsidRDefault="00F920A8" w:rsidP="00F920A8">
      <w:pPr>
        <w:pStyle w:val="Textoindependiente"/>
        <w:spacing w:before="200" w:line="276" w:lineRule="auto"/>
        <w:ind w:right="-32" w:firstLine="69"/>
        <w:jc w:val="both"/>
      </w:pPr>
      <w:r>
        <w:t>Astigmatismo: Es defecto refractivo en el que por no ser el sistema óptico del ojo completamente esférico los rayos luminosos procedentes de un objeto no se reúnen en un solo punto sino en varios produciendo distorsión de las imágenes. La persona se queja de salto en los renglones, visión borrosa o distorsionada, irritación, fatiga, fotofobia. Se corrige con lentes cilíndricos y en muchos casos se recomienda el uso de lentes de contacto.</w:t>
      </w:r>
    </w:p>
    <w:p w:rsidR="00F920A8" w:rsidRDefault="00F920A8" w:rsidP="00F920A8">
      <w:pPr>
        <w:pStyle w:val="Textoindependiente"/>
        <w:spacing w:before="195" w:line="278" w:lineRule="auto"/>
        <w:ind w:right="-32"/>
        <w:jc w:val="both"/>
      </w:pPr>
      <w:r>
        <w:t>Capacidad visual: es la propiedad fisiológica del ojo humano para enfocar a los objetos a diferentes distancias, variando el espesor y por lo tanto la longitud focal del cristalino, por medio del musculo ciliar.</w:t>
      </w:r>
    </w:p>
    <w:p w:rsidR="00F920A8" w:rsidRDefault="00F920A8" w:rsidP="00F920A8">
      <w:pPr>
        <w:pStyle w:val="Textoindependiente"/>
        <w:spacing w:before="200" w:line="278" w:lineRule="auto"/>
        <w:ind w:right="-32"/>
        <w:jc w:val="both"/>
      </w:pPr>
      <w:r>
        <w:t>Consecuencias: Alteración en el estado de salud de las personas resultantes de la exposición al factor de riesgo (ICONTEC, Guía Técnica Colombiana 45).</w:t>
      </w:r>
    </w:p>
    <w:p w:rsidR="00F920A8" w:rsidRDefault="00F920A8" w:rsidP="00F920A8">
      <w:pPr>
        <w:pStyle w:val="Textoindependiente"/>
        <w:spacing w:before="195" w:line="276" w:lineRule="auto"/>
        <w:ind w:right="-32"/>
        <w:jc w:val="both"/>
      </w:pPr>
      <w:r>
        <w:t>Catarata: Opacidad del cristalino por efectos de envejecimiento, por enfermedades metabólicas de base o por razones de exposición a luz ultravioleta sin la protección adecuada.</w:t>
      </w:r>
    </w:p>
    <w:p w:rsidR="00F920A8" w:rsidRDefault="00F920A8" w:rsidP="00F920A8">
      <w:pPr>
        <w:pStyle w:val="Textoindependiente"/>
        <w:spacing w:before="195" w:line="278" w:lineRule="auto"/>
        <w:ind w:right="-32"/>
        <w:jc w:val="both"/>
      </w:pPr>
      <w:r>
        <w:t>Efecto posible: La consecuencia más probable que puede llegar a generar un riesgo existente en el lugar de trabajo (ICONTEC, Guía Técnica Colombiana 45).</w:t>
      </w:r>
    </w:p>
    <w:p w:rsidR="00F920A8" w:rsidRDefault="00F920A8" w:rsidP="00F920A8">
      <w:pPr>
        <w:spacing w:line="278" w:lineRule="auto"/>
        <w:ind w:right="-32"/>
        <w:jc w:val="both"/>
        <w:rPr>
          <w:color w:val="212121"/>
        </w:rPr>
      </w:pPr>
      <w:r>
        <w:t>Enfermedad: Alteración o desviación del estado fisiológico en una o varias partes del cuerpo, por causas en general conocidas, manifestada por síntomas y unos signos característicos, y cuya evolución es más o menos previsible.</w:t>
      </w:r>
    </w:p>
    <w:p w:rsidR="00F920A8" w:rsidRDefault="00F920A8" w:rsidP="00F920A8">
      <w:pPr>
        <w:pStyle w:val="Textoindependiente"/>
        <w:spacing w:before="193" w:line="276" w:lineRule="auto"/>
        <w:ind w:right="-32"/>
        <w:jc w:val="both"/>
      </w:pPr>
      <w:r>
        <w:t>Enfermedad Laboral (EL): Es la contraída como resultado de la exposición a factores de riesgo inherentes a la actividad laboral o del medio en el cual el trabajador se ha visto obligado a trabajar. El Gobierno Nacional determinará en forma periódica las enfermedades que se consideran como laborales y en los casos en que la enfermedad no figure en la tabla de enfermedades laborales, pero se demuestre la relación de causalidad con los factores de riesgo ocupacionales será reconocida como enfermedad laboral, conforme lo establecido en las normas legales vigentes. (Ley 1562 de 2012).</w:t>
      </w:r>
    </w:p>
    <w:p w:rsidR="00F920A8" w:rsidRDefault="00F920A8" w:rsidP="00F920A8">
      <w:pPr>
        <w:pStyle w:val="Textoindependiente"/>
        <w:spacing w:line="276" w:lineRule="auto"/>
        <w:ind w:right="-32"/>
        <w:jc w:val="both"/>
      </w:pPr>
      <w:r>
        <w:t>Hipermetropía: Es el defecto refractivo (deficiencia visual) por ser el ojo demasiado corto o por poseer un poder demasiado débil, los rayos de luz son enfocados detrás de la retina. Produce mala visión de cerca, aunque cuando la edad y la salud general del paciente lo permiten se puede compensar mediante un esfuerzo acomodativo extra produciendo buena visión, pero con fatiga, cefalea e irritación. Se corrige con lentes progresivos o convergentes. Si la hipermetropía es muy fuerte se presentan problemas tanto en visión próxima como lejana.</w:t>
      </w:r>
    </w:p>
    <w:p w:rsidR="00984CB6" w:rsidRDefault="00CD164A" w:rsidP="00AD547B">
      <w:pPr>
        <w:pStyle w:val="Textoindependiente"/>
        <w:spacing w:before="1" w:line="276" w:lineRule="auto"/>
        <w:ind w:right="-32"/>
        <w:jc w:val="both"/>
      </w:pPr>
      <w:r>
        <w:t>Miopía: Es una deficiencia visual en la cual el ojo es demasiado largo o el poder del ojo es muy fuerte, de modo que la luz es enfocada delante de la retina produciendo visión borrosa de lejos. La miopía se corrige con la prescripción de lentes (divergentes o negativos) que hacen que la imagen se forme claramente.</w:t>
      </w:r>
    </w:p>
    <w:p w:rsidR="00984CB6" w:rsidRDefault="00CD164A" w:rsidP="00AD547B">
      <w:pPr>
        <w:pStyle w:val="Textoindependiente"/>
        <w:spacing w:before="199" w:line="276" w:lineRule="auto"/>
        <w:ind w:right="-32"/>
        <w:jc w:val="both"/>
      </w:pPr>
      <w:r>
        <w:t>Presbicia: Es la dificultad para ver nítidamente los objetos cercanos situados a menos de 40 cm de los ojos debido a la pérdida en la elasticidad del cristalino reduciendo la capacidad de acomodación (enfoque). Este proceso comienza generalmente después de los 40 años.</w:t>
      </w:r>
    </w:p>
    <w:p w:rsidR="00F920A8" w:rsidRDefault="00F920A8" w:rsidP="00F920A8">
      <w:pPr>
        <w:spacing w:before="191"/>
        <w:ind w:right="-32"/>
        <w:jc w:val="both"/>
      </w:pPr>
      <w:r>
        <w:t>SST: seguridad y salud en el trabajo.</w:t>
      </w:r>
    </w:p>
    <w:p w:rsidR="003A23D3" w:rsidRDefault="00CD164A" w:rsidP="00F920A8">
      <w:pPr>
        <w:pStyle w:val="Textoindependiente"/>
        <w:spacing w:before="92" w:line="278" w:lineRule="auto"/>
        <w:ind w:right="-32"/>
        <w:jc w:val="both"/>
      </w:pPr>
      <w:r>
        <w:t>Terigio: Es una hiperplasia o crecimiento desordenado de la mucosa que recubre el ojo externamente (conjuntiva).</w:t>
      </w:r>
    </w:p>
    <w:p w:rsidR="00CB0745" w:rsidRDefault="00CB0745" w:rsidP="00CB0745">
      <w:pPr>
        <w:pStyle w:val="Ttulo1"/>
      </w:pPr>
      <w:r>
        <w:t>RESPONSABILIDADES</w:t>
      </w:r>
    </w:p>
    <w:p w:rsidR="00CB0745" w:rsidRDefault="00CB0745" w:rsidP="00CB0745">
      <w:pPr>
        <w:pStyle w:val="Prrafodelista"/>
        <w:numPr>
          <w:ilvl w:val="1"/>
          <w:numId w:val="6"/>
        </w:numPr>
        <w:tabs>
          <w:tab w:val="left" w:pos="1503"/>
        </w:tabs>
        <w:ind w:right="1929"/>
        <w:jc w:val="both"/>
      </w:pPr>
      <w:r>
        <w:t xml:space="preserve">Carlos Andrés Muñoz Parra CC </w:t>
      </w:r>
    </w:p>
    <w:p w:rsidR="00CB0745" w:rsidRDefault="00CB0745" w:rsidP="00CB0745">
      <w:pPr>
        <w:pStyle w:val="Prrafodelista"/>
        <w:numPr>
          <w:ilvl w:val="1"/>
          <w:numId w:val="6"/>
        </w:numPr>
        <w:tabs>
          <w:tab w:val="left" w:pos="1503"/>
        </w:tabs>
        <w:ind w:right="1136"/>
        <w:jc w:val="both"/>
      </w:pPr>
      <w:r>
        <w:t>Departamento de SST: actualizar, emitir y garantizar la correcta aplicación del presente documento, al igual que coordinar y programar las actividades relacionadas con el presente SVE.</w:t>
      </w:r>
    </w:p>
    <w:p w:rsidR="00CB0745" w:rsidRDefault="00CB0745" w:rsidP="00CB0745">
      <w:pPr>
        <w:pStyle w:val="Prrafodelista"/>
        <w:numPr>
          <w:ilvl w:val="1"/>
          <w:numId w:val="6"/>
        </w:numPr>
        <w:tabs>
          <w:tab w:val="left" w:pos="1500"/>
        </w:tabs>
        <w:ind w:right="1114"/>
        <w:jc w:val="both"/>
      </w:pPr>
      <w:r>
        <w:t>Supervisores en campo: ejecutar y/o apoyar las actividades correspondientes al cumplimiento del programa de vigilancia epidemiológica para conservación visual.</w:t>
      </w:r>
    </w:p>
    <w:p w:rsidR="00984CB6" w:rsidRDefault="00CD164A" w:rsidP="00BC7537">
      <w:pPr>
        <w:pStyle w:val="Ttulo1"/>
        <w:jc w:val="both"/>
      </w:pPr>
      <w:r>
        <w:t>CONDICIONES GENERALES</w:t>
      </w:r>
    </w:p>
    <w:p w:rsidR="00984CB6" w:rsidRDefault="00CD164A" w:rsidP="00AD547B">
      <w:pPr>
        <w:pStyle w:val="Prrafodelista"/>
        <w:numPr>
          <w:ilvl w:val="0"/>
          <w:numId w:val="2"/>
        </w:numPr>
        <w:spacing w:line="278" w:lineRule="auto"/>
        <w:ind w:left="993" w:right="-32"/>
        <w:jc w:val="both"/>
      </w:pPr>
      <w:r>
        <w:t>Examen visual (optometría), se realizará de ingreso y periódico (anual) a todo el personal de la empresa.</w:t>
      </w:r>
    </w:p>
    <w:p w:rsidR="00984CB6" w:rsidRDefault="00CD164A" w:rsidP="00AD547B">
      <w:pPr>
        <w:pStyle w:val="Prrafodelista"/>
        <w:numPr>
          <w:ilvl w:val="0"/>
          <w:numId w:val="2"/>
        </w:numPr>
        <w:spacing w:line="276" w:lineRule="auto"/>
        <w:ind w:left="993" w:right="-32"/>
        <w:jc w:val="both"/>
      </w:pPr>
      <w:r>
        <w:t>Se realizará el seguimiento a las recomendaciones visuales emitidas por el medico laboral en los exámenes ocupacionales.</w:t>
      </w:r>
    </w:p>
    <w:p w:rsidR="00984CB6" w:rsidRDefault="00CD164A" w:rsidP="00BC7537">
      <w:pPr>
        <w:pStyle w:val="Ttulo1"/>
        <w:jc w:val="both"/>
      </w:pPr>
      <w:r>
        <w:t>MEDIDAS DE CONTROL</w:t>
      </w:r>
    </w:p>
    <w:p w:rsidR="00984CB6" w:rsidRPr="00E12525" w:rsidRDefault="00CB0745" w:rsidP="00AD547B">
      <w:pPr>
        <w:jc w:val="both"/>
        <w:rPr>
          <w:b/>
        </w:rPr>
      </w:pPr>
      <w:r>
        <w:t>6.1 Actividades de prevención y promoción:</w:t>
      </w:r>
    </w:p>
    <w:p w:rsidR="00830E2C" w:rsidRDefault="00CD164A" w:rsidP="00AD547B">
      <w:pPr>
        <w:pStyle w:val="Textoindependiente"/>
        <w:spacing w:before="41" w:line="278" w:lineRule="auto"/>
        <w:ind w:left="426" w:right="-32"/>
        <w:jc w:val="both"/>
      </w:pPr>
      <w:r>
        <w:t>Anualmente la empresa realizara una actividad orientada a la prevención y la conservación de la agudeza visual durante la semana de la salud.</w:t>
      </w:r>
    </w:p>
    <w:p w:rsidR="00984CB6" w:rsidRDefault="00CD164A" w:rsidP="00BC7537">
      <w:pPr>
        <w:pStyle w:val="Ttulo1"/>
        <w:jc w:val="both"/>
      </w:pPr>
      <w:r>
        <w:t>SEGUIMIENTO AL SISTEMA DE VIGILANCIA EPIDEMIOLÓGICA</w:t>
      </w:r>
    </w:p>
    <w:p w:rsidR="00984CB6" w:rsidRDefault="00CD164A" w:rsidP="00AD547B">
      <w:pPr>
        <w:pStyle w:val="Textoindependiente"/>
        <w:spacing w:line="276" w:lineRule="auto"/>
        <w:ind w:right="-32"/>
        <w:jc w:val="both"/>
      </w:pPr>
      <w:r>
        <w:t>Trimestral se hará seguimiento al sistema de vigilancia establecido, buscando identificar fortalezas y falencias en el proceso. De acuerdo con esto se realizarán los ajustes que se requieran en el sistema o se implementarán medidas adicionales de sensibilización que promueva la participación en el proceso.</w:t>
      </w:r>
    </w:p>
    <w:p w:rsidR="00984CB6" w:rsidRDefault="00CD164A" w:rsidP="00BC7537">
      <w:pPr>
        <w:pStyle w:val="Ttulo1"/>
        <w:jc w:val="both"/>
      </w:pPr>
      <w:r>
        <w:t>REGISTROS</w:t>
      </w:r>
    </w:p>
    <w:p w:rsidR="00984CB6" w:rsidRDefault="00CD164A" w:rsidP="00AD547B">
      <w:pPr>
        <w:pStyle w:val="Prrafodelista"/>
        <w:numPr>
          <w:ilvl w:val="0"/>
          <w:numId w:val="1"/>
        </w:numPr>
        <w:tabs>
          <w:tab w:val="left" w:pos="851"/>
        </w:tabs>
        <w:spacing w:before="41"/>
        <w:ind w:left="851" w:hanging="361"/>
        <w:jc w:val="both"/>
      </w:pPr>
      <w:r>
        <w:t>Examen de visual (Optometría)</w:t>
      </w:r>
    </w:p>
    <w:p w:rsidR="00984CB6" w:rsidRDefault="00CD164A" w:rsidP="00AD547B">
      <w:pPr>
        <w:pStyle w:val="Prrafodelista"/>
        <w:numPr>
          <w:ilvl w:val="0"/>
          <w:numId w:val="1"/>
        </w:numPr>
        <w:tabs>
          <w:tab w:val="left" w:pos="851"/>
        </w:tabs>
        <w:ind w:left="851" w:hanging="361"/>
        <w:jc w:val="both"/>
      </w:pPr>
      <w:r>
        <w:t>Cartas de recomendaciones médicas</w:t>
      </w:r>
    </w:p>
    <w:p w:rsidR="00984CB6" w:rsidRDefault="00CD164A" w:rsidP="00AD547B">
      <w:pPr>
        <w:pStyle w:val="Prrafodelista"/>
        <w:numPr>
          <w:ilvl w:val="0"/>
          <w:numId w:val="1"/>
        </w:numPr>
        <w:tabs>
          <w:tab w:val="left" w:pos="851"/>
        </w:tabs>
        <w:ind w:left="851" w:hanging="361"/>
        <w:jc w:val="both"/>
      </w:pPr>
      <w:r>
        <w:t>Seguimiento a las recomendaciones.</w:t>
      </w:r>
    </w:p>
    <w:p w:rsidR="00E12525" w:rsidRDefault="00E12525" w:rsidP="00E12525">
      <w:pPr>
        <w:tabs>
          <w:tab w:val="left" w:pos="1819"/>
        </w:tabs>
      </w:pPr>
      <w:r/>
    </w:p>
    <w:tbl>
      <w:tblPr>
        <w:tblStyle w:val="Tablaconcuadrcula"/>
        <w:tblW w:w="0" w:type="auto"/>
        <w:jc w:val="center"/>
        <w:tblLook w:val="04A0" w:firstRow="1" w:lastRow="0" w:firstColumn="1" w:lastColumn="0" w:noHBand="0" w:noVBand="1"/>
      </w:tblPr>
      <w:tblGrid>
        <w:gridCol w:w="1271"/>
        <w:gridCol w:w="1559"/>
        <w:gridCol w:w="5998"/>
      </w:tblGrid>
      <w:tr w:rsidR="00E12525" w:rsidRPr="00512963" w:rsidTr="007D501C">
        <w:trPr>
          <w:jc w:val="center"/>
        </w:trPr>
        <w:tc>
          <w:tcPr>
            <w:tcW w:w="1271" w:type="dxa"/>
            <w:shd w:val="clear" w:color="auto" w:fill="95B3D7" w:themeFill="accent1" w:themeFillTint="99"/>
          </w:tcPr>
          <w:p>
            <w:r>
              <w:t>Versión</w:t>
            </w:r>
          </w:p>
        </w:tc>
        <w:tc>
          <w:tcPr>
            <w:tcW w:w="1559" w:type="dxa"/>
            <w:shd w:val="clear" w:color="auto" w:fill="95B3D7" w:themeFill="accent1" w:themeFillTint="99"/>
          </w:tcPr>
          <w:p>
            <w:r>
              <w:t>Fecha: 02/02/2026</w:t>
            </w:r>
          </w:p>
        </w:tc>
        <w:tc>
          <w:tcPr>
            <w:tcW w:w="5998" w:type="dxa"/>
            <w:shd w:val="clear" w:color="auto" w:fill="95B3D7" w:themeFill="accent1" w:themeFillTint="99"/>
          </w:tcPr>
          <w:p>
            <w:r>
              <w:t>Cambio Realizado</w:t>
            </w:r>
          </w:p>
        </w:tc>
      </w:tr>
      <w:tr w:rsidR="00E12525" w:rsidRPr="00512963" w:rsidTr="007D501C">
        <w:trPr>
          <w:jc w:val="center"/>
        </w:trPr>
        <w:tc>
          <w:tcPr>
            <w:tcW w:w="1271" w:type="dxa"/>
          </w:tcPr>
          <w:p>
            <w:r>
              <w:t>001</w:t>
            </w:r>
          </w:p>
        </w:tc>
        <w:tc>
          <w:tcPr>
            <w:tcW w:w="1559" w:type="dxa"/>
          </w:tcPr>
          <w:p>
            <w:r>
              <w:t>Oct/20</w:t>
            </w:r>
          </w:p>
        </w:tc>
        <w:tc>
          <w:tcPr>
            <w:tcW w:w="5998" w:type="dxa"/>
          </w:tcPr>
          <w:p>
            <w:r>
              <w:t>Se realiza documento</w:t>
            </w:r>
          </w:p>
        </w:tc>
      </w:tr>
      <w:tr w:rsidR="00E12525" w:rsidRPr="00512963" w:rsidTr="007D501C">
        <w:trPr>
          <w:jc w:val="center"/>
        </w:trPr>
        <w:tc>
          <w:tcPr>
            <w:tcW w:w="1271" w:type="dxa"/>
          </w:tcPr>
          <w:p>
            <w:r>
              <w:t>002</w:t>
            </w:r>
          </w:p>
        </w:tc>
        <w:tc>
          <w:tcPr>
            <w:tcW w:w="1559" w:type="dxa"/>
          </w:tcPr>
          <w:p>
            <w:r>
              <w:t>Feb/22</w:t>
            </w:r>
          </w:p>
        </w:tc>
        <w:tc>
          <w:tcPr>
            <w:tcW w:w="5998" w:type="dxa"/>
          </w:tcPr>
          <w:p>
            <w:r>
              <w:t>Se realiza cambio de logo</w:t>
            </w:r>
          </w:p>
        </w:tc>
      </w:tr>
      <w:bookmarkEnd w:id="21"/>
    </w:tbl>
    <w:p w:rsidR="00E12525" w:rsidRDefault="00E12525" w:rsidP="00E12525">
      <w:pPr>
        <w:tabs>
          <w:tab w:val="left" w:pos="1819"/>
        </w:tabs>
      </w:pPr>
      <w:r/>
    </w:p>
    <w:tbl>
      <w:tblPr>
        <w:tblpPr w:leftFromText="180" w:rightFromText="180" w:vertAnchor="text" w:horzAnchor="margin" w:tblpXSpec="center" w:tblpY="20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294"/>
        <w:gridCol w:w="4036"/>
      </w:tblGrid>
      <w:tr w:rsidR="00F920A8" w:rsidRPr="008F7D24" w:rsidTr="00F920A8">
        <w:trPr>
          <w:trHeight w:val="175"/>
        </w:trPr>
        <w:tc>
          <w:tcPr>
            <w:tcW w:w="4294" w:type="dxa"/>
            <w:shd w:val="clear" w:color="auto" w:fill="auto"/>
          </w:tcPr>
          <w:p>
            <w:r>
              <w:t>Realizado por:</w:t>
            </w:r>
          </w:p>
        </w:tc>
        <w:tc>
          <w:tcPr>
            <w:tcW w:w="4036" w:type="dxa"/>
            <w:shd w:val="clear" w:color="auto" w:fill="auto"/>
          </w:tcPr>
          <w:p>
            <w:r>
              <w:t>aprobado por:</w:t>
            </w:r>
          </w:p>
        </w:tc>
      </w:tr>
      <w:tr w:rsidR="00F920A8" w:rsidRPr="008F7D24" w:rsidTr="00F920A8">
        <w:trPr>
          <w:trHeight w:val="844"/>
        </w:trPr>
        <w:tc>
          <w:tcPr>
            <w:tcW w:w="4294" w:type="dxa"/>
            <w:shd w:val="clear" w:color="auto" w:fill="auto"/>
          </w:tcPr>
          <w:p>
            <w:r>
              <w:t>Nombre: ___________________________</w:t>
            </w:r>
          </w:p>
        </w:tc>
        <w:tc>
          <w:tcPr>
            <w:tcW w:w="4036" w:type="dxa"/>
            <w:shd w:val="clear" w:color="auto" w:fill="auto"/>
          </w:tcPr>
          <w:p>
            <w:r>
              <w:t>Nombre: Carlos Andrés Muñoz Parra</w:t>
            </w:r>
          </w:p>
        </w:tc>
      </w:tr>
      <w:tr w:rsidR="00F920A8" w:rsidRPr="008F7D24" w:rsidTr="00F920A8">
        <w:trPr>
          <w:trHeight w:val="374"/>
        </w:trPr>
        <w:tc>
          <w:tcPr>
            <w:tcW w:w="4294" w:type="dxa"/>
            <w:shd w:val="clear" w:color="auto" w:fill="auto"/>
          </w:tcPr>
          <w:p>
            <w:r>
              <w:t>Fecha: 02/02/2026</w:t>
            </w:r>
          </w:p>
        </w:tc>
        <w:tc>
          <w:tcPr>
            <w:tcW w:w="4036" w:type="dxa"/>
            <w:shd w:val="clear" w:color="auto" w:fill="auto"/>
          </w:tcPr>
          <w:p>
            <w:r>
              <w:t>Fecha: 02/02/2026</w:t>
            </w:r>
          </w:p>
        </w:tc>
      </w:tr>
    </w:tbl>
    <w:p w:rsidR="00AD547B" w:rsidRPr="00E12525" w:rsidRDefault="00AD547B" w:rsidP="00E12525">
      <w:pPr>
        <w:tabs>
          <w:tab w:val="left" w:pos="1819"/>
        </w:tabs>
      </w:pPr>
      <w:r/>
    </w:p>
    <w:sectPr w:rsidR="00AD547B" w:rsidRPr="00E12525" w:rsidSect="00BC7537">
      <w:headerReference w:type="default" r:id="rId12"/>
      <w:headerReference w:type="first" r:id="rId15"/>
      <w:headerReference w:type="even" r:id="rId16"/>
      <w:footerReference w:type="default" r:id="rId17"/>
      <w:footerReference w:type="first" r:id="rId18"/>
      <w:footerReference w:type="even" r:id="rId19"/>
      <w:pgSz w:w="11910" w:h="16840"/>
      <w:pgMar w:top="1435" w:right="1435" w:bottom="1435" w:left="1435" w:header="713" w:footer="1000" w:gutter="0"/>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16C50" w:rsidRDefault="00F16C50">
      <w:r>
        <w:separator/>
      </w:r>
    </w:p>
  </w:endnote>
  <w:endnote w:type="continuationSeparator" w:id="0">
    <w:p w:rsidR="00F16C50" w:rsidRDefault="00F16C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16C50" w:rsidRDefault="00F16C50">
      <w:r>
        <w:separator/>
      </w:r>
    </w:p>
  </w:footnote>
  <w:footnote w:type="continuationSeparator" w:id="0">
    <w:p w:rsidR="00F16C50" w:rsidRDefault="00F16C5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aconcuadrcula"/>
      <w:tblW w:w="10787" w:type="dxa"/>
      <w:jc w:val="center"/>
      <w:tblCellMar>
        <w:left w:w="70" w:type="dxa"/>
        <w:right w:w="70" w:type="dxa"/>
      </w:tblCellMar>
      <w:tblLook w:val="04A0" w:firstRow="1" w:lastRow="0" w:firstColumn="1" w:lastColumn="0" w:noHBand="0" w:noVBand="1"/>
    </w:tblPr>
    <w:tblGrid>
      <w:gridCol w:w="2473"/>
      <w:gridCol w:w="5023"/>
      <w:gridCol w:w="3291"/>
    </w:tblGrid>
    <w:tr w:rsidR="00635BC7" w:rsidRPr="00217F45" w:rsidTr="002D7288">
      <w:trPr>
        <w:trHeight w:val="213"/>
        <w:jc w:val="center"/>
      </w:trPr>
      <w:tc>
        <w:tcPr>
          <w:tcW w:w="2473" w:type="dxa"/>
          <w:vMerge w:val="restart"/>
        </w:tcPr>
        <w:p>
          <w:r>
            <w:rPr>
              <w:rFonts w:ascii="Times New Roman" w:hAnsi="Times New Roman"/>
              <w:sz w:val="24"/>
            </w:rPr>
          </w:r>
        </w:p>
      </w:tc>
      <w:tc>
        <w:tcPr>
          <w:tcW w:w="5023" w:type="dxa"/>
          <w:vMerge w:val="restart"/>
          <w:vAlign w:val="center"/>
        </w:tcPr>
        <w:p w:rsidR="00635BC7" w:rsidRPr="00217F45" w:rsidRDefault="00635BC7" w:rsidP="00635BC7">
          <w:pPr>
            <w:pStyle w:val="Encabezado"/>
            <w:spacing w:before="0" w:after="0"/>
            <w:jc w:val="center"/>
            <w:rPr>
              <w:bCs/>
            </w:rPr>
          </w:pPr>
          <w:r>
            <w:rPr>
              <w:rFonts w:ascii="Times New Roman" w:hAnsi="Times New Roman"/>
              <w:sz w:val="24"/>
            </w:rPr>
            <w:t>PROGRAMA SVE CONSERVACIÓN VISUAL</w:t>
          </w:r>
        </w:p>
      </w:tc>
      <w:tc>
        <w:tcPr>
          <w:tcW w:w="3291" w:type="dxa"/>
        </w:tcPr>
        <w:p w:rsidR="00635BC7" w:rsidRPr="00217F45" w:rsidRDefault="00635BC7" w:rsidP="002D7288">
          <w:pPr>
            <w:pStyle w:val="Encabezado"/>
            <w:spacing w:before="0" w:after="0"/>
            <w:rPr>
              <w:bCs/>
            </w:rPr>
          </w:pPr>
          <w:r>
            <w:rPr>
              <w:rFonts w:ascii="Times New Roman" w:hAnsi="Times New Roman"/>
              <w:sz w:val="24"/>
            </w:rPr>
            <w:t>Fecha: 01/02/2026</w:t>
          </w:r>
        </w:p>
      </w:tc>
    </w:tr>
    <w:tr w:rsidR="00635BC7" w:rsidRPr="00217F45" w:rsidTr="002D7288">
      <w:tblPrEx>
        <w:tblCellMar>
          <w:left w:w="108" w:type="dxa"/>
          <w:right w:w="108" w:type="dxa"/>
        </w:tblCellMar>
      </w:tblPrEx>
      <w:trPr>
        <w:trHeight w:val="213"/>
        <w:jc w:val="center"/>
      </w:trPr>
      <w:tc>
        <w:tcPr>
          <w:tcW w:w="2473" w:type="dxa"/>
          <w:vMerge/>
        </w:tcPr>
        <w:p w:rsidR="00635BC7" w:rsidRPr="00217F45" w:rsidRDefault="00635BC7" w:rsidP="002D7288">
          <w:pPr>
            <w:pStyle w:val="Encabezado"/>
            <w:spacing w:before="0" w:after="0"/>
            <w:rPr>
              <w:b/>
              <w:bCs/>
            </w:rPr>
          </w:pPr>
        </w:p>
      </w:tc>
      <w:tc>
        <w:tcPr>
          <w:tcW w:w="5023" w:type="dxa"/>
          <w:vMerge/>
        </w:tcPr>
        <w:p w:rsidR="00635BC7" w:rsidRPr="00217F45" w:rsidRDefault="00635BC7" w:rsidP="002D7288">
          <w:pPr>
            <w:pStyle w:val="Encabezado"/>
            <w:spacing w:before="0" w:after="0"/>
            <w:rPr>
              <w:b/>
              <w:bCs/>
            </w:rPr>
          </w:pPr>
        </w:p>
      </w:tc>
      <w:tc>
        <w:tcPr>
          <w:tcW w:w="3291" w:type="dxa"/>
        </w:tcPr>
        <w:p w:rsidR="00635BC7" w:rsidRPr="00217F45" w:rsidRDefault="00635BC7" w:rsidP="002D7288">
          <w:pPr>
            <w:pStyle w:val="Encabezado"/>
            <w:spacing w:before="0" w:after="0"/>
            <w:rPr>
              <w:b/>
              <w:bCs/>
            </w:rPr>
          </w:pPr>
          <w:r w:rsidRPr="00217F45">
            <w:rPr>
              <w:rFonts w:ascii="Times New Roman" w:hAnsi="Times New Roman"/>
              <w:b/>
              <w:bCs/>
              <w:sz w:val="24"/>
            </w:rPr>
            <w:t>Versión: 1</w:t>
          </w:r>
          <w:r w:rsidRPr="00217F45">
            <w:rPr>
              <w:rFonts w:ascii="Times New Roman" w:hAnsi="Times New Roman"/>
              <w:bCs/>
              <w:sz w:val="24"/>
            </w:rPr>
          </w:r>
        </w:p>
      </w:tc>
    </w:tr>
    <w:tr w:rsidR="00635BC7" w:rsidRPr="00217F45" w:rsidTr="002D7288">
      <w:tblPrEx>
        <w:tblCellMar>
          <w:left w:w="108" w:type="dxa"/>
          <w:right w:w="108" w:type="dxa"/>
        </w:tblCellMar>
      </w:tblPrEx>
      <w:trPr>
        <w:trHeight w:val="276"/>
        <w:jc w:val="center"/>
      </w:trPr>
      <w:tc>
        <w:tcPr>
          <w:tcW w:w="2473" w:type="dxa"/>
          <w:vMerge/>
        </w:tcPr>
        <w:p w:rsidR="00635BC7" w:rsidRPr="00217F45" w:rsidRDefault="00635BC7" w:rsidP="002D7288">
          <w:pPr>
            <w:pStyle w:val="Encabezado"/>
            <w:spacing w:before="0" w:after="0"/>
            <w:rPr>
              <w:b/>
              <w:bCs/>
            </w:rPr>
          </w:pPr>
        </w:p>
      </w:tc>
      <w:tc>
        <w:tcPr>
          <w:tcW w:w="5023" w:type="dxa"/>
          <w:vMerge/>
        </w:tcPr>
        <w:p w:rsidR="00635BC7" w:rsidRPr="00217F45" w:rsidRDefault="00635BC7" w:rsidP="002D7288">
          <w:pPr>
            <w:pStyle w:val="Encabezado"/>
            <w:spacing w:before="0" w:after="0"/>
            <w:rPr>
              <w:b/>
              <w:bCs/>
            </w:rPr>
          </w:pPr>
        </w:p>
      </w:tc>
      <w:tc>
        <w:tcPr>
          <w:tcW w:w="3291" w:type="dxa"/>
        </w:tcPr>
        <w:p w:rsidR="00635BC7" w:rsidRPr="00217F45" w:rsidRDefault="00635BC7" w:rsidP="002D7288">
          <w:pPr>
            <w:pStyle w:val="Encabezado"/>
            <w:spacing w:before="0" w:after="0"/>
            <w:rPr>
              <w:b/>
              <w:bCs/>
            </w:rPr>
          </w:pPr>
          <w:r>
            <w:rPr>
              <w:rFonts w:ascii="Times New Roman" w:hAnsi="Times New Roman"/>
              <w:sz w:val="24"/>
            </w:rPr>
            <w:t>Código: FG-FOR-SST-150</w:t>
          </w:r>
        </w:p>
      </w:tc>
    </w:tr>
  </w:tbl>
  <w:p w:rsidR="00BC7537" w:rsidRPr="00240D4B" w:rsidRDefault="00BC7537" w:rsidP="00240D4B">
    <w:pPr>
      <w:pStyle w:val="Encabezado"/>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1C17FF"/>
    <w:multiLevelType w:val="multilevel"/>
    <w:tmpl w:val="60A048EA"/>
    <w:lvl w:ilvl="0">
      <w:start w:val="1"/>
      <w:numFmt w:val="decimal"/>
      <w:lvlText w:val="%1."/>
      <w:lvlJc w:val="left"/>
      <w:pPr>
        <w:ind w:left="1538" w:hanging="440"/>
      </w:pPr>
      <w:rPr>
        <w:rFonts w:ascii="Arial" w:eastAsia="Arial" w:hAnsi="Arial" w:cs="Arial" w:hint="default"/>
        <w:spacing w:val="-2"/>
        <w:w w:val="99"/>
        <w:sz w:val="24"/>
        <w:szCs w:val="24"/>
        <w:lang w:val="es-ES" w:eastAsia="en-US" w:bidi="ar-SA"/>
      </w:rPr>
    </w:lvl>
    <w:lvl w:ilvl="1">
      <w:start w:val="1"/>
      <w:numFmt w:val="decimal"/>
      <w:lvlText w:val="%1.%2"/>
      <w:lvlJc w:val="left"/>
      <w:pPr>
        <w:ind w:left="1721" w:hanging="403"/>
      </w:pPr>
      <w:rPr>
        <w:rFonts w:ascii="Arial" w:eastAsia="Arial" w:hAnsi="Arial" w:cs="Arial" w:hint="default"/>
        <w:w w:val="99"/>
        <w:sz w:val="24"/>
        <w:szCs w:val="24"/>
        <w:lang w:val="es-ES" w:eastAsia="en-US" w:bidi="ar-SA"/>
      </w:rPr>
    </w:lvl>
    <w:lvl w:ilvl="2">
      <w:numFmt w:val="bullet"/>
      <w:lvlText w:val="•"/>
      <w:lvlJc w:val="left"/>
      <w:pPr>
        <w:ind w:left="2782" w:hanging="403"/>
      </w:pPr>
      <w:rPr>
        <w:rFonts w:hint="default"/>
        <w:lang w:val="es-ES" w:eastAsia="en-US" w:bidi="ar-SA"/>
      </w:rPr>
    </w:lvl>
    <w:lvl w:ilvl="3">
      <w:numFmt w:val="bullet"/>
      <w:lvlText w:val="•"/>
      <w:lvlJc w:val="left"/>
      <w:pPr>
        <w:ind w:left="3845" w:hanging="403"/>
      </w:pPr>
      <w:rPr>
        <w:rFonts w:hint="default"/>
        <w:lang w:val="es-ES" w:eastAsia="en-US" w:bidi="ar-SA"/>
      </w:rPr>
    </w:lvl>
    <w:lvl w:ilvl="4">
      <w:numFmt w:val="bullet"/>
      <w:lvlText w:val="•"/>
      <w:lvlJc w:val="left"/>
      <w:pPr>
        <w:ind w:left="4908" w:hanging="403"/>
      </w:pPr>
      <w:rPr>
        <w:rFonts w:hint="default"/>
        <w:lang w:val="es-ES" w:eastAsia="en-US" w:bidi="ar-SA"/>
      </w:rPr>
    </w:lvl>
    <w:lvl w:ilvl="5">
      <w:numFmt w:val="bullet"/>
      <w:lvlText w:val="•"/>
      <w:lvlJc w:val="left"/>
      <w:pPr>
        <w:ind w:left="5971" w:hanging="403"/>
      </w:pPr>
      <w:rPr>
        <w:rFonts w:hint="default"/>
        <w:lang w:val="es-ES" w:eastAsia="en-US" w:bidi="ar-SA"/>
      </w:rPr>
    </w:lvl>
    <w:lvl w:ilvl="6">
      <w:numFmt w:val="bullet"/>
      <w:lvlText w:val="•"/>
      <w:lvlJc w:val="left"/>
      <w:pPr>
        <w:ind w:left="7034" w:hanging="403"/>
      </w:pPr>
      <w:rPr>
        <w:rFonts w:hint="default"/>
        <w:lang w:val="es-ES" w:eastAsia="en-US" w:bidi="ar-SA"/>
      </w:rPr>
    </w:lvl>
    <w:lvl w:ilvl="7">
      <w:numFmt w:val="bullet"/>
      <w:lvlText w:val="•"/>
      <w:lvlJc w:val="left"/>
      <w:pPr>
        <w:ind w:left="8097" w:hanging="403"/>
      </w:pPr>
      <w:rPr>
        <w:rFonts w:hint="default"/>
        <w:lang w:val="es-ES" w:eastAsia="en-US" w:bidi="ar-SA"/>
      </w:rPr>
    </w:lvl>
    <w:lvl w:ilvl="8">
      <w:numFmt w:val="bullet"/>
      <w:lvlText w:val="•"/>
      <w:lvlJc w:val="left"/>
      <w:pPr>
        <w:ind w:left="9160" w:hanging="403"/>
      </w:pPr>
      <w:rPr>
        <w:rFonts w:hint="default"/>
        <w:lang w:val="es-ES" w:eastAsia="en-US" w:bidi="ar-SA"/>
      </w:rPr>
    </w:lvl>
  </w:abstractNum>
  <w:abstractNum w:abstractNumId="1">
    <w:nsid w:val="18B10644"/>
    <w:multiLevelType w:val="hybridMultilevel"/>
    <w:tmpl w:val="1D3A912C"/>
    <w:lvl w:ilvl="0" w:tplc="C276CA98">
      <w:numFmt w:val="bullet"/>
      <w:lvlText w:val=""/>
      <w:lvlJc w:val="left"/>
      <w:pPr>
        <w:ind w:left="1458" w:hanging="360"/>
      </w:pPr>
      <w:rPr>
        <w:rFonts w:ascii="Wingdings" w:eastAsia="Wingdings" w:hAnsi="Wingdings" w:cs="Wingdings" w:hint="default"/>
        <w:w w:val="100"/>
        <w:sz w:val="24"/>
        <w:szCs w:val="24"/>
        <w:lang w:val="es-ES" w:eastAsia="en-US" w:bidi="ar-SA"/>
      </w:rPr>
    </w:lvl>
    <w:lvl w:ilvl="1" w:tplc="B582C7AC">
      <w:numFmt w:val="bullet"/>
      <w:lvlText w:val="•"/>
      <w:lvlJc w:val="left"/>
      <w:pPr>
        <w:ind w:left="2442" w:hanging="360"/>
      </w:pPr>
      <w:rPr>
        <w:rFonts w:hint="default"/>
        <w:lang w:val="es-ES" w:eastAsia="en-US" w:bidi="ar-SA"/>
      </w:rPr>
    </w:lvl>
    <w:lvl w:ilvl="2" w:tplc="8BAE0650">
      <w:numFmt w:val="bullet"/>
      <w:lvlText w:val="•"/>
      <w:lvlJc w:val="left"/>
      <w:pPr>
        <w:ind w:left="3425" w:hanging="360"/>
      </w:pPr>
      <w:rPr>
        <w:rFonts w:hint="default"/>
        <w:lang w:val="es-ES" w:eastAsia="en-US" w:bidi="ar-SA"/>
      </w:rPr>
    </w:lvl>
    <w:lvl w:ilvl="3" w:tplc="8CBA5BD8">
      <w:numFmt w:val="bullet"/>
      <w:lvlText w:val="•"/>
      <w:lvlJc w:val="left"/>
      <w:pPr>
        <w:ind w:left="4407" w:hanging="360"/>
      </w:pPr>
      <w:rPr>
        <w:rFonts w:hint="default"/>
        <w:lang w:val="es-ES" w:eastAsia="en-US" w:bidi="ar-SA"/>
      </w:rPr>
    </w:lvl>
    <w:lvl w:ilvl="4" w:tplc="EC68110A">
      <w:numFmt w:val="bullet"/>
      <w:lvlText w:val="•"/>
      <w:lvlJc w:val="left"/>
      <w:pPr>
        <w:ind w:left="5390" w:hanging="360"/>
      </w:pPr>
      <w:rPr>
        <w:rFonts w:hint="default"/>
        <w:lang w:val="es-ES" w:eastAsia="en-US" w:bidi="ar-SA"/>
      </w:rPr>
    </w:lvl>
    <w:lvl w:ilvl="5" w:tplc="FB84951E">
      <w:numFmt w:val="bullet"/>
      <w:lvlText w:val="•"/>
      <w:lvlJc w:val="left"/>
      <w:pPr>
        <w:ind w:left="6373" w:hanging="360"/>
      </w:pPr>
      <w:rPr>
        <w:rFonts w:hint="default"/>
        <w:lang w:val="es-ES" w:eastAsia="en-US" w:bidi="ar-SA"/>
      </w:rPr>
    </w:lvl>
    <w:lvl w:ilvl="6" w:tplc="4288BAE0">
      <w:numFmt w:val="bullet"/>
      <w:lvlText w:val="•"/>
      <w:lvlJc w:val="left"/>
      <w:pPr>
        <w:ind w:left="7355" w:hanging="360"/>
      </w:pPr>
      <w:rPr>
        <w:rFonts w:hint="default"/>
        <w:lang w:val="es-ES" w:eastAsia="en-US" w:bidi="ar-SA"/>
      </w:rPr>
    </w:lvl>
    <w:lvl w:ilvl="7" w:tplc="D874956E">
      <w:numFmt w:val="bullet"/>
      <w:lvlText w:val="•"/>
      <w:lvlJc w:val="left"/>
      <w:pPr>
        <w:ind w:left="8338" w:hanging="360"/>
      </w:pPr>
      <w:rPr>
        <w:rFonts w:hint="default"/>
        <w:lang w:val="es-ES" w:eastAsia="en-US" w:bidi="ar-SA"/>
      </w:rPr>
    </w:lvl>
    <w:lvl w:ilvl="8" w:tplc="3418DC00">
      <w:numFmt w:val="bullet"/>
      <w:lvlText w:val="•"/>
      <w:lvlJc w:val="left"/>
      <w:pPr>
        <w:ind w:left="9321" w:hanging="360"/>
      </w:pPr>
      <w:rPr>
        <w:rFonts w:hint="default"/>
        <w:lang w:val="es-ES" w:eastAsia="en-US" w:bidi="ar-SA"/>
      </w:rPr>
    </w:lvl>
  </w:abstractNum>
  <w:abstractNum w:abstractNumId="2">
    <w:nsid w:val="34612B53"/>
    <w:multiLevelType w:val="multilevel"/>
    <w:tmpl w:val="7124D990"/>
    <w:lvl w:ilvl="0">
      <w:start w:val="1"/>
      <w:numFmt w:val="decimal"/>
      <w:pStyle w:val="Ttulo1"/>
      <w:lvlText w:val="%1."/>
      <w:lvlJc w:val="left"/>
      <w:pPr>
        <w:ind w:left="720" w:hanging="360"/>
      </w:p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160" w:hanging="1800"/>
      </w:pPr>
      <w:rPr>
        <w:rFonts w:hint="default"/>
        <w:b/>
      </w:rPr>
    </w:lvl>
  </w:abstractNum>
  <w:abstractNum w:abstractNumId="3">
    <w:nsid w:val="3C37544B"/>
    <w:multiLevelType w:val="hybridMultilevel"/>
    <w:tmpl w:val="1BEA6784"/>
    <w:lvl w:ilvl="0" w:tplc="A97EBFD8">
      <w:start w:val="1"/>
      <w:numFmt w:val="decimal"/>
      <w:pStyle w:val="Ttulo"/>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nsid w:val="570943C9"/>
    <w:multiLevelType w:val="multilevel"/>
    <w:tmpl w:val="BD760CCC"/>
    <w:lvl w:ilvl="0">
      <w:start w:val="1"/>
      <w:numFmt w:val="decimal"/>
      <w:lvlText w:val="%1."/>
      <w:lvlJc w:val="left"/>
      <w:pPr>
        <w:ind w:left="1458" w:hanging="360"/>
      </w:pPr>
      <w:rPr>
        <w:rFonts w:ascii="Arial" w:eastAsia="Arial" w:hAnsi="Arial" w:cs="Arial" w:hint="default"/>
        <w:b/>
        <w:bCs/>
        <w:spacing w:val="-8"/>
        <w:w w:val="99"/>
        <w:sz w:val="24"/>
        <w:szCs w:val="24"/>
        <w:lang w:val="es-ES" w:eastAsia="en-US" w:bidi="ar-SA"/>
      </w:rPr>
    </w:lvl>
    <w:lvl w:ilvl="1">
      <w:start w:val="1"/>
      <w:numFmt w:val="decimal"/>
      <w:lvlText w:val="%1.%2"/>
      <w:lvlJc w:val="left"/>
      <w:pPr>
        <w:ind w:left="1098" w:hanging="404"/>
      </w:pPr>
      <w:rPr>
        <w:rFonts w:ascii="Arial" w:eastAsia="Arial" w:hAnsi="Arial" w:cs="Arial" w:hint="default"/>
        <w:b/>
        <w:bCs/>
        <w:w w:val="99"/>
        <w:sz w:val="24"/>
        <w:szCs w:val="24"/>
        <w:lang w:val="es-ES" w:eastAsia="en-US" w:bidi="ar-SA"/>
      </w:rPr>
    </w:lvl>
    <w:lvl w:ilvl="2">
      <w:numFmt w:val="bullet"/>
      <w:lvlText w:val="•"/>
      <w:lvlJc w:val="left"/>
      <w:pPr>
        <w:ind w:left="1500" w:hanging="404"/>
      </w:pPr>
      <w:rPr>
        <w:rFonts w:hint="default"/>
        <w:lang w:val="es-ES" w:eastAsia="en-US" w:bidi="ar-SA"/>
      </w:rPr>
    </w:lvl>
    <w:lvl w:ilvl="3">
      <w:numFmt w:val="bullet"/>
      <w:lvlText w:val="•"/>
      <w:lvlJc w:val="left"/>
      <w:pPr>
        <w:ind w:left="2723" w:hanging="404"/>
      </w:pPr>
      <w:rPr>
        <w:rFonts w:hint="default"/>
        <w:lang w:val="es-ES" w:eastAsia="en-US" w:bidi="ar-SA"/>
      </w:rPr>
    </w:lvl>
    <w:lvl w:ilvl="4">
      <w:numFmt w:val="bullet"/>
      <w:lvlText w:val="•"/>
      <w:lvlJc w:val="left"/>
      <w:pPr>
        <w:ind w:left="3946" w:hanging="404"/>
      </w:pPr>
      <w:rPr>
        <w:rFonts w:hint="default"/>
        <w:lang w:val="es-ES" w:eastAsia="en-US" w:bidi="ar-SA"/>
      </w:rPr>
    </w:lvl>
    <w:lvl w:ilvl="5">
      <w:numFmt w:val="bullet"/>
      <w:lvlText w:val="•"/>
      <w:lvlJc w:val="left"/>
      <w:pPr>
        <w:ind w:left="5169" w:hanging="404"/>
      </w:pPr>
      <w:rPr>
        <w:rFonts w:hint="default"/>
        <w:lang w:val="es-ES" w:eastAsia="en-US" w:bidi="ar-SA"/>
      </w:rPr>
    </w:lvl>
    <w:lvl w:ilvl="6">
      <w:numFmt w:val="bullet"/>
      <w:lvlText w:val="•"/>
      <w:lvlJc w:val="left"/>
      <w:pPr>
        <w:ind w:left="6393" w:hanging="404"/>
      </w:pPr>
      <w:rPr>
        <w:rFonts w:hint="default"/>
        <w:lang w:val="es-ES" w:eastAsia="en-US" w:bidi="ar-SA"/>
      </w:rPr>
    </w:lvl>
    <w:lvl w:ilvl="7">
      <w:numFmt w:val="bullet"/>
      <w:lvlText w:val="•"/>
      <w:lvlJc w:val="left"/>
      <w:pPr>
        <w:ind w:left="7616" w:hanging="404"/>
      </w:pPr>
      <w:rPr>
        <w:rFonts w:hint="default"/>
        <w:lang w:val="es-ES" w:eastAsia="en-US" w:bidi="ar-SA"/>
      </w:rPr>
    </w:lvl>
    <w:lvl w:ilvl="8">
      <w:numFmt w:val="bullet"/>
      <w:lvlText w:val="•"/>
      <w:lvlJc w:val="left"/>
      <w:pPr>
        <w:ind w:left="8839" w:hanging="404"/>
      </w:pPr>
      <w:rPr>
        <w:rFonts w:hint="default"/>
        <w:lang w:val="es-ES" w:eastAsia="en-US" w:bidi="ar-SA"/>
      </w:rPr>
    </w:lvl>
  </w:abstractNum>
  <w:abstractNum w:abstractNumId="5">
    <w:nsid w:val="598B6ABA"/>
    <w:multiLevelType w:val="hybridMultilevel"/>
    <w:tmpl w:val="7F649602"/>
    <w:lvl w:ilvl="0" w:tplc="67F81ED8">
      <w:numFmt w:val="bullet"/>
      <w:lvlText w:val=""/>
      <w:lvlJc w:val="left"/>
      <w:pPr>
        <w:ind w:left="1818" w:hanging="360"/>
      </w:pPr>
      <w:rPr>
        <w:rFonts w:ascii="Wingdings" w:eastAsia="Wingdings" w:hAnsi="Wingdings" w:cs="Wingdings" w:hint="default"/>
        <w:w w:val="100"/>
        <w:sz w:val="24"/>
        <w:szCs w:val="24"/>
        <w:lang w:val="es-ES" w:eastAsia="en-US" w:bidi="ar-SA"/>
      </w:rPr>
    </w:lvl>
    <w:lvl w:ilvl="1" w:tplc="85627136">
      <w:numFmt w:val="bullet"/>
      <w:lvlText w:val="•"/>
      <w:lvlJc w:val="left"/>
      <w:pPr>
        <w:ind w:left="2766" w:hanging="360"/>
      </w:pPr>
      <w:rPr>
        <w:rFonts w:hint="default"/>
        <w:lang w:val="es-ES" w:eastAsia="en-US" w:bidi="ar-SA"/>
      </w:rPr>
    </w:lvl>
    <w:lvl w:ilvl="2" w:tplc="BC14C02C">
      <w:numFmt w:val="bullet"/>
      <w:lvlText w:val="•"/>
      <w:lvlJc w:val="left"/>
      <w:pPr>
        <w:ind w:left="3713" w:hanging="360"/>
      </w:pPr>
      <w:rPr>
        <w:rFonts w:hint="default"/>
        <w:lang w:val="es-ES" w:eastAsia="en-US" w:bidi="ar-SA"/>
      </w:rPr>
    </w:lvl>
    <w:lvl w:ilvl="3" w:tplc="F55EA48E">
      <w:numFmt w:val="bullet"/>
      <w:lvlText w:val="•"/>
      <w:lvlJc w:val="left"/>
      <w:pPr>
        <w:ind w:left="4659" w:hanging="360"/>
      </w:pPr>
      <w:rPr>
        <w:rFonts w:hint="default"/>
        <w:lang w:val="es-ES" w:eastAsia="en-US" w:bidi="ar-SA"/>
      </w:rPr>
    </w:lvl>
    <w:lvl w:ilvl="4" w:tplc="70DE923C">
      <w:numFmt w:val="bullet"/>
      <w:lvlText w:val="•"/>
      <w:lvlJc w:val="left"/>
      <w:pPr>
        <w:ind w:left="5606" w:hanging="360"/>
      </w:pPr>
      <w:rPr>
        <w:rFonts w:hint="default"/>
        <w:lang w:val="es-ES" w:eastAsia="en-US" w:bidi="ar-SA"/>
      </w:rPr>
    </w:lvl>
    <w:lvl w:ilvl="5" w:tplc="AFBC4D16">
      <w:numFmt w:val="bullet"/>
      <w:lvlText w:val="•"/>
      <w:lvlJc w:val="left"/>
      <w:pPr>
        <w:ind w:left="6553" w:hanging="360"/>
      </w:pPr>
      <w:rPr>
        <w:rFonts w:hint="default"/>
        <w:lang w:val="es-ES" w:eastAsia="en-US" w:bidi="ar-SA"/>
      </w:rPr>
    </w:lvl>
    <w:lvl w:ilvl="6" w:tplc="C1182C64">
      <w:numFmt w:val="bullet"/>
      <w:lvlText w:val="•"/>
      <w:lvlJc w:val="left"/>
      <w:pPr>
        <w:ind w:left="7499" w:hanging="360"/>
      </w:pPr>
      <w:rPr>
        <w:rFonts w:hint="default"/>
        <w:lang w:val="es-ES" w:eastAsia="en-US" w:bidi="ar-SA"/>
      </w:rPr>
    </w:lvl>
    <w:lvl w:ilvl="7" w:tplc="675E0C12">
      <w:numFmt w:val="bullet"/>
      <w:lvlText w:val="•"/>
      <w:lvlJc w:val="left"/>
      <w:pPr>
        <w:ind w:left="8446" w:hanging="360"/>
      </w:pPr>
      <w:rPr>
        <w:rFonts w:hint="default"/>
        <w:lang w:val="es-ES" w:eastAsia="en-US" w:bidi="ar-SA"/>
      </w:rPr>
    </w:lvl>
    <w:lvl w:ilvl="8" w:tplc="89C0FE60">
      <w:numFmt w:val="bullet"/>
      <w:lvlText w:val="•"/>
      <w:lvlJc w:val="left"/>
      <w:pPr>
        <w:ind w:left="9393" w:hanging="360"/>
      </w:pPr>
      <w:rPr>
        <w:rFonts w:hint="default"/>
        <w:lang w:val="es-ES" w:eastAsia="en-US" w:bidi="ar-SA"/>
      </w:rPr>
    </w:lvl>
  </w:abstractNum>
  <w:num w:numId="1">
    <w:abstractNumId w:val="5"/>
  </w:num>
  <w:num w:numId="2">
    <w:abstractNumId w:val="1"/>
  </w:num>
  <w:num w:numId="3">
    <w:abstractNumId w:val="4"/>
  </w:num>
  <w:num w:numId="4">
    <w:abstractNumId w:val="0"/>
  </w:num>
  <w:num w:numId="5">
    <w:abstractNumId w:val="3"/>
  </w:num>
  <w:num w:numId="6">
    <w:abstractNumId w:val="2"/>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481"/>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84CB6"/>
    <w:rsid w:val="0000123A"/>
    <w:rsid w:val="00082361"/>
    <w:rsid w:val="000B3C57"/>
    <w:rsid w:val="00240D4B"/>
    <w:rsid w:val="003A23D3"/>
    <w:rsid w:val="00635BC7"/>
    <w:rsid w:val="0064145B"/>
    <w:rsid w:val="006C5DE5"/>
    <w:rsid w:val="00704FEA"/>
    <w:rsid w:val="00830E2C"/>
    <w:rsid w:val="00930F2B"/>
    <w:rsid w:val="009617D6"/>
    <w:rsid w:val="00984CB6"/>
    <w:rsid w:val="00AD547B"/>
    <w:rsid w:val="00BC7537"/>
    <w:rsid w:val="00C762F7"/>
    <w:rsid w:val="00C83B18"/>
    <w:rsid w:val="00CB0745"/>
    <w:rsid w:val="00CD164A"/>
    <w:rsid w:val="00CD7D0D"/>
    <w:rsid w:val="00E12525"/>
    <w:rsid w:val="00F0186A"/>
    <w:rsid w:val="00F16C50"/>
    <w:rsid w:val="00F920A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8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830E2C"/>
    <w:pPr>
      <w:spacing w:before="120" w:after="120"/>
    </w:pPr>
    <w:rPr>
      <w:rFonts w:ascii="Arial" w:eastAsia="Arial" w:hAnsi="Arial" w:cs="Arial"/>
      <w:sz w:val="24"/>
      <w:lang w:val="es-ES"/>
    </w:rPr>
  </w:style>
  <w:style w:type="paragraph" w:styleId="Ttulo1">
    <w:name w:val="heading 1"/>
    <w:basedOn w:val="Normal"/>
    <w:uiPriority w:val="1"/>
    <w:qFormat/>
    <w:rsid w:val="00830E2C"/>
    <w:pPr>
      <w:numPr>
        <w:numId w:val="6"/>
      </w:numPr>
      <w:outlineLvl w:val="0"/>
    </w:pPr>
    <w:rPr>
      <w:b/>
      <w:bCs/>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39"/>
    <w:qFormat/>
    <w:pPr>
      <w:spacing w:before="142"/>
      <w:ind w:left="1538" w:hanging="441"/>
    </w:pPr>
    <w:rPr>
      <w:szCs w:val="24"/>
    </w:rPr>
  </w:style>
  <w:style w:type="paragraph" w:styleId="TDC2">
    <w:name w:val="toc 2"/>
    <w:basedOn w:val="Normal"/>
    <w:uiPriority w:val="1"/>
    <w:qFormat/>
    <w:pPr>
      <w:spacing w:before="142"/>
      <w:ind w:left="1721" w:hanging="403"/>
    </w:pPr>
    <w:rPr>
      <w:szCs w:val="24"/>
    </w:rPr>
  </w:style>
  <w:style w:type="paragraph" w:styleId="Textoindependiente">
    <w:name w:val="Body Text"/>
    <w:basedOn w:val="Normal"/>
    <w:uiPriority w:val="1"/>
    <w:qFormat/>
    <w:rPr>
      <w:szCs w:val="24"/>
    </w:rPr>
  </w:style>
  <w:style w:type="paragraph" w:styleId="Ttulo">
    <w:name w:val="Title"/>
    <w:basedOn w:val="Normal"/>
    <w:uiPriority w:val="1"/>
    <w:qFormat/>
    <w:rsid w:val="00830E2C"/>
    <w:pPr>
      <w:numPr>
        <w:numId w:val="5"/>
      </w:numPr>
      <w:jc w:val="center"/>
    </w:pPr>
    <w:rPr>
      <w:b/>
      <w:bCs/>
      <w:sz w:val="72"/>
      <w:szCs w:val="72"/>
    </w:rPr>
  </w:style>
  <w:style w:type="paragraph" w:styleId="Prrafodelista">
    <w:name w:val="List Paragraph"/>
    <w:basedOn w:val="Normal"/>
    <w:uiPriority w:val="1"/>
    <w:qFormat/>
    <w:pPr>
      <w:ind w:left="1458" w:hanging="361"/>
    </w:pPr>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64145B"/>
    <w:pPr>
      <w:tabs>
        <w:tab w:val="center" w:pos="4419"/>
        <w:tab w:val="right" w:pos="8838"/>
      </w:tabs>
    </w:pPr>
  </w:style>
  <w:style w:type="character" w:customStyle="1" w:styleId="EncabezadoCar">
    <w:name w:val="Encabezado Car"/>
    <w:basedOn w:val="Fuentedeprrafopredeter"/>
    <w:link w:val="Encabezado"/>
    <w:uiPriority w:val="99"/>
    <w:rsid w:val="0064145B"/>
    <w:rPr>
      <w:rFonts w:ascii="Arial" w:eastAsia="Arial" w:hAnsi="Arial" w:cs="Arial"/>
      <w:lang w:val="es-ES"/>
    </w:rPr>
  </w:style>
  <w:style w:type="paragraph" w:styleId="Piedepgina">
    <w:name w:val="footer"/>
    <w:basedOn w:val="Normal"/>
    <w:link w:val="PiedepginaCar"/>
    <w:uiPriority w:val="99"/>
    <w:unhideWhenUsed/>
    <w:rsid w:val="0064145B"/>
    <w:pPr>
      <w:tabs>
        <w:tab w:val="center" w:pos="4419"/>
        <w:tab w:val="right" w:pos="8838"/>
      </w:tabs>
    </w:pPr>
  </w:style>
  <w:style w:type="character" w:customStyle="1" w:styleId="PiedepginaCar">
    <w:name w:val="Pie de página Car"/>
    <w:basedOn w:val="Fuentedeprrafopredeter"/>
    <w:link w:val="Piedepgina"/>
    <w:uiPriority w:val="99"/>
    <w:rsid w:val="0064145B"/>
    <w:rPr>
      <w:rFonts w:ascii="Arial" w:eastAsia="Arial" w:hAnsi="Arial" w:cs="Arial"/>
      <w:lang w:val="es-ES"/>
    </w:rPr>
  </w:style>
  <w:style w:type="paragraph" w:styleId="Textodeglobo">
    <w:name w:val="Balloon Text"/>
    <w:basedOn w:val="Normal"/>
    <w:link w:val="TextodegloboCar"/>
    <w:uiPriority w:val="99"/>
    <w:semiHidden/>
    <w:unhideWhenUsed/>
    <w:rsid w:val="006C5DE5"/>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C5DE5"/>
    <w:rPr>
      <w:rFonts w:ascii="Segoe UI" w:eastAsia="Arial" w:hAnsi="Segoe UI" w:cs="Segoe UI"/>
      <w:sz w:val="18"/>
      <w:szCs w:val="18"/>
      <w:lang w:val="es-ES"/>
    </w:rPr>
  </w:style>
  <w:style w:type="table" w:styleId="Tablaconcuadrcula">
    <w:name w:val="Table Grid"/>
    <w:basedOn w:val="Tablanormal"/>
    <w:uiPriority w:val="39"/>
    <w:rsid w:val="006C5DE5"/>
    <w:pPr>
      <w:widowControl/>
      <w:autoSpaceDE/>
      <w:autoSpaceDN/>
    </w:pPr>
    <w:rPr>
      <w:lang w:val="es-CO"/>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nfasissutil">
    <w:name w:val="Subtle Emphasis"/>
    <w:basedOn w:val="Fuentedeprrafopredeter"/>
    <w:uiPriority w:val="19"/>
    <w:qFormat/>
    <w:rsid w:val="006C5DE5"/>
    <w:rPr>
      <w:i/>
      <w:iCs/>
      <w:color w:val="404040" w:themeColor="text1" w:themeTint="BF"/>
    </w:rPr>
  </w:style>
  <w:style w:type="paragraph" w:styleId="TtulodeTDC">
    <w:name w:val="TOC Heading"/>
    <w:basedOn w:val="Ttulo1"/>
    <w:next w:val="Normal"/>
    <w:uiPriority w:val="39"/>
    <w:unhideWhenUsed/>
    <w:qFormat/>
    <w:rsid w:val="00E12525"/>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lang w:val="es-CO" w:eastAsia="es-CO"/>
    </w:rPr>
  </w:style>
  <w:style w:type="character" w:styleId="Hipervnculo">
    <w:name w:val="Hyperlink"/>
    <w:basedOn w:val="Fuentedeprrafopredeter"/>
    <w:uiPriority w:val="99"/>
    <w:unhideWhenUsed/>
    <w:rsid w:val="00E12525"/>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830E2C"/>
    <w:pPr>
      <w:spacing w:before="120" w:after="120"/>
    </w:pPr>
    <w:rPr>
      <w:rFonts w:ascii="Arial" w:eastAsia="Arial" w:hAnsi="Arial" w:cs="Arial"/>
      <w:sz w:val="24"/>
      <w:lang w:val="es-ES"/>
    </w:rPr>
  </w:style>
  <w:style w:type="paragraph" w:styleId="Ttulo1">
    <w:name w:val="heading 1"/>
    <w:basedOn w:val="Normal"/>
    <w:uiPriority w:val="1"/>
    <w:qFormat/>
    <w:rsid w:val="00830E2C"/>
    <w:pPr>
      <w:numPr>
        <w:numId w:val="6"/>
      </w:numPr>
      <w:outlineLvl w:val="0"/>
    </w:pPr>
    <w:rPr>
      <w:b/>
      <w:bCs/>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39"/>
    <w:qFormat/>
    <w:pPr>
      <w:spacing w:before="142"/>
      <w:ind w:left="1538" w:hanging="441"/>
    </w:pPr>
    <w:rPr>
      <w:szCs w:val="24"/>
    </w:rPr>
  </w:style>
  <w:style w:type="paragraph" w:styleId="TDC2">
    <w:name w:val="toc 2"/>
    <w:basedOn w:val="Normal"/>
    <w:uiPriority w:val="1"/>
    <w:qFormat/>
    <w:pPr>
      <w:spacing w:before="142"/>
      <w:ind w:left="1721" w:hanging="403"/>
    </w:pPr>
    <w:rPr>
      <w:szCs w:val="24"/>
    </w:rPr>
  </w:style>
  <w:style w:type="paragraph" w:styleId="Textoindependiente">
    <w:name w:val="Body Text"/>
    <w:basedOn w:val="Normal"/>
    <w:uiPriority w:val="1"/>
    <w:qFormat/>
    <w:rPr>
      <w:szCs w:val="24"/>
    </w:rPr>
  </w:style>
  <w:style w:type="paragraph" w:styleId="Ttulo">
    <w:name w:val="Title"/>
    <w:basedOn w:val="Normal"/>
    <w:uiPriority w:val="1"/>
    <w:qFormat/>
    <w:rsid w:val="00830E2C"/>
    <w:pPr>
      <w:numPr>
        <w:numId w:val="5"/>
      </w:numPr>
      <w:jc w:val="center"/>
    </w:pPr>
    <w:rPr>
      <w:b/>
      <w:bCs/>
      <w:sz w:val="72"/>
      <w:szCs w:val="72"/>
    </w:rPr>
  </w:style>
  <w:style w:type="paragraph" w:styleId="Prrafodelista">
    <w:name w:val="List Paragraph"/>
    <w:basedOn w:val="Normal"/>
    <w:uiPriority w:val="1"/>
    <w:qFormat/>
    <w:pPr>
      <w:ind w:left="1458" w:hanging="361"/>
    </w:pPr>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64145B"/>
    <w:pPr>
      <w:tabs>
        <w:tab w:val="center" w:pos="4419"/>
        <w:tab w:val="right" w:pos="8838"/>
      </w:tabs>
    </w:pPr>
  </w:style>
  <w:style w:type="character" w:customStyle="1" w:styleId="EncabezadoCar">
    <w:name w:val="Encabezado Car"/>
    <w:basedOn w:val="Fuentedeprrafopredeter"/>
    <w:link w:val="Encabezado"/>
    <w:uiPriority w:val="99"/>
    <w:rsid w:val="0064145B"/>
    <w:rPr>
      <w:rFonts w:ascii="Arial" w:eastAsia="Arial" w:hAnsi="Arial" w:cs="Arial"/>
      <w:lang w:val="es-ES"/>
    </w:rPr>
  </w:style>
  <w:style w:type="paragraph" w:styleId="Piedepgina">
    <w:name w:val="footer"/>
    <w:basedOn w:val="Normal"/>
    <w:link w:val="PiedepginaCar"/>
    <w:uiPriority w:val="99"/>
    <w:unhideWhenUsed/>
    <w:rsid w:val="0064145B"/>
    <w:pPr>
      <w:tabs>
        <w:tab w:val="center" w:pos="4419"/>
        <w:tab w:val="right" w:pos="8838"/>
      </w:tabs>
    </w:pPr>
  </w:style>
  <w:style w:type="character" w:customStyle="1" w:styleId="PiedepginaCar">
    <w:name w:val="Pie de página Car"/>
    <w:basedOn w:val="Fuentedeprrafopredeter"/>
    <w:link w:val="Piedepgina"/>
    <w:uiPriority w:val="99"/>
    <w:rsid w:val="0064145B"/>
    <w:rPr>
      <w:rFonts w:ascii="Arial" w:eastAsia="Arial" w:hAnsi="Arial" w:cs="Arial"/>
      <w:lang w:val="es-ES"/>
    </w:rPr>
  </w:style>
  <w:style w:type="paragraph" w:styleId="Textodeglobo">
    <w:name w:val="Balloon Text"/>
    <w:basedOn w:val="Normal"/>
    <w:link w:val="TextodegloboCar"/>
    <w:uiPriority w:val="99"/>
    <w:semiHidden/>
    <w:unhideWhenUsed/>
    <w:rsid w:val="006C5DE5"/>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C5DE5"/>
    <w:rPr>
      <w:rFonts w:ascii="Segoe UI" w:eastAsia="Arial" w:hAnsi="Segoe UI" w:cs="Segoe UI"/>
      <w:sz w:val="18"/>
      <w:szCs w:val="18"/>
      <w:lang w:val="es-ES"/>
    </w:rPr>
  </w:style>
  <w:style w:type="table" w:styleId="Tablaconcuadrcula">
    <w:name w:val="Table Grid"/>
    <w:basedOn w:val="Tablanormal"/>
    <w:uiPriority w:val="39"/>
    <w:rsid w:val="006C5DE5"/>
    <w:pPr>
      <w:widowControl/>
      <w:autoSpaceDE/>
      <w:autoSpaceDN/>
    </w:pPr>
    <w:rPr>
      <w:lang w:val="es-CO"/>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nfasissutil">
    <w:name w:val="Subtle Emphasis"/>
    <w:basedOn w:val="Fuentedeprrafopredeter"/>
    <w:uiPriority w:val="19"/>
    <w:qFormat/>
    <w:rsid w:val="006C5DE5"/>
    <w:rPr>
      <w:i/>
      <w:iCs/>
      <w:color w:val="404040" w:themeColor="text1" w:themeTint="BF"/>
    </w:rPr>
  </w:style>
  <w:style w:type="paragraph" w:styleId="TtulodeTDC">
    <w:name w:val="TOC Heading"/>
    <w:basedOn w:val="Ttulo1"/>
    <w:next w:val="Normal"/>
    <w:uiPriority w:val="39"/>
    <w:unhideWhenUsed/>
    <w:qFormat/>
    <w:rsid w:val="00E12525"/>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lang w:val="es-CO" w:eastAsia="es-CO"/>
    </w:rPr>
  </w:style>
  <w:style w:type="character" w:styleId="Hipervnculo">
    <w:name w:val="Hyperlink"/>
    <w:basedOn w:val="Fuentedeprrafopredeter"/>
    <w:uiPriority w:val="99"/>
    <w:unhideWhenUsed/>
    <w:rsid w:val="00E1252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emf"/><Relationship Id="rId5" Type="http://schemas.openxmlformats.org/officeDocument/2006/relationships/settings" Target="settings.xml"/><Relationship Id="rId10" Type="http://schemas.openxmlformats.org/officeDocument/2006/relationships/image" Target="media/image2.jpe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theme" Target="theme/theme1.xml"/><Relationship Id="rId15" Type="http://schemas.openxmlformats.org/officeDocument/2006/relationships/header" Target="header2.xml"/><Relationship Id="rId16" Type="http://schemas.openxmlformats.org/officeDocument/2006/relationships/header" Target="header3.xml"/><Relationship Id="rId17" Type="http://schemas.openxmlformats.org/officeDocument/2006/relationships/footer" Target="footer1.xml"/><Relationship Id="rId18" Type="http://schemas.openxmlformats.org/officeDocument/2006/relationships/footer" Target="footer2.xml"/><Relationship Id="rId19"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 Id="rId2"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DFD2A6-F0FA-431A-9DEC-084DB8C084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825</Words>
  <Characters>4542</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5357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Invitados</dc:creator>
  <cp:lastModifiedBy>Luffi</cp:lastModifiedBy>
  <cp:revision>2</cp:revision>
  <dcterms:created xsi:type="dcterms:W3CDTF">2025-02-07T15:55:00Z</dcterms:created>
  <dcterms:modified xsi:type="dcterms:W3CDTF">2025-02-07T15:55:00Z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2017-12-26T00:00:00Z</vt:filetime>
  </property>
  <property fmtid="{D5CDD505-2E9C-101B-9397-08002B2CF9AE}" pid="3" name="Creator">
    <vt:lpwstr>Microsoft® Word 2016</vt:lpwstr>
  </property>
  <property fmtid="{D5CDD505-2E9C-101B-9397-08002B2CF9AE}" pid="4" name="LastSaved">
    <vt:filetime>2020-03-23T00:00:00Z</vt:filetime>
  </property>
</Properties>
</file>