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i w:val="0"/>
          <w:color w:val="1B2A4A"/>
          <w:sz w:val="32"/>
        </w:rPr>
        <w:t>Statement of Career Goals</w:t>
      </w:r>
    </w:p>
    <w:p>
      <w:pPr>
        <w:spacing w:before="0" w:after="40"/>
        <w:jc w:val="center"/>
      </w:pPr>
      <w:r>
        <w:rPr>
          <w:rFonts w:ascii="Calibri" w:hAnsi="Calibri"/>
          <w:b/>
          <w:i w:val="0"/>
          <w:color w:val="1A1A1A"/>
          <w:sz w:val="24"/>
        </w:rPr>
        <w:t>Kateryna Tsekhmayster</w:t>
      </w:r>
    </w:p>
    <w:p>
      <w:pPr>
        <w:spacing w:before="0" w:after="400"/>
        <w:jc w:val="center"/>
      </w:pPr>
      <w:r>
        <w:rPr>
          <w:rFonts w:ascii="Calibri" w:hAnsi="Calibri"/>
          <w:b w:val="0"/>
          <w:i/>
          <w:color w:val="555555"/>
          <w:sz w:val="22"/>
        </w:rPr>
        <w:t>PhD in Finance — Florida Atlantic University</w:t>
      </w:r>
    </w:p>
    <w:p>
      <w:pPr>
        <w:spacing w:before="0" w:after="200" w:line="280" w:lineRule="exact"/>
        <w:ind w:firstLine="432"/>
      </w:pPr>
      <w:r>
        <w:rPr>
          <w:rFonts w:ascii="Calibri" w:hAnsi="Calibri"/>
          <w:b w:val="0"/>
          <w:i w:val="0"/>
          <w:color w:val="1A1A1A"/>
          <w:sz w:val="24"/>
        </w:rPr>
        <w:t>Quantum mechanics was once thought to belong exclusively to the realm of physics. Today, it is poised to reshape the foundations of financial economics. The emergence of quantum computing introduces capabilities—superposition, entanglement, and quantum parallelism—that can solve optimization and simulation problems that remain intractable for classical machines. My academic and research trajectory has converged on a single conviction: the next generation of financial economists must be equipped to harness these capabilities, and the institutions training them must build bridges between quantum science and empirical finance. I am applying to the PhD in Finance program at Florida Atlantic University to become that kind of scholar.</w:t>
      </w:r>
    </w:p>
    <w:p>
      <w:pPr>
        <w:spacing w:before="0" w:after="200" w:line="280" w:lineRule="exact"/>
        <w:ind w:firstLine="432"/>
      </w:pPr>
      <w:r>
        <w:rPr>
          <w:rFonts w:ascii="Calibri" w:hAnsi="Calibri"/>
          <w:b w:val="0"/>
          <w:i w:val="0"/>
          <w:color w:val="1A1A1A"/>
          <w:sz w:val="24"/>
        </w:rPr>
        <w:t>My engagement with quantum economics grew out of a broader inquiry into why some countries fall behind in transformative technological transitions. While pursuing my dual Master's degrees in Economics and Political Science at FAU, I began examining how workforce readiness determines a nation's capacity to absorb and deploy emerging technologies. This line of inquiry culminated in my paper, "Quantum Labor Market Development in Emerging Countries," presented at FAU Graduate Research Day. In that work I developed the Quantum Labor Market Readiness Index (QLRI), a composite framework that scores nations across four dimensions: digital infrastructure, human capital, innovation ecosystem, and governance quality. The QLRI quantifies readiness gaps that standard productivity metrics overlook and provides a diagnostic tool for policymakers seeking to position their economies for quantum-era competition. Presenting this research at FAU Graduate Research Day sharpened my ambition to extend the framework into financial market applications—specifically, how quantum readiness differentials translate into sovereign risk premiums, capital flow asymmetries, and cross-border investment patterns.</w:t>
      </w:r>
    </w:p>
    <w:p>
      <w:pPr>
        <w:spacing w:before="0" w:after="200" w:line="280" w:lineRule="exact"/>
        <w:ind w:firstLine="432"/>
      </w:pPr>
      <w:r>
        <w:rPr>
          <w:rFonts w:ascii="Calibri" w:hAnsi="Calibri"/>
          <w:b w:val="0"/>
          <w:i w:val="0"/>
          <w:color w:val="1A1A1A"/>
          <w:sz w:val="24"/>
        </w:rPr>
        <w:t>My research portfolio reflects a consistent commitment to applying rigorous analytical methods to high-stakes problems at the intersection of economics, finance, and geopolitics. In "Freedom as Development: Economics of the Belarusian Brain Drain and Remittances" (SSRN: 10.2139/ssrn.5467415), I used Amartya Sen's capabilities framework to model skilled emigration as an endogenous response to political repression, examining the macroeconomic feedback loops between institutional quality and human capital flight. In "Brazilian Oil, Petrobras, and US-China Rivalry," I analyzed how a state-owned enterprise's strategic positioning reshapes bilateral financial relationships and commodity pricing dynamics amid great-power competition. Each project has reinforced my sense that financial decisions are embedded in institutional and geopolitical structures that purely market-centered models routinely underspecify.</w:t>
      </w:r>
    </w:p>
    <w:p>
      <w:pPr>
        <w:spacing w:before="0" w:after="200" w:line="280" w:lineRule="exact"/>
        <w:ind w:firstLine="432"/>
      </w:pPr>
      <w:r>
        <w:rPr>
          <w:rFonts w:ascii="Calibri" w:hAnsi="Calibri"/>
          <w:b w:val="0"/>
          <w:i w:val="0"/>
          <w:color w:val="1A1A1A"/>
          <w:sz w:val="24"/>
        </w:rPr>
        <w:t>I am drawn to a PhD in Finance—rather than Economics broadly—because I want to develop technical depth in asset pricing, market microstructure, and quantitative modeling that will make my quantum economics work genuinely tractable. The Finance PhD curriculum's emphasis on stochastic processes, portfolio theory, and empirical methods provides exactly the toolkit I need to translate QLRI-derived readiness scores into testable hypotheses about capital markets. Florida Atlantic University is my institution of choice for this transition. FAU's College of Business is home to faculty whose work on financial markets, international finance, and financial technology aligns directly with my research agenda. I have already experienced FAU's intellectual environment through my Master's programs and Graduate Research Day, and I am eager to deepen my engagement with the university's community of scholars. The proximity to South Florida's growing fintech and international banking sector further enriches the applied dimension of my planned research.</w:t>
      </w:r>
    </w:p>
    <w:p>
      <w:pPr>
        <w:spacing w:before="0" w:after="200" w:line="280" w:lineRule="exact"/>
        <w:ind w:firstLine="432"/>
      </w:pPr>
      <w:r>
        <w:rPr>
          <w:rFonts w:ascii="Calibri" w:hAnsi="Calibri"/>
          <w:b w:val="0"/>
          <w:i w:val="0"/>
          <w:color w:val="1A1A1A"/>
          <w:sz w:val="24"/>
        </w:rPr>
        <w:t>My proposed doctoral research agenda centers on three interconnected questions. First, do quantum readiness differentials—as measured by QLRI or analogous indices—predict sovereign bond spreads and equity risk premiums across emerging markets? Second, can quantum-inspired optimization algorithms improve portfolio construction in high-dimensional, illiquid markets where classical mean-variance approaches break down? Third, how do technological leadership gaps in quantum computing interact with existing financial integration patterns to produce new forms of capital-market stratification between advanced and developing economies? These questions sit at the frontier of financial economics and have direct implications for international investors, central banks, and development finance institutions navigating the quantum transition.</w:t>
      </w:r>
    </w:p>
    <w:p>
      <w:pPr>
        <w:spacing w:before="0" w:after="200" w:line="280" w:lineRule="exact"/>
        <w:ind w:firstLine="432"/>
      </w:pPr>
      <w:r>
        <w:rPr>
          <w:rFonts w:ascii="Calibri" w:hAnsi="Calibri"/>
          <w:b w:val="0"/>
          <w:i w:val="0"/>
          <w:color w:val="1A1A1A"/>
          <w:sz w:val="24"/>
        </w:rPr>
        <w:t>My interdisciplinary training positions me to pursue this agenda from multiple angles. My work on blockchain-based conflict resolution ("Blockchain of International Relations: Universal Cosmopolitan Protocol," SSRN: 10.2139/ssrn.5272407) gave me hands-on experience modeling distributed ledger architectures—a skill transferable to decentralized finance applications and the tokenization of quantum-secured assets. My political science background equips me to contextualize financial market outcomes within governance and institutional frameworks, an increasingly valuable perspective as regulators worldwide grapple with quantum cryptography standards and their implications for financial infrastructure. My language skills in English, Ukrainian, Russian, and French expand my ability to conduct primary source research across post-Soviet and Francophone emerging markets that are underrepresented in the quantum finance literature.</w:t>
      </w:r>
    </w:p>
    <w:p>
      <w:pPr>
        <w:spacing w:before="0" w:after="200" w:line="280" w:lineRule="exact"/>
        <w:ind w:firstLine="432"/>
      </w:pPr>
      <w:r>
        <w:rPr>
          <w:rFonts w:ascii="Calibri" w:hAnsi="Calibri"/>
          <w:b w:val="0"/>
          <w:i w:val="0"/>
          <w:color w:val="1A1A1A"/>
          <w:sz w:val="24"/>
        </w:rPr>
        <w:t>Upon completing the PhD, my primary goal is an academic career at a research university where I can build a laboratory focused on quantum financial economics and mentor the next cohort of scholars entering this field. I envision publishing in top-tier finance and economics journals and contributing to the emerging policy literature on quantum readiness and financial stability. In parallel, I intend to engage with international institutions—the IMF, World Bank, and regional development banks—that are beginning to assess the financial stability implications of uneven quantum adoption across their member economies. A secondary pathway I find compelling is applied research in the growing quantum fintech sector, where the gap between theoretical quantum algorithms and real-world portfolio management remains wide and consequential.</w:t>
      </w:r>
    </w:p>
    <w:p>
      <w:pPr>
        <w:spacing w:before="0" w:after="200" w:line="280" w:lineRule="exact"/>
        <w:ind w:firstLine="432"/>
      </w:pPr>
      <w:r>
        <w:rPr>
          <w:rFonts w:ascii="Calibri" w:hAnsi="Calibri"/>
          <w:b w:val="0"/>
          <w:i w:val="0"/>
          <w:color w:val="1A1A1A"/>
          <w:sz w:val="24"/>
        </w:rPr>
        <w:t>The convergence of quantum computing, international finance, and development economics defines a research frontier that is both intellectually exciting and practically urgent. I have spent the past several years building the interdisciplinary foundations to work at that frontier, and I am ready to commit to the rigorous doctoral training that will make that work credible and impactful. I am grateful for the opportunity to apply to Florida Atlantic University's PhD in Finance program, and I look forward to contributing to its scholarly community.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