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B2A4A"/>
          <w:sz w:val="48"/>
        </w:rPr>
        <w:t>Kateryna Tsekhmayster</w:t>
      </w:r>
    </w:p>
    <w:p>
      <w:pPr>
        <w:spacing w:before="0" w:after="40"/>
        <w:jc w:val="center"/>
      </w:pPr>
      <w:r>
        <w:rPr>
          <w:rFonts w:ascii="Calibri" w:hAnsi="Calibri"/>
          <w:b w:val="0"/>
          <w:i/>
          <w:color w:val="555555"/>
          <w:sz w:val="21"/>
        </w:rPr>
        <w:t>Dual Master's Candidate in Economics &amp; Political Science  |  Quantum &amp; Emerging Technology Research</w:t>
      </w:r>
    </w:p>
    <w:p>
      <w:pPr>
        <w:spacing w:before="0" w:after="120"/>
        <w:jc w:val="center"/>
      </w:pPr>
      <w:r>
        <w:rPr>
          <w:rFonts w:ascii="Calibri" w:hAnsi="Calibri"/>
          <w:b w:val="0"/>
          <w:i w:val="0"/>
          <w:color w:val="555555"/>
          <w:sz w:val="19"/>
        </w:rPr>
        <w:t>ktsekhmayste2022@fau.edu  ·  (561) 379-9646  ·  linkedin.com/in/kateryna-tsekhmayster  ·  ssrn.com/author=5467415</w:t>
      </w:r>
    </w:p>
    <w:p>
      <w:pPr>
        <w:spacing w:before="200" w:after="40"/>
        <w:pBdr>
          <w:bottom w:val="single" w:sz="8" w:space="1" w:color="1B2A4A"/>
        </w:pBdr>
      </w:pPr>
      <w:r>
        <w:rPr>
          <w:rFonts w:ascii="Calibri" w:hAnsi="Calibri"/>
          <w:b/>
          <w:i w:val="0"/>
          <w:color w:val="1B2A4A"/>
          <w:sz w:val="22"/>
        </w:rPr>
        <w:t>RESEARCH OBJECTIVE</w:t>
      </w:r>
    </w:p>
    <w:p>
      <w:pPr>
        <w:spacing w:before="60" w:after="80"/>
      </w:pPr>
      <w:r>
        <w:rPr>
          <w:rFonts w:ascii="Calibri" w:hAnsi="Calibri"/>
          <w:b w:val="0"/>
          <w:i w:val="0"/>
          <w:color w:val="1A1A1A"/>
          <w:sz w:val="21"/>
        </w:rPr>
        <w:t>Seeking admission to the PhD in Finance program at Florida Atlantic University to advance research at the intersection of quantum computing and financial economics. My work develops quantitative frameworks—including the Quantum Labor Market Readiness Index (QLRI)—that apply quantum algorithms and computational modeling to emerging-market financial systems, workforce development, and geopolitical risk. I aim to bridge theoretical economics with cutting-edge quantum and AI methods to address complex problems in international finance and development.</w:t>
      </w:r>
    </w:p>
    <w:p>
      <w:pPr>
        <w:spacing w:before="200" w:after="40"/>
        <w:pBdr>
          <w:bottom w:val="single" w:sz="8" w:space="1" w:color="1B2A4A"/>
        </w:pBdr>
      </w:pPr>
      <w:r>
        <w:rPr>
          <w:rFonts w:ascii="Calibri" w:hAnsi="Calibri"/>
          <w:b/>
          <w:i w:val="0"/>
          <w:color w:val="1B2A4A"/>
          <w:sz w:val="22"/>
        </w:rPr>
        <w:t>EDUCATION</w:t>
      </w:r>
    </w:p>
    <w:p>
      <w:pPr>
        <w:spacing w:before="100" w:after="20"/>
      </w:pPr>
      <w:r>
        <w:rPr>
          <w:rFonts w:ascii="Calibri" w:hAnsi="Calibri"/>
          <w:b/>
          <w:i w:val="0"/>
          <w:color w:val="1A1A1A"/>
          <w:sz w:val="21"/>
        </w:rPr>
        <w:t>Master of Science, Economics  |  Master of Arts, Political Science</w:t>
      </w:r>
      <w:r>
        <w:t xml:space="preserve">  ·  </w:t>
      </w:r>
      <w:r>
        <w:rPr>
          <w:rFonts w:ascii="Calibri" w:hAnsi="Calibri"/>
          <w:b w:val="0"/>
          <w:i w:val="0"/>
          <w:color w:val="555555"/>
          <w:sz w:val="21"/>
        </w:rPr>
        <w:t>Florida Atlantic University, Boca Raton, FL</w:t>
      </w:r>
    </w:p>
    <w:p>
      <w:pPr>
        <w:spacing w:before="0" w:after="20"/>
      </w:pPr>
      <w:r>
        <w:rPr>
          <w:rFonts w:ascii="Calibri" w:hAnsi="Calibri"/>
          <w:b w:val="0"/>
          <w:i/>
          <w:color w:val="555555"/>
          <w:sz w:val="20"/>
        </w:rPr>
        <w:t>In Progress — Expected May 2026</w:t>
      </w:r>
    </w:p>
    <w:p>
      <w:pPr>
        <w:spacing w:before="100" w:after="20"/>
      </w:pPr>
      <w:r>
        <w:rPr>
          <w:rFonts w:ascii="Calibri" w:hAnsi="Calibri"/>
          <w:b/>
          <w:i w:val="0"/>
          <w:color w:val="1A1A1A"/>
          <w:sz w:val="21"/>
        </w:rPr>
        <w:t>Bachelor of Arts, Political Science and International Relations</w:t>
      </w:r>
      <w:r>
        <w:t xml:space="preserve">  ·  </w:t>
      </w:r>
      <w:r>
        <w:rPr>
          <w:rFonts w:ascii="Calibri" w:hAnsi="Calibri"/>
          <w:b w:val="0"/>
          <w:i w:val="0"/>
          <w:color w:val="555555"/>
          <w:sz w:val="21"/>
        </w:rPr>
        <w:t>Wilkes Honors College, Florida Atlantic University</w:t>
      </w:r>
    </w:p>
    <w:p>
      <w:pPr>
        <w:spacing w:before="0" w:after="20"/>
      </w:pPr>
      <w:r>
        <w:rPr>
          <w:rFonts w:ascii="Calibri" w:hAnsi="Calibri"/>
          <w:b w:val="0"/>
          <w:i/>
          <w:color w:val="555555"/>
          <w:sz w:val="20"/>
        </w:rPr>
        <w:t>May 2024</w:t>
      </w:r>
    </w:p>
    <w:p>
      <w:pPr>
        <w:pStyle w:val="ListBullet"/>
        <w:spacing w:before="0" w:after="0"/>
        <w:ind w:left="288"/>
      </w:pPr>
      <w:r>
        <w:rPr>
          <w:rFonts w:ascii="Calibri" w:hAnsi="Calibri"/>
          <w:b w:val="0"/>
          <w:i w:val="0"/>
          <w:color w:val="1A1A1A"/>
          <w:sz w:val="20"/>
        </w:rPr>
        <w:t>Magna Cum Laude</w:t>
      </w:r>
    </w:p>
    <w:p>
      <w:pPr>
        <w:pStyle w:val="ListBullet"/>
        <w:spacing w:before="0" w:after="0"/>
        <w:ind w:left="288"/>
      </w:pPr>
      <w:r>
        <w:rPr>
          <w:rFonts w:ascii="Calibri" w:hAnsi="Calibri"/>
          <w:b w:val="0"/>
          <w:i w:val="0"/>
          <w:color w:val="1A1A1A"/>
          <w:sz w:val="20"/>
        </w:rPr>
        <w:t>Outstanding Thesis Award</w:t>
      </w:r>
    </w:p>
    <w:p>
      <w:pPr>
        <w:pStyle w:val="ListBullet"/>
        <w:spacing w:before="0" w:after="0"/>
        <w:ind w:left="288"/>
      </w:pPr>
      <w:r>
        <w:rPr>
          <w:rFonts w:ascii="Calibri" w:hAnsi="Calibri"/>
          <w:b w:val="0"/>
          <w:i w:val="0"/>
          <w:color w:val="1A1A1A"/>
          <w:sz w:val="20"/>
        </w:rPr>
        <w:t>Undergraduate Research Certificate</w:t>
      </w:r>
    </w:p>
    <w:p>
      <w:pPr>
        <w:spacing w:before="100" w:after="20"/>
      </w:pPr>
      <w:r>
        <w:rPr>
          <w:rFonts w:ascii="Calibri" w:hAnsi="Calibri"/>
          <w:b/>
          <w:i w:val="0"/>
          <w:color w:val="1A1A1A"/>
          <w:sz w:val="21"/>
        </w:rPr>
        <w:t>Associate of Arts, Political Science and Government</w:t>
      </w:r>
    </w:p>
    <w:p>
      <w:pPr>
        <w:spacing w:before="0" w:after="20"/>
      </w:pPr>
      <w:r>
        <w:rPr>
          <w:rFonts w:ascii="Calibri" w:hAnsi="Calibri"/>
          <w:b w:val="0"/>
          <w:i/>
          <w:color w:val="555555"/>
          <w:sz w:val="20"/>
        </w:rPr>
        <w:t>May 2022</w:t>
      </w:r>
    </w:p>
    <w:p>
      <w:pPr>
        <w:spacing w:before="200" w:after="40"/>
        <w:pBdr>
          <w:bottom w:val="single" w:sz="8" w:space="1" w:color="1B2A4A"/>
        </w:pBdr>
      </w:pPr>
      <w:r>
        <w:rPr>
          <w:rFonts w:ascii="Calibri" w:hAnsi="Calibri"/>
          <w:b/>
          <w:i w:val="0"/>
          <w:color w:val="1B2A4A"/>
          <w:sz w:val="22"/>
        </w:rPr>
        <w:t>RESEARCH &amp; PUBLICATIONS</w:t>
      </w:r>
    </w:p>
    <w:p>
      <w:pPr>
        <w:spacing w:before="120" w:after="20"/>
      </w:pPr>
      <w:r>
        <w:rPr>
          <w:rFonts w:ascii="Calibri" w:hAnsi="Calibri"/>
          <w:b/>
          <w:i w:val="0"/>
          <w:color w:val="1A1A1A"/>
          <w:sz w:val="21"/>
        </w:rPr>
        <w:t>Quantum Labor Market Development in Emerging Countries</w:t>
      </w:r>
    </w:p>
    <w:p>
      <w:pPr>
        <w:spacing w:before="0" w:after="20"/>
      </w:pPr>
      <w:r>
        <w:rPr>
          <w:rFonts w:ascii="Calibri" w:hAnsi="Calibri"/>
          <w:b w:val="0"/>
          <w:i/>
          <w:color w:val="B8860B"/>
          <w:sz w:val="20"/>
        </w:rPr>
        <w:t>December 2025  |  Presented at FAU Graduate Research Day</w:t>
      </w:r>
    </w:p>
    <w:p>
      <w:pPr>
        <w:spacing w:before="0" w:after="20"/>
        <w:ind w:left="216"/>
      </w:pPr>
      <w:r>
        <w:rPr>
          <w:rFonts w:ascii="Calibri" w:hAnsi="Calibri"/>
          <w:b w:val="0"/>
          <w:i w:val="0"/>
          <w:color w:val="555555"/>
          <w:sz w:val="20"/>
        </w:rPr>
        <w:t>Explores the growing gap between quantum technology progress and workforce readiness. Introduces the Quantum Labor Market Readiness Index (QLRI)—a composite model assessing nations’ capabilities across digital infrastructure, human capital, innovation, and governance—to guide policymakers and industries in expanding quantum education and workforce development, especially within emerging economies.</w:t>
      </w:r>
    </w:p>
    <w:p>
      <w:pPr>
        <w:spacing w:before="0" w:after="40"/>
        <w:ind w:left="216"/>
      </w:pPr>
      <w:r>
        <w:rPr>
          <w:rFonts w:ascii="Calibri" w:hAnsi="Calibri"/>
          <w:b/>
          <w:i w:val="0"/>
          <w:color w:val="1B2A4A"/>
          <w:sz w:val="19"/>
        </w:rPr>
        <w:t xml:space="preserve">Keywords: </w:t>
      </w:r>
      <w:r>
        <w:rPr>
          <w:rFonts w:ascii="Calibri" w:hAnsi="Calibri"/>
          <w:b w:val="0"/>
          <w:i/>
          <w:color w:val="555555"/>
          <w:sz w:val="19"/>
        </w:rPr>
        <w:t>Quantum Computing, Labor Market, Development Economics, Economic Growth, Market Development</w:t>
      </w:r>
    </w:p>
    <w:p>
      <w:pPr>
        <w:spacing w:before="120" w:after="20"/>
      </w:pPr>
      <w:r>
        <w:rPr>
          <w:rFonts w:ascii="Calibri" w:hAnsi="Calibri"/>
          <w:b/>
          <w:i w:val="0"/>
          <w:color w:val="1A1A1A"/>
          <w:sz w:val="21"/>
        </w:rPr>
        <w:t>Freedom as Development: Economics of the Belarusian Brain Drain and Remittances</w:t>
      </w:r>
    </w:p>
    <w:p>
      <w:pPr>
        <w:spacing w:before="0" w:after="20"/>
      </w:pPr>
      <w:r>
        <w:rPr>
          <w:rFonts w:ascii="Calibri" w:hAnsi="Calibri"/>
          <w:b w:val="0"/>
          <w:i/>
          <w:color w:val="555555"/>
          <w:sz w:val="20"/>
        </w:rPr>
        <w:t>June 2025  |  DOI: 10.2139/ssrn.5467415</w:t>
      </w:r>
    </w:p>
    <w:p>
      <w:pPr>
        <w:spacing w:before="0" w:after="20"/>
        <w:ind w:left="216"/>
      </w:pPr>
      <w:r>
        <w:rPr>
          <w:rFonts w:ascii="Calibri" w:hAnsi="Calibri"/>
          <w:b w:val="0"/>
          <w:i w:val="0"/>
          <w:color w:val="555555"/>
          <w:sz w:val="20"/>
        </w:rPr>
        <w:t>Explores the case of Belarus, where governmental influence of Russia drives economic decisions due to dependency and lack of freedom, ultimately discouraging development. Applies Sen’s ‘development as freedom’ framework to analyze skilled emigration and remittance flows.</w:t>
      </w:r>
    </w:p>
    <w:p>
      <w:pPr>
        <w:spacing w:before="0" w:after="40"/>
        <w:ind w:left="216"/>
      </w:pPr>
      <w:r>
        <w:rPr>
          <w:rFonts w:ascii="Calibri" w:hAnsi="Calibri"/>
          <w:b/>
          <w:i w:val="0"/>
          <w:color w:val="1B2A4A"/>
          <w:sz w:val="19"/>
        </w:rPr>
        <w:t xml:space="preserve">Keywords: </w:t>
      </w:r>
      <w:r>
        <w:rPr>
          <w:rFonts w:ascii="Calibri" w:hAnsi="Calibri"/>
          <w:b w:val="0"/>
          <w:i/>
          <w:color w:val="555555"/>
          <w:sz w:val="19"/>
        </w:rPr>
        <w:t>Economic Growth, Development, Brain Drain, Migration, Belarus, Soviet Union</w:t>
      </w:r>
    </w:p>
    <w:p>
      <w:pPr>
        <w:spacing w:before="120" w:after="20"/>
      </w:pPr>
      <w:r>
        <w:rPr>
          <w:rFonts w:ascii="Calibri" w:hAnsi="Calibri"/>
          <w:b/>
          <w:i w:val="0"/>
          <w:color w:val="1A1A1A"/>
          <w:sz w:val="21"/>
        </w:rPr>
        <w:t>Brazilian Oil, Petrobras, and US-China Rivalry</w:t>
      </w:r>
    </w:p>
    <w:p>
      <w:pPr>
        <w:spacing w:before="0" w:after="20"/>
      </w:pPr>
      <w:r>
        <w:rPr>
          <w:rFonts w:ascii="Calibri" w:hAnsi="Calibri"/>
          <w:b w:val="0"/>
          <w:i/>
          <w:color w:val="555555"/>
          <w:sz w:val="20"/>
        </w:rPr>
        <w:t>December 2025</w:t>
      </w:r>
    </w:p>
    <w:p>
      <w:pPr>
        <w:spacing w:before="0" w:after="20"/>
        <w:ind w:left="216"/>
      </w:pPr>
      <w:r>
        <w:rPr>
          <w:rFonts w:ascii="Calibri" w:hAnsi="Calibri"/>
          <w:b w:val="0"/>
          <w:i w:val="0"/>
          <w:color w:val="555555"/>
          <w:sz w:val="20"/>
        </w:rPr>
        <w:t>Examines how Petrobras’ strategic position influences Brazil’s political and economic alignment amid intensifying great-power competition between the United States and China in Latin American energy markets.</w:t>
      </w:r>
    </w:p>
    <w:p>
      <w:pPr>
        <w:spacing w:before="0" w:after="40"/>
        <w:ind w:left="216"/>
      </w:pPr>
      <w:r>
        <w:rPr>
          <w:rFonts w:ascii="Calibri" w:hAnsi="Calibri"/>
          <w:b/>
          <w:i w:val="0"/>
          <w:color w:val="1B2A4A"/>
          <w:sz w:val="19"/>
        </w:rPr>
        <w:t xml:space="preserve">Keywords: </w:t>
      </w:r>
      <w:r>
        <w:rPr>
          <w:rFonts w:ascii="Calibri" w:hAnsi="Calibri"/>
          <w:b w:val="0"/>
          <w:i/>
          <w:color w:val="555555"/>
          <w:sz w:val="19"/>
        </w:rPr>
        <w:t>Oil, Energy, Brazil, United States, China, Commodities, Geopolitics</w:t>
      </w:r>
    </w:p>
    <w:p>
      <w:pPr>
        <w:spacing w:before="120" w:after="20"/>
      </w:pPr>
      <w:r>
        <w:rPr>
          <w:rFonts w:ascii="Calibri" w:hAnsi="Calibri"/>
          <w:b/>
          <w:i w:val="0"/>
          <w:color w:val="1A1A1A"/>
          <w:sz w:val="21"/>
        </w:rPr>
        <w:t>Blockchain of International Relations: Universal Cosmopolitan Protocol</w:t>
      </w:r>
    </w:p>
    <w:p>
      <w:pPr>
        <w:spacing w:before="0" w:after="20"/>
      </w:pPr>
      <w:r>
        <w:rPr>
          <w:rFonts w:ascii="Calibri" w:hAnsi="Calibri"/>
          <w:b w:val="0"/>
          <w:i/>
          <w:color w:val="555555"/>
          <w:sz w:val="20"/>
        </w:rPr>
        <w:t>May 2025  |  DOI: 10.2139/ssrn.5272407</w:t>
      </w:r>
    </w:p>
    <w:p>
      <w:pPr>
        <w:spacing w:before="0" w:after="20"/>
        <w:ind w:left="216"/>
      </w:pPr>
      <w:r>
        <w:rPr>
          <w:rFonts w:ascii="Calibri" w:hAnsi="Calibri"/>
          <w:b w:val="0"/>
          <w:i w:val="0"/>
          <w:color w:val="555555"/>
          <w:sz w:val="20"/>
        </w:rPr>
        <w:t>Presents a blockchain architecture for conflict management in international relations. Each block contains information about nation-state actions and global responses, creating an immutable record for the United Nations to analyze adversary motives and streamline peace-establishment processes via smart contracts based on deontological frameworks.</w:t>
      </w:r>
    </w:p>
    <w:p>
      <w:pPr>
        <w:spacing w:before="0" w:after="40"/>
        <w:ind w:left="216"/>
      </w:pPr>
      <w:r>
        <w:rPr>
          <w:rFonts w:ascii="Calibri" w:hAnsi="Calibri"/>
          <w:b/>
          <w:i w:val="0"/>
          <w:color w:val="1B2A4A"/>
          <w:sz w:val="19"/>
        </w:rPr>
        <w:t xml:space="preserve">Keywords: </w:t>
      </w:r>
      <w:r>
        <w:rPr>
          <w:rFonts w:ascii="Calibri" w:hAnsi="Calibri"/>
          <w:b w:val="0"/>
          <w:i/>
          <w:color w:val="555555"/>
          <w:sz w:val="19"/>
        </w:rPr>
        <w:t>Blockchain, Smart Contracts, United Nations, International Relations, Perpetual Peace</w:t>
      </w:r>
    </w:p>
    <w:p>
      <w:pPr>
        <w:spacing w:before="120" w:after="20"/>
      </w:pPr>
      <w:r>
        <w:rPr>
          <w:rFonts w:ascii="Calibri" w:hAnsi="Calibri"/>
          <w:b/>
          <w:i w:val="0"/>
          <w:color w:val="1A1A1A"/>
          <w:sz w:val="21"/>
        </w:rPr>
        <w:t>The Georgian Turn to Russia: A Warning for Ukraine</w:t>
      </w:r>
    </w:p>
    <w:p>
      <w:pPr>
        <w:spacing w:before="0" w:after="20"/>
      </w:pPr>
      <w:r>
        <w:rPr>
          <w:rFonts w:ascii="Calibri" w:hAnsi="Calibri"/>
          <w:b w:val="0"/>
          <w:i/>
          <w:color w:val="555555"/>
          <w:sz w:val="20"/>
        </w:rPr>
        <w:t>April 2025</w:t>
      </w:r>
    </w:p>
    <w:p>
      <w:pPr>
        <w:spacing w:before="0" w:after="20"/>
        <w:ind w:left="216"/>
      </w:pPr>
      <w:r>
        <w:rPr>
          <w:rFonts w:ascii="Calibri" w:hAnsi="Calibri"/>
          <w:b w:val="0"/>
          <w:i w:val="0"/>
          <w:color w:val="555555"/>
          <w:sz w:val="20"/>
        </w:rPr>
        <w:t>Analyzes historical, philosophical, and social contexts of the Russo-Georgian War and the Ukrainian War to identify patterns of Russian power projection that culminate in military conflict. The Georgian democratic movement’s sharp turn toward Russia serves as a cautionary case for Ukraine’s Euro-Atlantic integration trajectory.</w:t>
      </w:r>
    </w:p>
    <w:p>
      <w:pPr>
        <w:spacing w:before="0" w:after="40"/>
        <w:ind w:left="216"/>
      </w:pPr>
      <w:r>
        <w:rPr>
          <w:rFonts w:ascii="Calibri" w:hAnsi="Calibri"/>
          <w:b/>
          <w:i w:val="0"/>
          <w:color w:val="1B2A4A"/>
          <w:sz w:val="19"/>
        </w:rPr>
        <w:t xml:space="preserve">Keywords: </w:t>
      </w:r>
      <w:r>
        <w:rPr>
          <w:rFonts w:ascii="Calibri" w:hAnsi="Calibri"/>
          <w:b w:val="0"/>
          <w:i/>
          <w:color w:val="555555"/>
          <w:sz w:val="19"/>
        </w:rPr>
        <w:t>Georgian War, Ukrainian War, Russian Influence, NATO, EU Membership</w:t>
      </w:r>
    </w:p>
    <w:p>
      <w:pPr>
        <w:spacing w:before="120" w:after="20"/>
      </w:pPr>
      <w:r>
        <w:rPr>
          <w:rFonts w:ascii="Calibri" w:hAnsi="Calibri"/>
          <w:b/>
          <w:i w:val="0"/>
          <w:color w:val="1A1A1A"/>
          <w:sz w:val="21"/>
        </w:rPr>
        <w:t>The Tactical Formulation of the U.S. Constitution to an Oligarchic End</w:t>
      </w:r>
    </w:p>
    <w:p>
      <w:pPr>
        <w:spacing w:before="0" w:after="20"/>
      </w:pPr>
      <w:r>
        <w:rPr>
          <w:rFonts w:ascii="Calibri" w:hAnsi="Calibri"/>
          <w:b w:val="0"/>
          <w:i/>
          <w:color w:val="555555"/>
          <w:sz w:val="20"/>
        </w:rPr>
        <w:t>May 2025</w:t>
      </w:r>
    </w:p>
    <w:p>
      <w:pPr>
        <w:spacing w:before="0" w:after="20"/>
        <w:ind w:left="216"/>
      </w:pPr>
      <w:r>
        <w:rPr>
          <w:rFonts w:ascii="Calibri" w:hAnsi="Calibri"/>
          <w:b w:val="0"/>
          <w:i w:val="0"/>
          <w:color w:val="555555"/>
          <w:sz w:val="20"/>
        </w:rPr>
        <w:t>Analyzes the US Constitution from the perspectives of Aristotle, Hobbes, and Locke, arguing that the Constitution’s emphasis on property protection created pathways for oligarchical influence through Supreme Court interpretations favoring corporate interests.</w:t>
      </w:r>
    </w:p>
    <w:p>
      <w:pPr>
        <w:spacing w:before="0" w:after="40"/>
        <w:ind w:left="216"/>
      </w:pPr>
      <w:r>
        <w:rPr>
          <w:rFonts w:ascii="Calibri" w:hAnsi="Calibri"/>
          <w:b/>
          <w:i w:val="0"/>
          <w:color w:val="1B2A4A"/>
          <w:sz w:val="19"/>
        </w:rPr>
        <w:t xml:space="preserve">Keywords: </w:t>
      </w:r>
      <w:r>
        <w:rPr>
          <w:rFonts w:ascii="Calibri" w:hAnsi="Calibri"/>
          <w:b w:val="0"/>
          <w:i/>
          <w:color w:val="555555"/>
          <w:sz w:val="19"/>
        </w:rPr>
        <w:t>Oligarchy, US Constitution, Political Philosophy, Constitutional Law</w:t>
      </w:r>
    </w:p>
    <w:p>
      <w:pPr>
        <w:spacing w:before="200" w:after="40"/>
        <w:pBdr>
          <w:bottom w:val="single" w:sz="8" w:space="1" w:color="1B2A4A"/>
        </w:pBdr>
      </w:pPr>
      <w:r>
        <w:rPr>
          <w:rFonts w:ascii="Calibri" w:hAnsi="Calibri"/>
          <w:b/>
          <w:i w:val="0"/>
          <w:color w:val="1B2A4A"/>
          <w:sz w:val="22"/>
        </w:rPr>
        <w:t>PROFESSIONAL EXPERIENCE</w:t>
      </w:r>
    </w:p>
    <w:p>
      <w:pPr>
        <w:spacing w:before="100" w:after="20"/>
      </w:pPr>
      <w:r>
        <w:rPr>
          <w:rFonts w:ascii="Calibri" w:hAnsi="Calibri"/>
          <w:b/>
          <w:i w:val="0"/>
          <w:color w:val="1A1A1A"/>
          <w:sz w:val="21"/>
        </w:rPr>
        <w:t>Public Relations Manager</w:t>
      </w:r>
      <w:r>
        <w:rPr>
          <w:rFonts w:ascii="Calibri" w:hAnsi="Calibri"/>
          <w:b w:val="0"/>
          <w:i w:val="0"/>
          <w:color w:val="1A1A1A"/>
          <w:sz w:val="21"/>
        </w:rPr>
        <w:t xml:space="preserve">    </w:t>
      </w:r>
      <w:r>
        <w:rPr>
          <w:rFonts w:ascii="Calibri" w:hAnsi="Calibri"/>
          <w:b w:val="0"/>
          <w:i/>
          <w:color w:val="555555"/>
          <w:sz w:val="20"/>
        </w:rPr>
        <w:t>Feb 2024 – Present</w:t>
      </w:r>
    </w:p>
    <w:p>
      <w:pPr>
        <w:spacing w:before="0" w:after="40"/>
        <w:ind w:left="216"/>
      </w:pPr>
      <w:r>
        <w:rPr>
          <w:rFonts w:ascii="Calibri" w:hAnsi="Calibri"/>
          <w:b w:val="0"/>
          <w:i w:val="0"/>
          <w:color w:val="1A1A1A"/>
          <w:sz w:val="21"/>
        </w:rPr>
        <w:t>Direct marketing strategy development and oversee multi-platform campaigns, ensuring alignment with organizational objectives and consistent brand messaging across channels.</w:t>
      </w:r>
    </w:p>
    <w:p>
      <w:pPr>
        <w:spacing w:before="100" w:after="20"/>
      </w:pPr>
      <w:r>
        <w:rPr>
          <w:rFonts w:ascii="Calibri" w:hAnsi="Calibri"/>
          <w:b/>
          <w:i w:val="0"/>
          <w:color w:val="1A1A1A"/>
          <w:sz w:val="21"/>
        </w:rPr>
        <w:t>Communication Marketing Manager</w:t>
      </w:r>
      <w:r>
        <w:rPr>
          <w:rFonts w:ascii="Calibri" w:hAnsi="Calibri"/>
          <w:b w:val="0"/>
          <w:i w:val="0"/>
          <w:color w:val="1A1A1A"/>
          <w:sz w:val="21"/>
        </w:rPr>
        <w:t xml:space="preserve">    </w:t>
      </w:r>
      <w:r>
        <w:rPr>
          <w:rFonts w:ascii="Calibri" w:hAnsi="Calibri"/>
          <w:b w:val="0"/>
          <w:i/>
          <w:color w:val="555555"/>
          <w:sz w:val="20"/>
        </w:rPr>
        <w:t>Oct 2023 – Feb 2024</w:t>
      </w:r>
    </w:p>
    <w:p>
      <w:pPr>
        <w:spacing w:before="0" w:after="40"/>
        <w:ind w:left="216"/>
      </w:pPr>
      <w:r>
        <w:rPr>
          <w:rFonts w:ascii="Calibri" w:hAnsi="Calibri"/>
          <w:b w:val="0"/>
          <w:i w:val="0"/>
          <w:color w:val="1A1A1A"/>
          <w:sz w:val="21"/>
        </w:rPr>
        <w:t>Developed integrated marketing strategies and managed campaigns across digital and traditional platforms, coordinating cross-functional teams to drive engagement.</w:t>
      </w:r>
    </w:p>
    <w:p>
      <w:pPr>
        <w:spacing w:before="100" w:after="20"/>
      </w:pPr>
      <w:r>
        <w:rPr>
          <w:rFonts w:ascii="Calibri" w:hAnsi="Calibri"/>
          <w:b/>
          <w:i w:val="0"/>
          <w:color w:val="1A1A1A"/>
          <w:sz w:val="21"/>
        </w:rPr>
        <w:t>Mayoral Campaign Assistant</w:t>
      </w:r>
      <w:r>
        <w:rPr>
          <w:rFonts w:ascii="Calibri" w:hAnsi="Calibri"/>
          <w:b w:val="0"/>
          <w:i w:val="0"/>
          <w:color w:val="1A1A1A"/>
          <w:sz w:val="21"/>
        </w:rPr>
        <w:t xml:space="preserve">    </w:t>
      </w:r>
      <w:r>
        <w:rPr>
          <w:rFonts w:ascii="Calibri" w:hAnsi="Calibri"/>
          <w:b w:val="0"/>
          <w:i/>
          <w:color w:val="555555"/>
          <w:sz w:val="20"/>
        </w:rPr>
        <w:t>Jan 2023 – Apr 2023</w:t>
      </w:r>
    </w:p>
    <w:p>
      <w:pPr>
        <w:spacing w:before="0" w:after="40"/>
        <w:ind w:left="216"/>
      </w:pPr>
      <w:r>
        <w:rPr>
          <w:rFonts w:ascii="Calibri" w:hAnsi="Calibri"/>
          <w:b w:val="0"/>
          <w:i w:val="0"/>
          <w:color w:val="1A1A1A"/>
          <w:sz w:val="21"/>
        </w:rPr>
        <w:t>Coordinated research, event organization, and community outreach for a successful mayoral campaign; produced policy briefings and stakeholder communications.</w:t>
      </w:r>
    </w:p>
    <w:p>
      <w:pPr>
        <w:spacing w:before="100" w:after="20"/>
      </w:pPr>
      <w:r>
        <w:rPr>
          <w:rFonts w:ascii="Calibri" w:hAnsi="Calibri"/>
          <w:b/>
          <w:i w:val="0"/>
          <w:color w:val="1A1A1A"/>
          <w:sz w:val="21"/>
        </w:rPr>
        <w:t>Assistant International Commercial Communications Specialist</w:t>
      </w:r>
      <w:r>
        <w:rPr>
          <w:rFonts w:ascii="Calibri" w:hAnsi="Calibri"/>
          <w:b w:val="0"/>
          <w:i w:val="0"/>
          <w:color w:val="1A1A1A"/>
          <w:sz w:val="21"/>
        </w:rPr>
        <w:t xml:space="preserve">    </w:t>
      </w:r>
      <w:r>
        <w:rPr>
          <w:rFonts w:ascii="Calibri" w:hAnsi="Calibri"/>
          <w:b w:val="0"/>
          <w:i/>
          <w:color w:val="555555"/>
          <w:sz w:val="20"/>
        </w:rPr>
        <w:t>Jun 2022 – Mar 2023</w:t>
      </w:r>
    </w:p>
    <w:p>
      <w:pPr>
        <w:spacing w:before="0" w:after="40"/>
        <w:ind w:left="216"/>
      </w:pPr>
      <w:r>
        <w:rPr>
          <w:rFonts w:ascii="Calibri" w:hAnsi="Calibri"/>
          <w:b w:val="0"/>
          <w:i w:val="0"/>
          <w:color w:val="1A1A1A"/>
          <w:sz w:val="21"/>
        </w:rPr>
        <w:t>Assisted in developing international communication strategies aligned with global branding; supported the creation of multilingual marketing materials and market-entry analyses.</w:t>
      </w:r>
    </w:p>
    <w:p>
      <w:pPr>
        <w:spacing w:before="200" w:after="40"/>
        <w:pBdr>
          <w:bottom w:val="single" w:sz="8" w:space="1" w:color="1B2A4A"/>
        </w:pBdr>
      </w:pPr>
      <w:r>
        <w:rPr>
          <w:rFonts w:ascii="Calibri" w:hAnsi="Calibri"/>
          <w:b/>
          <w:i w:val="0"/>
          <w:color w:val="1B2A4A"/>
          <w:sz w:val="22"/>
        </w:rPr>
        <w:t>TECHNICAL SKILLS</w:t>
      </w:r>
    </w:p>
    <w:p>
      <w:pPr>
        <w:pStyle w:val="ListBullet"/>
        <w:spacing w:before="0" w:after="40"/>
        <w:ind w:left="288"/>
      </w:pPr>
      <w:r>
        <w:rPr>
          <w:rFonts w:ascii="Calibri" w:hAnsi="Calibri"/>
          <w:b w:val="0"/>
          <w:i w:val="0"/>
          <w:color w:val="1A1A1A"/>
          <w:sz w:val="21"/>
        </w:rPr>
        <w:t>Statistical Analysis &amp; Economic Data Analysis</w:t>
      </w:r>
    </w:p>
    <w:p>
      <w:pPr>
        <w:pStyle w:val="ListBullet"/>
        <w:spacing w:before="0" w:after="40"/>
        <w:ind w:left="288"/>
      </w:pPr>
      <w:r>
        <w:rPr>
          <w:rFonts w:ascii="Calibri" w:hAnsi="Calibri"/>
          <w:b w:val="0"/>
          <w:i w:val="0"/>
          <w:color w:val="1A1A1A"/>
          <w:sz w:val="21"/>
        </w:rPr>
        <w:t>Quantum Computing Concepts &amp; QLRI Modeling</w:t>
      </w:r>
    </w:p>
    <w:p>
      <w:pPr>
        <w:pStyle w:val="ListBullet"/>
        <w:spacing w:before="0" w:after="40"/>
        <w:ind w:left="288"/>
      </w:pPr>
      <w:r>
        <w:rPr>
          <w:rFonts w:ascii="Calibri" w:hAnsi="Calibri"/>
          <w:b w:val="0"/>
          <w:i w:val="0"/>
          <w:color w:val="1A1A1A"/>
          <w:sz w:val="21"/>
        </w:rPr>
        <w:t>Blockchain Architecture &amp; Smart Contracts</w:t>
      </w:r>
    </w:p>
    <w:p>
      <w:pPr>
        <w:pStyle w:val="ListBullet"/>
        <w:spacing w:before="0" w:after="40"/>
        <w:ind w:left="288"/>
      </w:pPr>
      <w:r>
        <w:rPr>
          <w:rFonts w:ascii="Calibri" w:hAnsi="Calibri"/>
          <w:b w:val="0"/>
          <w:i w:val="0"/>
          <w:color w:val="1A1A1A"/>
          <w:sz w:val="21"/>
        </w:rPr>
        <w:t>Political Science &amp; International Relations Research Methods</w:t>
      </w:r>
    </w:p>
    <w:p>
      <w:pPr>
        <w:pStyle w:val="ListBullet"/>
        <w:spacing w:before="0" w:after="40"/>
        <w:ind w:left="288"/>
      </w:pPr>
      <w:r>
        <w:rPr>
          <w:rFonts w:ascii="Calibri" w:hAnsi="Calibri"/>
          <w:b w:val="0"/>
          <w:i w:val="0"/>
          <w:color w:val="1A1A1A"/>
          <w:sz w:val="21"/>
        </w:rPr>
        <w:t>Project Management &amp; Event Coordination</w:t>
      </w:r>
    </w:p>
    <w:p>
      <w:pPr>
        <w:pStyle w:val="ListBullet"/>
        <w:spacing w:before="0" w:after="40"/>
        <w:ind w:left="288"/>
      </w:pPr>
      <w:r>
        <w:rPr>
          <w:rFonts w:ascii="Calibri" w:hAnsi="Calibri"/>
          <w:b w:val="0"/>
          <w:i w:val="0"/>
          <w:color w:val="1A1A1A"/>
          <w:sz w:val="21"/>
        </w:rPr>
        <w:t>Digital Marketing &amp; Public Relations</w:t>
      </w:r>
    </w:p>
    <w:p>
      <w:pPr>
        <w:pStyle w:val="ListBullet"/>
        <w:spacing w:before="0" w:after="40"/>
        <w:ind w:left="288"/>
      </w:pPr>
      <w:r>
        <w:rPr>
          <w:rFonts w:ascii="Calibri" w:hAnsi="Calibri"/>
          <w:b w:val="0"/>
          <w:i w:val="0"/>
          <w:color w:val="1A1A1A"/>
          <w:sz w:val="21"/>
        </w:rPr>
        <w:t>Electronic Database Research</w:t>
      </w:r>
    </w:p>
    <w:p>
      <w:pPr>
        <w:pStyle w:val="ListBullet"/>
        <w:spacing w:before="0" w:after="40"/>
        <w:ind w:left="288"/>
      </w:pPr>
      <w:r>
        <w:rPr>
          <w:rFonts w:ascii="Calibri" w:hAnsi="Calibri"/>
          <w:b w:val="0"/>
          <w:i w:val="0"/>
          <w:color w:val="1A1A1A"/>
          <w:sz w:val="21"/>
        </w:rPr>
        <w:t>Legislation Drafting &amp; Policy Analysis</w:t>
      </w:r>
    </w:p>
    <w:p>
      <w:pPr>
        <w:pStyle w:val="ListBullet"/>
        <w:spacing w:before="0" w:after="40"/>
        <w:ind w:left="288"/>
      </w:pPr>
      <w:r>
        <w:rPr>
          <w:rFonts w:ascii="Calibri" w:hAnsi="Calibri"/>
          <w:b w:val="0"/>
          <w:i w:val="0"/>
          <w:color w:val="1A1A1A"/>
          <w:sz w:val="21"/>
        </w:rPr>
        <w:t>Natural Language Processing (applied)</w:t>
      </w:r>
    </w:p>
    <w:p>
      <w:pPr>
        <w:pStyle w:val="ListBullet"/>
        <w:spacing w:before="0" w:after="40"/>
        <w:ind w:left="288"/>
      </w:pPr>
      <w:r>
        <w:rPr>
          <w:rFonts w:ascii="Calibri" w:hAnsi="Calibri"/>
          <w:b w:val="0"/>
          <w:i w:val="0"/>
          <w:color w:val="1A1A1A"/>
          <w:sz w:val="21"/>
        </w:rPr>
        <w:t>Historical &amp; Comparative Analysis</w:t>
      </w:r>
    </w:p>
    <w:p>
      <w:pPr>
        <w:spacing w:before="200" w:after="40"/>
        <w:pBdr>
          <w:bottom w:val="single" w:sz="8" w:space="1" w:color="1B2A4A"/>
        </w:pBdr>
      </w:pPr>
      <w:r>
        <w:rPr>
          <w:rFonts w:ascii="Calibri" w:hAnsi="Calibri"/>
          <w:b/>
          <w:i w:val="0"/>
          <w:color w:val="1B2A4A"/>
          <w:sz w:val="22"/>
        </w:rPr>
        <w:t>LANGUAGES</w:t>
      </w:r>
    </w:p>
    <w:p>
      <w:pPr>
        <w:spacing w:before="60" w:after="80"/>
      </w:pPr>
      <w:r>
        <w:rPr>
          <w:rFonts w:ascii="Calibri" w:hAnsi="Calibri"/>
          <w:b/>
          <w:i w:val="0"/>
          <w:color w:val="1B2A4A"/>
          <w:sz w:val="21"/>
        </w:rPr>
        <w:t xml:space="preserve">English: </w:t>
      </w:r>
      <w:r>
        <w:rPr>
          <w:rFonts w:ascii="Calibri" w:hAnsi="Calibri"/>
          <w:b w:val="0"/>
          <w:i w:val="0"/>
          <w:color w:val="1A1A1A"/>
          <w:sz w:val="21"/>
        </w:rPr>
        <w:t>Native</w:t>
      </w:r>
      <w:r>
        <w:rPr>
          <w:rFonts w:ascii="Calibri" w:hAnsi="Calibri"/>
          <w:b/>
          <w:i w:val="0"/>
          <w:color w:val="1B2A4A"/>
          <w:sz w:val="21"/>
        </w:rPr>
        <w:t xml:space="preserve">     Ukrainian: </w:t>
      </w:r>
      <w:r>
        <w:rPr>
          <w:rFonts w:ascii="Calibri" w:hAnsi="Calibri"/>
          <w:b w:val="0"/>
          <w:i w:val="0"/>
          <w:color w:val="1A1A1A"/>
          <w:sz w:val="21"/>
        </w:rPr>
        <w:t>Fluent</w:t>
      </w:r>
      <w:r>
        <w:rPr>
          <w:rFonts w:ascii="Calibri" w:hAnsi="Calibri"/>
          <w:b/>
          <w:i w:val="0"/>
          <w:color w:val="1B2A4A"/>
          <w:sz w:val="21"/>
        </w:rPr>
        <w:t xml:space="preserve">     Russian: </w:t>
      </w:r>
      <w:r>
        <w:rPr>
          <w:rFonts w:ascii="Calibri" w:hAnsi="Calibri"/>
          <w:b w:val="0"/>
          <w:i w:val="0"/>
          <w:color w:val="1A1A1A"/>
          <w:sz w:val="21"/>
        </w:rPr>
        <w:t>Fluent</w:t>
      </w:r>
      <w:r>
        <w:rPr>
          <w:rFonts w:ascii="Calibri" w:hAnsi="Calibri"/>
          <w:b/>
          <w:i w:val="0"/>
          <w:color w:val="1B2A4A"/>
          <w:sz w:val="21"/>
        </w:rPr>
        <w:t xml:space="preserve">     French: </w:t>
      </w:r>
      <w:r>
        <w:rPr>
          <w:rFonts w:ascii="Calibri" w:hAnsi="Calibri"/>
          <w:b w:val="0"/>
          <w:i w:val="0"/>
          <w:color w:val="1A1A1A"/>
          <w:sz w:val="21"/>
        </w:rPr>
        <w:t>Intermediate</w:t>
      </w:r>
    </w:p>
    <w:p>
      <w:pPr>
        <w:spacing w:before="200" w:after="40"/>
        <w:pBdr>
          <w:bottom w:val="single" w:sz="8" w:space="1" w:color="1B2A4A"/>
        </w:pBdr>
      </w:pPr>
      <w:r>
        <w:rPr>
          <w:rFonts w:ascii="Calibri" w:hAnsi="Calibri"/>
          <w:b/>
          <w:i w:val="0"/>
          <w:color w:val="1B2A4A"/>
          <w:sz w:val="22"/>
        </w:rPr>
        <w:t>HONORS &amp; AWARDS</w:t>
      </w:r>
    </w:p>
    <w:p>
      <w:pPr>
        <w:pStyle w:val="ListBullet"/>
        <w:spacing w:before="0" w:after="40"/>
        <w:ind w:left="288"/>
      </w:pPr>
      <w:r>
        <w:rPr>
          <w:rFonts w:ascii="Calibri" w:hAnsi="Calibri"/>
          <w:b w:val="0"/>
          <w:i w:val="0"/>
          <w:color w:val="1A1A1A"/>
          <w:sz w:val="21"/>
        </w:rPr>
        <w:t>Outstanding Thesis Award — Wilkes Honors College, FAU (May 2024)</w:t>
      </w:r>
    </w:p>
    <w:p>
      <w:pPr>
        <w:pStyle w:val="ListBullet"/>
        <w:spacing w:before="0" w:after="40"/>
        <w:ind w:left="288"/>
      </w:pPr>
      <w:r>
        <w:rPr>
          <w:rFonts w:ascii="Calibri" w:hAnsi="Calibri"/>
          <w:b w:val="0"/>
          <w:i w:val="0"/>
          <w:color w:val="1A1A1A"/>
          <w:sz w:val="21"/>
        </w:rPr>
        <w:t>Magna Cum Laude — Wilkes Honors College, FAU (May 2024)</w:t>
      </w:r>
    </w:p>
    <w:p>
      <w:pPr>
        <w:pStyle w:val="ListBullet"/>
        <w:spacing w:before="0" w:after="40"/>
        <w:ind w:left="288"/>
      </w:pPr>
      <w:r>
        <w:rPr>
          <w:rFonts w:ascii="Calibri" w:hAnsi="Calibri"/>
          <w:b w:val="0"/>
          <w:i w:val="0"/>
          <w:color w:val="1A1A1A"/>
          <w:sz w:val="21"/>
        </w:rPr>
        <w:t>Undergraduate Research Certificate — Wilkes Honors College, FAU (May 2024)</w:t>
      </w:r>
    </w:p>
    <w:p>
      <w:pPr>
        <w:pStyle w:val="ListBullet"/>
        <w:spacing w:before="0" w:after="40"/>
        <w:ind w:left="288"/>
      </w:pPr>
      <w:r>
        <w:rPr>
          <w:rFonts w:ascii="Calibri" w:hAnsi="Calibri"/>
          <w:b w:val="0"/>
          <w:i w:val="0"/>
          <w:color w:val="1A1A1A"/>
          <w:sz w:val="21"/>
        </w:rPr>
        <w:t>Phi Sigma Alpha Honor Society — FAU (January 2025)</w:t>
      </w:r>
    </w:p>
    <w:p>
      <w:pPr>
        <w:pStyle w:val="ListBullet"/>
        <w:spacing w:before="0" w:after="40"/>
        <w:ind w:left="288"/>
      </w:pPr>
      <w:r>
        <w:rPr>
          <w:rFonts w:ascii="Calibri" w:hAnsi="Calibri"/>
          <w:b w:val="0"/>
          <w:i w:val="0"/>
          <w:color w:val="1A1A1A"/>
          <w:sz w:val="21"/>
        </w:rPr>
        <w:t>Model UN Best Delegate Awards (2022, 2023, 2024, 2025)</w:t>
      </w:r>
    </w:p>
    <w:p>
      <w:pPr>
        <w:pStyle w:val="ListBullet"/>
        <w:spacing w:before="0" w:after="40"/>
        <w:ind w:left="288"/>
      </w:pPr>
      <w:r>
        <w:rPr>
          <w:rFonts w:ascii="Calibri" w:hAnsi="Calibri"/>
          <w:b w:val="0"/>
          <w:i w:val="0"/>
          <w:color w:val="1A1A1A"/>
          <w:sz w:val="21"/>
        </w:rPr>
        <w:t>National Honor Society Member (2018–2020)</w:t>
      </w:r>
    </w:p>
    <w:p>
      <w:pPr>
        <w:pStyle w:val="ListBullet"/>
        <w:spacing w:before="0" w:after="40"/>
        <w:ind w:left="288"/>
      </w:pPr>
      <w:r>
        <w:rPr>
          <w:rFonts w:ascii="Calibri" w:hAnsi="Calibri"/>
          <w:b w:val="0"/>
          <w:i w:val="0"/>
          <w:color w:val="1A1A1A"/>
          <w:sz w:val="21"/>
        </w:rPr>
        <w:t>French Honor Society Officer (2018–2020)</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