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77777777" w:rsidR="000109F1" w:rsidRPr="00786EBD" w:rsidRDefault="000109F1" w:rsidP="000109F1">
      <w:pPr>
        <w:spacing w:line="480" w:lineRule="auto"/>
        <w:rPr>
          <w:rFonts w:cstheme="minorHAnsi"/>
        </w:rPr>
      </w:pPr>
    </w:p>
    <w:p w14:paraId="6955AD1D" w14:textId="77777777" w:rsidR="000109F1" w:rsidRPr="00786EBD" w:rsidRDefault="000109F1" w:rsidP="000109F1">
      <w:pPr>
        <w:spacing w:line="480" w:lineRule="auto"/>
        <w:rPr>
          <w:rFonts w:cstheme="minorHAnsi"/>
        </w:rPr>
      </w:pPr>
    </w:p>
    <w:p w14:paraId="0961C9E8" w14:textId="571D7C3E" w:rsidR="000109F1" w:rsidRPr="00786EBD" w:rsidRDefault="000109F1" w:rsidP="000109F1">
      <w:pPr>
        <w:spacing w:line="480" w:lineRule="auto"/>
        <w:rPr>
          <w:rFonts w:cstheme="minorHAnsi"/>
        </w:rPr>
      </w:pPr>
    </w:p>
    <w:p w14:paraId="21342B7F" w14:textId="77777777" w:rsidR="000109F1" w:rsidRPr="00786EBD" w:rsidRDefault="000109F1" w:rsidP="000109F1">
      <w:pPr>
        <w:spacing w:line="480" w:lineRule="auto"/>
        <w:rPr>
          <w:rFonts w:cstheme="minorHAnsi"/>
        </w:rPr>
      </w:pPr>
    </w:p>
    <w:p w14:paraId="0F8855C5" w14:textId="20467272" w:rsidR="000109F1" w:rsidRPr="00786EBD" w:rsidRDefault="000109F1" w:rsidP="000109F1">
      <w:pPr>
        <w:spacing w:line="480" w:lineRule="auto"/>
        <w:jc w:val="center"/>
        <w:rPr>
          <w:rFonts w:cstheme="minorHAnsi"/>
          <w:b/>
          <w:bCs/>
        </w:rPr>
      </w:pPr>
      <w:r w:rsidRPr="00786EBD">
        <w:rPr>
          <w:rFonts w:cstheme="minorHAnsi"/>
          <w:b/>
          <w:bCs/>
        </w:rPr>
        <w:t>Comparing Association between Psychopathology-Related Outcomes and Stress-Sensitivity and Psychiatric Polygenic Risk Scores in the Adolescent Brain Cognitive Development (ABCD) Study</w:t>
      </w:r>
    </w:p>
    <w:p w14:paraId="021424C2" w14:textId="77777777" w:rsidR="000109F1" w:rsidRPr="00786EBD" w:rsidRDefault="000109F1" w:rsidP="000109F1">
      <w:pPr>
        <w:spacing w:line="480" w:lineRule="auto"/>
        <w:rPr>
          <w:rFonts w:cstheme="minorHAnsi"/>
        </w:rPr>
      </w:pPr>
    </w:p>
    <w:p w14:paraId="08763D87" w14:textId="06BCE052" w:rsidR="000109F1" w:rsidRPr="00786EBD" w:rsidRDefault="000109F1" w:rsidP="000109F1">
      <w:pPr>
        <w:spacing w:line="480" w:lineRule="auto"/>
        <w:jc w:val="center"/>
        <w:rPr>
          <w:rFonts w:cstheme="minorHAnsi"/>
        </w:rPr>
      </w:pPr>
      <w:r w:rsidRPr="00786EBD">
        <w:rPr>
          <w:rFonts w:cstheme="minorHAnsi"/>
        </w:rPr>
        <w:t>Kate Scheuer and Jennifer Forsyth</w:t>
      </w:r>
    </w:p>
    <w:p w14:paraId="16F660B7" w14:textId="15A30FCB" w:rsidR="000109F1" w:rsidRPr="00786EBD" w:rsidRDefault="000109F1" w:rsidP="000109F1">
      <w:pPr>
        <w:spacing w:line="480" w:lineRule="auto"/>
        <w:jc w:val="center"/>
        <w:rPr>
          <w:rFonts w:cstheme="minorHAnsi"/>
        </w:rPr>
      </w:pPr>
      <w:r w:rsidRPr="00786EBD">
        <w:rPr>
          <w:rFonts w:cstheme="minorHAnsi"/>
        </w:rPr>
        <w:t>Department of Psychology, University of Washington</w:t>
      </w:r>
    </w:p>
    <w:p w14:paraId="4AD18BEE" w14:textId="77777777" w:rsidR="000109F1" w:rsidRPr="00786EBD" w:rsidRDefault="000109F1" w:rsidP="000109F1">
      <w:pPr>
        <w:spacing w:line="480" w:lineRule="auto"/>
        <w:rPr>
          <w:rFonts w:cstheme="minorHAnsi"/>
        </w:rPr>
      </w:pPr>
    </w:p>
    <w:p w14:paraId="56CE8EA2" w14:textId="77777777" w:rsidR="000109F1" w:rsidRPr="00786EBD" w:rsidRDefault="000109F1" w:rsidP="000109F1">
      <w:pPr>
        <w:spacing w:line="480" w:lineRule="auto"/>
        <w:rPr>
          <w:rFonts w:cstheme="minorHAnsi"/>
        </w:rPr>
      </w:pPr>
    </w:p>
    <w:p w14:paraId="17302A65" w14:textId="45AE3881" w:rsidR="000109F1" w:rsidRPr="00786EBD" w:rsidRDefault="000109F1" w:rsidP="000109F1">
      <w:pPr>
        <w:spacing w:line="480" w:lineRule="auto"/>
        <w:rPr>
          <w:rFonts w:cstheme="minorHAnsi"/>
        </w:rPr>
      </w:pPr>
    </w:p>
    <w:p w14:paraId="47BA82BB" w14:textId="59361FEA" w:rsidR="00BE606A" w:rsidRPr="00786EBD" w:rsidRDefault="00BE606A" w:rsidP="000109F1">
      <w:pPr>
        <w:spacing w:line="480" w:lineRule="auto"/>
        <w:rPr>
          <w:rFonts w:cstheme="minorHAnsi"/>
        </w:rPr>
      </w:pPr>
    </w:p>
    <w:p w14:paraId="0C734800" w14:textId="3D9DE25F" w:rsidR="00BE606A" w:rsidRPr="00786EBD" w:rsidRDefault="00BE606A" w:rsidP="000109F1">
      <w:pPr>
        <w:spacing w:line="480" w:lineRule="auto"/>
        <w:rPr>
          <w:rFonts w:cstheme="minorHAnsi"/>
        </w:rPr>
      </w:pPr>
    </w:p>
    <w:p w14:paraId="6D021D17" w14:textId="77777777" w:rsidR="00BE606A" w:rsidRPr="00786EBD" w:rsidRDefault="00BE606A" w:rsidP="000109F1">
      <w:pPr>
        <w:spacing w:line="480" w:lineRule="auto"/>
        <w:rPr>
          <w:rFonts w:cstheme="minorHAnsi"/>
        </w:rPr>
      </w:pPr>
    </w:p>
    <w:p w14:paraId="2E8DA964" w14:textId="77777777" w:rsidR="000109F1" w:rsidRPr="00786EBD" w:rsidRDefault="000109F1" w:rsidP="000109F1">
      <w:pPr>
        <w:spacing w:line="480" w:lineRule="auto"/>
        <w:rPr>
          <w:rFonts w:cstheme="minorHAnsi"/>
        </w:rPr>
      </w:pPr>
    </w:p>
    <w:p w14:paraId="4E352657" w14:textId="74D2F520" w:rsidR="000109F1" w:rsidRPr="00786EBD" w:rsidRDefault="000109F1" w:rsidP="000109F1">
      <w:pPr>
        <w:spacing w:line="480" w:lineRule="auto"/>
        <w:rPr>
          <w:rFonts w:cstheme="minorHAnsi"/>
        </w:rPr>
      </w:pPr>
    </w:p>
    <w:p w14:paraId="5C12C376" w14:textId="56E16301" w:rsidR="00BE606A" w:rsidRPr="00786EBD" w:rsidRDefault="00BE606A" w:rsidP="000109F1">
      <w:pPr>
        <w:spacing w:line="480" w:lineRule="auto"/>
        <w:rPr>
          <w:rFonts w:cstheme="minorHAnsi"/>
        </w:rPr>
      </w:pPr>
    </w:p>
    <w:p w14:paraId="1F9FEEBD" w14:textId="77777777" w:rsidR="00BE606A" w:rsidRPr="00786EBD" w:rsidRDefault="00BE606A" w:rsidP="000109F1">
      <w:pPr>
        <w:spacing w:line="480" w:lineRule="auto"/>
        <w:rPr>
          <w:rFonts w:cstheme="minorHAnsi"/>
        </w:rPr>
      </w:pPr>
    </w:p>
    <w:p w14:paraId="41E3FB74" w14:textId="77777777" w:rsidR="00BE606A" w:rsidRPr="00786EBD" w:rsidRDefault="00BE606A" w:rsidP="00BE606A">
      <w:pPr>
        <w:spacing w:line="480" w:lineRule="auto"/>
        <w:jc w:val="center"/>
        <w:rPr>
          <w:rFonts w:cstheme="minorHAnsi"/>
          <w:b/>
          <w:bCs/>
        </w:rPr>
      </w:pPr>
      <w:r w:rsidRPr="00786EBD">
        <w:rPr>
          <w:rFonts w:cstheme="minorHAnsi"/>
          <w:b/>
          <w:bCs/>
        </w:rPr>
        <w:lastRenderedPageBreak/>
        <w:t>Comparing Association between Psychopathology-Related Outcomes and Stress-Sensitivity and Psychiatric Polygenic Risk Scores in the Adolescent Brain Cognitive Development (ABCD) Study</w:t>
      </w:r>
    </w:p>
    <w:p w14:paraId="784955DF" w14:textId="77777777" w:rsidR="00BE606A" w:rsidRPr="00786EBD" w:rsidRDefault="00450D91" w:rsidP="000109F1">
      <w:pPr>
        <w:spacing w:line="480" w:lineRule="auto"/>
        <w:rPr>
          <w:rFonts w:cstheme="minorHAnsi"/>
        </w:rPr>
      </w:pPr>
      <w:r w:rsidRPr="00786EBD">
        <w:rPr>
          <w:rFonts w:cstheme="minorHAnsi"/>
        </w:rPr>
        <w:t>Brief literature review</w:t>
      </w:r>
    </w:p>
    <w:p w14:paraId="5EDB0F24" w14:textId="77777777" w:rsidR="00BE606A" w:rsidRPr="00786EBD" w:rsidRDefault="00450D91" w:rsidP="000109F1">
      <w:pPr>
        <w:spacing w:line="480" w:lineRule="auto"/>
        <w:rPr>
          <w:rFonts w:cstheme="minorHAnsi"/>
        </w:rPr>
      </w:pPr>
      <w:r w:rsidRPr="00786EBD">
        <w:rPr>
          <w:rFonts w:cstheme="minorHAnsi"/>
        </w:rPr>
        <w:t xml:space="preserve">rationale </w:t>
      </w:r>
    </w:p>
    <w:p w14:paraId="19EC5BC2" w14:textId="092CFB0C" w:rsidR="0033573D" w:rsidRPr="00786EBD" w:rsidRDefault="00BE606A" w:rsidP="000109F1">
      <w:pPr>
        <w:spacing w:line="480" w:lineRule="auto"/>
        <w:rPr>
          <w:rFonts w:cstheme="minorHAnsi"/>
        </w:rPr>
      </w:pPr>
      <w:r w:rsidRPr="00786EBD">
        <w:rPr>
          <w:rFonts w:cstheme="minorHAnsi"/>
        </w:rPr>
        <w:t>This part should be 5-10 pages total</w:t>
      </w:r>
    </w:p>
    <w:p w14:paraId="4513579A"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Increased stress sensitivity has been linked to conditions such as major depressive disorder (MDD) and social anxiety disorder (SAD) </w:t>
      </w:r>
      <w:r w:rsidRPr="00786EBD">
        <w:rPr>
          <w:rFonts w:cstheme="minorHAnsi"/>
        </w:rPr>
        <w:fldChar w:fldCharType="begin"/>
      </w:r>
      <w:r w:rsidRPr="00786EBD">
        <w:rPr>
          <w:rFonts w:cstheme="minorHAnsi"/>
        </w:rPr>
        <w:instrText xml:space="preserve"> ADDIN ZOTERO_ITEM CSL_CITATION {"citationID":"vE7Hujsv","properties":{"formattedCitation":"(Farmer &amp; Kashdan, 2015; Hasler et al., 2004)","plainCitation":"(Farmer &amp; Kashdan, 2015; Hasler et al., 2004)","noteIndex":0},"citationItems":[{"id":4748,"uris":["http://zotero.org/users/local/dCnfRmag/items/YZ4RCRW7"],"itemData":{"id":4748,"type":"article-journal","abstract":"Dominant theoretical models of social anxiety disorder (SAD) suggest that people who suffer from function-impairing social fears are likely to react more strongly to social stressors. Researchers have examined the reactivity of people with SAD to stressful laboratory tasks, but there is little knowledge about how stress affects their daily lives. We asked 79 adults from the community, 40 diagnosed with SAD and 39 matched healthy controls, to self-monitor their social interactions, social events, and emotional experiences over two weeks using electronic diaries. These data allowed us to examine associations of social events and emotional well-being both within-day and from one day to the next. Using hierarchical linear modeling, we found all participants to report increases in negative affect and decreases in positive affect and self-esteem on days when they experienced more stressful social events. However, people with SAD displayed greater stress sensitivity, particularly in negative emotion reactions to stressful social events, compared to healthy controls. Groups also differed in how previous days’ events influenced sensitivity to current days’ events. Moreover, we found evidence of stress generation in that the SAD group reported more frequent interpersonal stress, though temporal analyses did not suggest greater likelihood of social stress on days following intense negative emotions. Our findings support the role of heightened social stress sensitivity in SAD, highlighting rigidity in reactions and occurrence of stressful experiences from one day to the next. These findings also shed light on theoretical models of emotions and self-esteem in SAD and present important clinical implications.","container-title":"Journal of abnormal psychology","DOI":"10.1037/abn0000036","ISSN":"0021-843X","issue":"1","journalAbbreviation":"J Abnorm Psychol","note":"PMID: 25688437\nPMCID: PMC4376480","page":"102-114","source":"PubMed Central","title":"Stress Sensitivity and Stress Generation in Social Anxiety Disorder: A Temporal Process Approach","title-short":"Stress Sensitivity and Stress Generation in Social Anxiety Disorder","volume":"124","author":[{"family":"Farmer","given":"Antonina S."},{"family":"Kashdan","given":"Todd B."}],"issued":{"date-parts":[["2015",2]]}}},{"id":4784,"uris":["http://zotero.org/users/local/dCnfRmag/items/DDL5FB7P"],"itemData":{"id":4784,"type":"article-journal","abstract":"The limited success of genetic studies of major depression has raised questions concerning the definition of genetically relevant phenotypes. This paper presents strategies to improve the phenotypic definition of major depression by proposing endophenotypes at two levels: First, dissecting the depressive phenotype into key components results in narrow definitions of putative psychopathological endophenotypes: mood bias toward negative emotions, impaired reward function, impaired learning and memory, neurovegetative signs, impaired diurnal variation, impaired executive cognitive function, psychomotor change, and increased stress sensitivity. A review of the recent literature on neurobiological and genetic findings associated with these components is given. Second, the most consistent heritable biological markers of major depression are proposed as biological endophenotypes for genetic studies: REM sleep abnormalities, functional and structural brain abnormalities, dysfunctions in serotonergic, catecholaminergic, hypothalamic-pituitary-adrenocortical axis, and CRH systems, and intracellular signal transduction endophenotypes. The associations among the psychopathological and biological endophenotypes are discussed with respect to specificity, temporal stability, heritability, familiality, and clinical and biological plausibility. Finally, the case is made for the development of a new classification system in order to reduce the heterogeneity of depression representing a major impediment to elucidating the genetic and neurobiological basis of this common, severe, and often life-threatening illness.","container-title":"Neuropsychopharmacology","DOI":"10.1038/sj.npp.1300506","ISSN":"1740-634X","issue":"10","journalAbbreviation":"Neuropsychopharmacol","language":"en","license":"2004 American College of Neuropsychopharmacology","note":"publisher: Nature Publishing Group","page":"1765-1781","source":"www-nature-com.offcampus.lib.washington.edu","title":"Discovering Endophenotypes for Major Depression","volume":"29","author":[{"family":"Hasler","given":"Gregor"},{"family":"Drevets","given":"Wayne C."},{"family":"Manji","given":"Husseini K."},{"family":"Charney","given":"Dennis S."}],"issued":{"date-parts":[["2004",10]]}}}],"schema":"https://github.com/citation-style-language/schema/raw/master/csl-citation.json"} </w:instrText>
      </w:r>
      <w:r w:rsidRPr="00786EBD">
        <w:rPr>
          <w:rFonts w:cstheme="minorHAnsi"/>
        </w:rPr>
        <w:fldChar w:fldCharType="separate"/>
      </w:r>
      <w:r w:rsidRPr="00786EBD">
        <w:rPr>
          <w:rFonts w:cstheme="minorHAnsi"/>
        </w:rPr>
        <w:t>(Farmer &amp; Kashdan, 2015; Hasler et al., 2004)</w:t>
      </w:r>
      <w:r w:rsidRPr="00786EBD">
        <w:rPr>
          <w:rFonts w:cstheme="minorHAnsi"/>
        </w:rPr>
        <w:fldChar w:fldCharType="end"/>
      </w:r>
      <w:r w:rsidRPr="00786EBD">
        <w:rPr>
          <w:rFonts w:cstheme="minorHAnsi"/>
        </w:rPr>
        <w:t>. This suggests that the stress sensitivity PRS may be related to MDD and SAD diagnoses based on the KSADS-COMP and the following CBCL subscales: internalizing, anxious/depressed, withdrawn/depressed, social problems, somatic problems (physiological symptoms which are often associated with anxiety).</w:t>
      </w:r>
    </w:p>
    <w:p w14:paraId="12149B5F"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Penner-Goeke et al. </w:t>
      </w:r>
      <w:r w:rsidRPr="00786EBD">
        <w:rPr>
          <w:rFonts w:cstheme="minorHAnsi"/>
        </w:rPr>
        <w:fldChar w:fldCharType="begin"/>
      </w:r>
      <w:r w:rsidRPr="00786EBD">
        <w:rPr>
          <w:rFonts w:cstheme="minorHAnsi"/>
        </w:rPr>
        <w:instrText xml:space="preserve"> ADDIN ZOTERO_ITEM CSL_CITATION {"citationID":"m1ofOybk","properties":{"formattedCitation":"(2023)","plainCitation":"(2023)","noteIndex":0},"citationItems":[{"id":4444,"uris":["http://zotero.org/users/local/dCnfRmag/items/BV8FIBXB"],"itemData":{"id":4444,"type":"article-journal","abstract":"Exposure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Pr="00786EBD">
        <w:rPr>
          <w:rFonts w:cstheme="minorHAnsi"/>
        </w:rPr>
        <w:fldChar w:fldCharType="separate"/>
      </w:r>
      <w:r w:rsidRPr="00786EBD">
        <w:rPr>
          <w:rFonts w:cstheme="minorHAnsi"/>
        </w:rPr>
        <w:t>(2023)</w:t>
      </w:r>
      <w:r w:rsidRPr="00786EBD">
        <w:rPr>
          <w:rFonts w:cstheme="minorHAnsi"/>
        </w:rPr>
        <w:fldChar w:fldCharType="end"/>
      </w:r>
      <w:r w:rsidRPr="00786EBD">
        <w:rPr>
          <w:rFonts w:cstheme="minorHAnsi"/>
        </w:rPr>
        <w:t xml:space="preserve"> found that the stress sensitivity SNPs were associated with individuals with MDD who had previously experienced trauma. While they did not find a relationship between these SNPs and PTSD, they suggested that may be due to methodological constraints, as they were using data from a potentially underpowered GWAS. The stress sensitivity PRS in the proposed study may therefore be associated with PTSD diagnoses based on the KSADS-COMP.</w:t>
      </w:r>
    </w:p>
    <w:p w14:paraId="3B99389F"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SNPs in genetic regions linked to the HPA axis were able to predict ADHD symptom severity </w:t>
      </w:r>
      <w:r w:rsidRPr="00786EBD">
        <w:rPr>
          <w:rFonts w:cstheme="minorHAnsi"/>
        </w:rPr>
        <w:fldChar w:fldCharType="begin"/>
      </w:r>
      <w:r w:rsidRPr="00786EBD">
        <w:rPr>
          <w:rFonts w:cstheme="minorHAnsi"/>
        </w:rPr>
        <w:instrText xml:space="preserve"> ADDIN ZOTERO_ITEM CSL_CITATION {"citationID":"rFZipIKv","properties":{"formattedCitation":"(van der Meer et al., 2017)","plainCitation":"(van der Meer et al., 2017)","noteIndex":0},"citationItems":[{"id":4754,"uris":["http://zotero.org/users/local/dCnfRmag/items/KSUDLP8K"],"itemData":{"id":4754,"type":"article-journal","abstract":"Identifying genetic variants contributing to attention-deficit/hyperactivity disorder (ADHD) is complicated by the involvement of numerous common genetic variants with small effects, interacting with each other as well as with environmental factors, such as stress exposure. Random forest regression is well suited to explore this complexity, as it allows for the analysis of many predictors simultaneously, taking into account any higher-order interactions among them. Using random forest regression, we predicted ADHD severity, measured by Conners’ Parent Rating Scales, from 686 adolescents and young adults (of which 281 were diagnosed with ADHD). The analysis included 17 374 single-nucleotide polymorphisms (SNPs) across 29 genes previously linked to hypothalamic–pituitary–adrenal (HPA) axis activity, together with information on exposure to 24 individual long-term difficulties or stressful life events. The model explained 12.5% of variance in ADHD severity. The most important SNP, which also showed the strongest interaction with stress exposure, was located in a region regulating the expression of telomerase reverse transcriptase (TERT). Other high-ranking SNPs were found in or near NPSR1, ESR1, GABRA6, PER3, NR3C2 and DRD4. Chronic stressors were more influential than single, severe, life events. Top hits were partly shared with conduct problems. We conclude that random forest regression may be used to investigate how multiple genetic and environmental factors jointly contribute to ADHD. It is able to implicate novel SNPs of interest, interacting with stress exposure, and may explain inconsistent findings in ADHD genetics. This exploratory approach may be best combined with more hypothesis-driven research; top predictors and their interactions with one another should be replicated in independent samples.","container-title":"Translational Psychiatry","DOI":"10.1038/tp.2017.114","ISSN":"2158-3188","issue":"6","journalAbbreviation":"Transl Psychiatry","language":"en","license":"2017 The Author(s)","note":"publisher: Nature Publishing Group","page":"e1145-e1145","source":"www-nature-com.offcampus.lib.washington.edu","title":"Predicting attention-deficit/hyperactivity disorder severity from psychosocial stress and stress-response genes: a random forest regression approach","title-short":"Predicting attention-deficit/hyperactivity disorder severity from psychosocial stress and stress-response genes","volume":"7","author":[{"family":"Meer","given":"D.","non-dropping-particle":"van der"},{"family":"Hoekstra","given":"P. J."},{"family":"Donkelaar","given":"M.","non-dropping-particle":"van"},{"family":"Bralten","given":"J."},{"family":"Oosterlaan","given":"J."},{"family":"Heslenfeld","given":"D."},{"family":"Faraone","given":"S. V."},{"family":"Franke","given":"B."},{"family":"Buitelaar","given":"J. K."},{"family":"Hartman","given":"C. A."}],"issued":{"date-parts":[["2017",6]]}}}],"schema":"https://github.com/citation-style-language/schema/raw/master/csl-citation.json"} </w:instrText>
      </w:r>
      <w:r w:rsidRPr="00786EBD">
        <w:rPr>
          <w:rFonts w:cstheme="minorHAnsi"/>
        </w:rPr>
        <w:fldChar w:fldCharType="separate"/>
      </w:r>
      <w:r w:rsidRPr="00786EBD">
        <w:rPr>
          <w:rFonts w:cstheme="minorHAnsi"/>
        </w:rPr>
        <w:t>(van der Meer et al., 2017)</w:t>
      </w:r>
      <w:r w:rsidRPr="00786EBD">
        <w:rPr>
          <w:rFonts w:cstheme="minorHAnsi"/>
        </w:rPr>
        <w:fldChar w:fldCharType="end"/>
      </w:r>
      <w:r w:rsidRPr="00786EBD">
        <w:rPr>
          <w:rFonts w:cstheme="minorHAnsi"/>
        </w:rPr>
        <w:t>. This suggests that the stress sensitivity PRS in the proposed study might be associated with ADHD diagnoses based on the KSADS-COMP and increased scores on the CBCL attention subscale.</w:t>
      </w:r>
    </w:p>
    <w:p w14:paraId="001DEC94"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Because stress sensitivity has also been liked to increased risk of psychosis </w:t>
      </w:r>
      <w:r w:rsidRPr="00786EBD">
        <w:rPr>
          <w:rFonts w:cstheme="minorHAnsi"/>
        </w:rPr>
        <w:fldChar w:fldCharType="begin"/>
      </w:r>
      <w:r w:rsidRPr="00786EBD">
        <w:rPr>
          <w:rFonts w:cstheme="minorHAnsi"/>
        </w:rPr>
        <w:instrText xml:space="preserve"> ADDIN ZOTERO_ITEM CSL_CITATION {"citationID":"SbEy35wF","properties":{"formattedCitation":"(Reininghaus et al., 2016)","plainCitation":"(Reininghaus et al., 2016)","noteIndex":0},"citationItems":[{"id":4751,"uris":["http://zotero.org/users/local/dCnfRmag/items/35DAFSBV"],"itemData":{"id":4751,"type":"article-journal","abstract":"While contemporary models of psychosis have proposed a number of putative psychological mechanisms, how these impact on individuals to increase intensity of psychotic experiences in real life, outside the research laboratory, remains unclear. We aimed to investigate whether elevated stress sensitivity, experiences of aberrant novelty and salience, and enhanced anticipation of threat contribute to the development of psychotic experiences in daily life. We used the experience sampling method (ESM) to assess stress, negative affect, aberrant salience, threat anticipation, and psychotic experiences in 51 individuals with first-episode psychosis (FEP), 46 individuals with an at-risk mental state (ARMS) for psychosis, and 53 controls with no personal or family history of psychosis. Linear mixed models were used to account for the multilevel structure of ESM data. In all 3 groups, elevated stress sensitivity, aberrant salience, and enhanced threat anticipation were associated with an increased intensity of psychotic experiences. However, elevated sensitivity to minor stressful events (χ 2 = 6.3, P = 0.044), activities (χ 2 = 6.7, P = 0.036), and areas (χ 2 = 9.4, P = 0.009) and enhanced threat anticipation (χ 2 = 9.3, P = 0.009) were associated with more intense psychotic experiences in FEP individuals than controls. Sensitivity to outsider status (χ 2 = 5.7, P = 0.058) and aberrantly salient experiences (χ 2 = 12.3, P = 0.002) were more strongly associated with psychotic experiences in ARMS individuals than controls. Our findings suggest that stress sensitivity, aberrant salience, and threat anticipation are important psychological processes in the development of psychotic experiences in daily life in the early stages of the disorder.","container-title":"Schizophrenia Bulletin","DOI":"10.1093/schbul/sbv190","ISSN":"0586-7614","issue":"3","journalAbbreviation":"Schizophrenia Bulletin","page":"712-722","source":"Silverchair","title":"Stress Sensitivity, Aberrant Salience, and Threat Anticipation in Early Psychosis: An Experience Sampling Study","title-short":"Stress Sensitivity, Aberrant Salience, and Threat Anticipation in Early Psychosis","volume":"42","author":[{"family":"Reininghaus","given":"Ulrich"},{"family":"Kempton","given":"Matthew J."},{"family":"Valmaggia","given":"Lucia"},{"family":"Craig","given":"Tom K. J."},{"family":"Garety","given":"Philippa"},{"family":"Onyejiaka","given":"Adanna"},{"family":"Gayer-Anderson","given":"Charlotte"},{"family":"So","given":"Suzanne H."},{"family":"Hubbard","given":"Kathryn"},{"family":"Beards","given":"Stephanie"},{"family":"Dazzan","given":"Paola"},{"family":"Pariante","given":"Carmine"},{"family":"Mondelli","given":"Valeria"},{"family":"Fisher","given":"Helen L."},{"family":"Mills","given":"John G."},{"family":"Viechtbauer","given":"Wolfgang"},{"family":"McGuire","given":"Philip"},{"family":"Os","given":"Jim","non-dropping-particle":"van"},{"family":"Murray","given":"Robin M."},{"family":"Wykes","given":"Til"},{"family":"Myin-Germeys","given":"Inez"},{"family":"Morgan","given":"Craig"}],"issued":{"date-parts":[["2016",5,1]]}}}],"schema":"https://github.com/citation-style-language/schema/raw/master/csl-citation.json"} </w:instrText>
      </w:r>
      <w:r w:rsidRPr="00786EBD">
        <w:rPr>
          <w:rFonts w:cstheme="minorHAnsi"/>
        </w:rPr>
        <w:fldChar w:fldCharType="separate"/>
      </w:r>
      <w:r w:rsidRPr="00786EBD">
        <w:rPr>
          <w:rFonts w:cstheme="minorHAnsi"/>
        </w:rPr>
        <w:t>(Reininghaus et al., 2016)</w:t>
      </w:r>
      <w:r w:rsidRPr="00786EBD">
        <w:rPr>
          <w:rFonts w:cstheme="minorHAnsi"/>
        </w:rPr>
        <w:fldChar w:fldCharType="end"/>
      </w:r>
      <w:r w:rsidRPr="00786EBD">
        <w:rPr>
          <w:rFonts w:cstheme="minorHAnsi"/>
        </w:rPr>
        <w:t>, the stress sensitivity PRS may be associated with increased scores on the CBCL thought problems subscale.</w:t>
      </w:r>
    </w:p>
    <w:p w14:paraId="1709A1D1"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Finally, increased stress sensitivity was recently linked to more externalizing problems </w:t>
      </w:r>
      <w:r w:rsidRPr="00786EBD">
        <w:rPr>
          <w:rFonts w:cstheme="minorHAnsi"/>
        </w:rPr>
        <w:fldChar w:fldCharType="begin"/>
      </w:r>
      <w:r w:rsidRPr="00786EBD">
        <w:rPr>
          <w:rFonts w:cstheme="minorHAnsi"/>
        </w:rPr>
        <w:instrText xml:space="preserve"> ADDIN ZOTERO_ITEM CSL_CITATION {"citationID":"A9Is6GSy","properties":{"formattedCitation":"(Borchers et al., 2024)","plainCitation":"(Borchers et al., 2024)","noteIndex":0},"citationItems":[{"id":4787,"uris":["http://zotero.org/users/local/dCnfRmag/items/CD2Q3H22"],"itemData":{"id":4787,"type":"article-journal","abstract":"Background\nExposure and sensitivity to early life stress (ELS) are related to increased risk for psychopathology in adolescence. While cross-sectional studies have reported blunted nucleus accumbens (NAcc) activation in the context of these associations, researchers have not yet assessed the effects of ELS on developmental trajectories of activation. We examined whether trajectories are affected by stress and the moderating role of biological sex in predicting vulnerability to symptoms of psychopathology.\nMethod\nAdolescents (n=173) completed three assessments at two-year intervals across puberty (ages 9-18 years). At baseline we assessed objective ELS and stress sensitivity using the Traumatic Events Screening Inventory for Children. At all timepoints we assessed NAcc activation using the Monetary Incentive Delay task and externalizing, internalizing, and total problems using the Youth Self-Report. We correlated NAcc trajectories (extracted using linear mixed effects models) with ELS and stress sensitivity, and conducted multivariate regression analysis to examine the interaction of NAcc trajectories and biological sex in predicting symptoms of psychopathology.\nResults\nSymptoms increased over adolescence. Stress sensitivity, but not objective ELS, was associated with decreasing trajectories of NAcc activation. Biological sex interacted with NAcc trajectories to predict psychopathology: boys, but not girls, with decreasing NAcc activation had more severe externalizing problems in adolescence. These findings were replicated in the putamen and caudate but not in the medial prefrontal cortex or control brain regions.\nConclusions\nNAcc activation may be a sex-specific marker of externalizing problems in adolescence. Efforts to reduce stress sensitivity may help to decrease symptoms of psychopathology in adolescent boys.","container-title":"Biological Psychiatry","DOI":"10.1016/j.biopsych.2024.01.011","ISSN":"0006-3223","journalAbbreviation":"Biological Psychiatry","source":"ScienceDirect","title":"Sex-Specific Vulnerability to Externalizing Problems: Sensitivity to Early Stress and Nucleus Accumbens Activation Over Adolescence","title-short":"Sex-Specific Vulnerability to Externalizing Problems","URL":"https://www.sciencedirect.com/science/article/pii/S0006322324000386","author":[{"family":"Borchers","given":"Lauren R."},{"family":"Yuan","given":"Justin P."},{"family":"Leong","given":"Josiah K."},{"family":"Jo","given":"Booil"},{"family":"Chahal","given":"Rajpreet"},{"family":"Ryu","given":"Joshua"},{"family":"Nam","given":"Andrew"},{"family":"Coury","given":"Saché M."},{"family":"Gotlib","given":"Ian H."}],"accessed":{"date-parts":[["2024",3,9]]},"issued":{"date-parts":[["2024",1,24]]}}}],"schema":"https://github.com/citation-style-language/schema/raw/master/csl-citation.json"} </w:instrText>
      </w:r>
      <w:r w:rsidRPr="00786EBD">
        <w:rPr>
          <w:rFonts w:cstheme="minorHAnsi"/>
        </w:rPr>
        <w:fldChar w:fldCharType="separate"/>
      </w:r>
      <w:r w:rsidRPr="00786EBD">
        <w:rPr>
          <w:rFonts w:cstheme="minorHAnsi"/>
        </w:rPr>
        <w:t>(Borchers et al., 2024)</w:t>
      </w:r>
      <w:r w:rsidRPr="00786EBD">
        <w:rPr>
          <w:rFonts w:cstheme="minorHAnsi"/>
        </w:rPr>
        <w:fldChar w:fldCharType="end"/>
      </w:r>
      <w:r w:rsidRPr="00786EBD">
        <w:rPr>
          <w:rFonts w:cstheme="minorHAnsi"/>
        </w:rPr>
        <w:t>, suggesting that the stress sensitivity PRS could be associated with higher scores on the CBCL externalizing, rule-breaking, and aggression subscales.</w:t>
      </w:r>
    </w:p>
    <w:p w14:paraId="67917D4E" w14:textId="77777777" w:rsidR="00A959E1" w:rsidRPr="00786EBD" w:rsidRDefault="00A959E1" w:rsidP="00A959E1">
      <w:pPr>
        <w:pStyle w:val="NoSpacing"/>
        <w:contextualSpacing/>
        <w:rPr>
          <w:rFonts w:cstheme="minorHAnsi"/>
        </w:rPr>
      </w:pPr>
    </w:p>
    <w:p w14:paraId="53811240" w14:textId="77777777" w:rsidR="00A959E1" w:rsidRPr="00786EBD" w:rsidRDefault="00A959E1" w:rsidP="00A959E1">
      <w:pPr>
        <w:pStyle w:val="NoSpacing"/>
        <w:ind w:left="720"/>
        <w:contextualSpacing/>
        <w:rPr>
          <w:rFonts w:cstheme="minorHAnsi"/>
        </w:rPr>
      </w:pPr>
      <w:r w:rsidRPr="00786EBD">
        <w:rPr>
          <w:rFonts w:cstheme="minorHAnsi"/>
          <w:i/>
          <w:iCs/>
        </w:rPr>
        <w:t xml:space="preserve">H1: </w:t>
      </w:r>
      <w:r w:rsidRPr="00786EBD">
        <w:rPr>
          <w:rFonts w:cstheme="minorHAnsi"/>
        </w:rPr>
        <w:t>Higher stress-sensitivity PRS will be significantly associated with increased CBCL scores on internalizing, externalizing, total problems, and all eight subscales.</w:t>
      </w:r>
    </w:p>
    <w:p w14:paraId="19A60967" w14:textId="77777777" w:rsidR="00A959E1" w:rsidRPr="00786EBD" w:rsidRDefault="00A959E1" w:rsidP="00A959E1">
      <w:pPr>
        <w:pStyle w:val="NoSpacing"/>
        <w:ind w:left="720"/>
        <w:contextualSpacing/>
        <w:rPr>
          <w:rFonts w:cstheme="minorHAnsi"/>
        </w:rPr>
      </w:pPr>
    </w:p>
    <w:p w14:paraId="11C37A54" w14:textId="77777777" w:rsidR="00A959E1" w:rsidRPr="00786EBD" w:rsidRDefault="00A959E1" w:rsidP="00A959E1">
      <w:pPr>
        <w:pStyle w:val="NoSpacing"/>
        <w:ind w:left="720"/>
        <w:contextualSpacing/>
        <w:rPr>
          <w:rFonts w:cstheme="minorHAnsi"/>
        </w:rPr>
      </w:pPr>
      <w:r w:rsidRPr="00786EBD">
        <w:rPr>
          <w:rFonts w:cstheme="minorHAnsi"/>
          <w:i/>
          <w:iCs/>
        </w:rPr>
        <w:t>H2:</w:t>
      </w:r>
      <w:r w:rsidRPr="00786EBD">
        <w:rPr>
          <w:rFonts w:cstheme="minorHAnsi"/>
        </w:rPr>
        <w:t xml:space="preserve"> Higher stress-sensitivity PRS will be significant associated with meeting criteria for MDD, ADHD, SAD, and PTSD based on the KSADS-COMP.</w:t>
      </w:r>
    </w:p>
    <w:p w14:paraId="1DA7AFE3" w14:textId="424F4459" w:rsidR="00A959E1" w:rsidRDefault="00A959E1" w:rsidP="000109F1">
      <w:pPr>
        <w:spacing w:line="480" w:lineRule="auto"/>
        <w:rPr>
          <w:rFonts w:cstheme="minorHAnsi"/>
        </w:rPr>
      </w:pPr>
    </w:p>
    <w:p w14:paraId="75FDE0F2" w14:textId="27ABA338" w:rsidR="00786EBD" w:rsidRDefault="00786EBD" w:rsidP="000109F1">
      <w:pPr>
        <w:spacing w:line="480" w:lineRule="auto"/>
        <w:rPr>
          <w:rFonts w:cstheme="minorHAnsi"/>
        </w:rPr>
      </w:pPr>
    </w:p>
    <w:p w14:paraId="7EA16632" w14:textId="77777777" w:rsidR="00786EBD" w:rsidRPr="00786EBD" w:rsidRDefault="00786EBD" w:rsidP="000109F1">
      <w:pPr>
        <w:spacing w:line="480" w:lineRule="auto"/>
        <w:rPr>
          <w:rFonts w:cstheme="minorHAnsi"/>
        </w:rPr>
      </w:pPr>
    </w:p>
    <w:p w14:paraId="45279ADF" w14:textId="16BB11B4" w:rsidR="00BE606A" w:rsidRPr="00786EBD" w:rsidRDefault="00BE606A" w:rsidP="00BE606A">
      <w:pPr>
        <w:spacing w:line="480" w:lineRule="auto"/>
        <w:jc w:val="center"/>
        <w:rPr>
          <w:rFonts w:cstheme="minorHAnsi"/>
          <w:b/>
          <w:bCs/>
        </w:rPr>
      </w:pPr>
      <w:r w:rsidRPr="00786EBD">
        <w:rPr>
          <w:rFonts w:cstheme="minorHAnsi"/>
          <w:b/>
          <w:bCs/>
        </w:rPr>
        <w:lastRenderedPageBreak/>
        <w:t>Method</w:t>
      </w:r>
      <w:r w:rsidR="0052769A" w:rsidRPr="00786EBD">
        <w:rPr>
          <w:rFonts w:cstheme="minorHAnsi"/>
          <w:b/>
          <w:bCs/>
        </w:rPr>
        <w:t>s</w:t>
      </w:r>
    </w:p>
    <w:p w14:paraId="173ACC6D" w14:textId="425E775B" w:rsidR="00187F50" w:rsidRPr="00786EBD" w:rsidRDefault="0052769A" w:rsidP="00187F50">
      <w:pPr>
        <w:spacing w:line="480" w:lineRule="auto"/>
        <w:rPr>
          <w:rFonts w:cstheme="minorHAnsi"/>
          <w:b/>
          <w:bCs/>
        </w:rPr>
      </w:pPr>
      <w:r w:rsidRPr="00786EBD">
        <w:rPr>
          <w:rFonts w:cstheme="minorHAnsi"/>
          <w:b/>
          <w:bCs/>
        </w:rPr>
        <w:t>Sample</w:t>
      </w:r>
      <w:r w:rsidR="00187F50" w:rsidRPr="00786EBD">
        <w:rPr>
          <w:rFonts w:cstheme="minorHAnsi"/>
          <w:b/>
          <w:bCs/>
        </w:rPr>
        <w:t xml:space="preserve"> description</w:t>
      </w:r>
    </w:p>
    <w:p w14:paraId="72BABC38" w14:textId="5652DD2F" w:rsidR="00187F50" w:rsidRPr="00786EBD" w:rsidRDefault="00587584" w:rsidP="00FC78E1">
      <w:pPr>
        <w:spacing w:line="480" w:lineRule="auto"/>
        <w:ind w:firstLine="720"/>
        <w:rPr>
          <w:rFonts w:cstheme="minorHAnsi"/>
        </w:rPr>
      </w:pPr>
      <w:r w:rsidRPr="00786EBD">
        <w:rPr>
          <w:rFonts w:cstheme="minorHAnsi"/>
        </w:rPr>
        <w:t>The Adolescent Brain Cognitive Development (ABCD) Study is an</w:t>
      </w:r>
      <w:r w:rsidR="00187F50" w:rsidRPr="00786EBD">
        <w:rPr>
          <w:rFonts w:cstheme="minorHAnsi"/>
        </w:rPr>
        <w:t xml:space="preserve"> ongoing, longitudinal study </w:t>
      </w:r>
      <w:r w:rsidRPr="00786EBD">
        <w:rPr>
          <w:rFonts w:cstheme="minorHAnsi"/>
        </w:rPr>
        <w:t>which</w:t>
      </w:r>
      <w:r w:rsidR="00187F50" w:rsidRPr="00786EBD">
        <w:rPr>
          <w:rFonts w:cstheme="minorHAnsi"/>
        </w:rPr>
        <w:t xml:space="preserve"> </w:t>
      </w:r>
      <w:r w:rsidRPr="00786EBD">
        <w:rPr>
          <w:rFonts w:cstheme="minorHAnsi"/>
        </w:rPr>
        <w:t>samples</w:t>
      </w:r>
      <w:r w:rsidR="00187F50" w:rsidRPr="00786EBD">
        <w:rPr>
          <w:rFonts w:cstheme="minorHAnsi"/>
        </w:rPr>
        <w:t xml:space="preserve"> adolescents from across the United States</w:t>
      </w:r>
      <w:r w:rsidRPr="00786EBD">
        <w:rPr>
          <w:rFonts w:cstheme="minorHAnsi"/>
        </w:rPr>
        <w:t>. Subject composition</w:t>
      </w:r>
      <w:r w:rsidR="00187F50" w:rsidRPr="00786EBD">
        <w:rPr>
          <w:rFonts w:cstheme="minorHAnsi"/>
        </w:rPr>
        <w:t xml:space="preserve"> is similar to national demographic composition in terms of race, ethnicity, urbanicity, and sex </w:t>
      </w:r>
      <w:r w:rsidR="00187F50" w:rsidRPr="00786EBD">
        <w:rPr>
          <w:rFonts w:cstheme="minorHAnsi"/>
        </w:rPr>
        <w:fldChar w:fldCharType="begin"/>
      </w:r>
      <w:r w:rsidR="00187F50" w:rsidRPr="00786EBD">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786EBD">
        <w:rPr>
          <w:rFonts w:cstheme="minorHAnsi"/>
        </w:rPr>
        <w:fldChar w:fldCharType="separate"/>
      </w:r>
      <w:r w:rsidR="00187F50" w:rsidRPr="00786EBD">
        <w:rPr>
          <w:rFonts w:cstheme="minorHAnsi"/>
        </w:rPr>
        <w:t>(Compton et al., 2019)</w:t>
      </w:r>
      <w:r w:rsidR="00187F50" w:rsidRPr="00786EBD">
        <w:rPr>
          <w:rFonts w:cstheme="minorHAnsi"/>
        </w:rPr>
        <w:fldChar w:fldCharType="end"/>
      </w:r>
      <w:r w:rsidR="00187F50" w:rsidRPr="00786EBD">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Pr="00786EBD">
        <w:rPr>
          <w:rFonts w:cstheme="minorHAnsi"/>
        </w:rPr>
        <w:t xml:space="preserve"> (data currently available for 3718 participants)</w:t>
      </w:r>
      <w:r w:rsidR="00187F50" w:rsidRPr="00786EBD">
        <w:rPr>
          <w:rFonts w:cstheme="minorHAnsi"/>
        </w:rPr>
        <w:t xml:space="preserve">, based on prior attrition, information should be available for about 9826 adolescents.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Pr="00786EBD">
        <w:rPr>
          <w:rFonts w:cstheme="minorHAnsi"/>
        </w:rPr>
        <w:t>two</w:t>
      </w:r>
      <w:r w:rsidR="00187F50" w:rsidRPr="00786EBD">
        <w:rPr>
          <w:rFonts w:cstheme="minorHAnsi"/>
        </w:rPr>
        <w:t xml:space="preserve">, and current diagnoses of MDD in year four were about four times larger than those in year </w:t>
      </w:r>
      <w:r w:rsidRPr="00786EBD">
        <w:rPr>
          <w:rFonts w:cstheme="minorHAnsi"/>
        </w:rPr>
        <w:t>two</w:t>
      </w:r>
      <w:r w:rsidR="00187F50" w:rsidRPr="00786EBD">
        <w:rPr>
          <w:rFonts w:cstheme="minorHAnsi"/>
        </w:rPr>
        <w:t>.</w:t>
      </w:r>
      <w:r w:rsidR="00A959E1" w:rsidRPr="00786EBD">
        <w:rPr>
          <w:rFonts w:cstheme="minorHAnsi"/>
        </w:rPr>
        <w:t xml:space="preserve"> In year four, youth participants were </w:t>
      </w:r>
      <w:r w:rsidRPr="00786EBD">
        <w:rPr>
          <w:rFonts w:cstheme="minorHAnsi"/>
        </w:rPr>
        <w:t>52.82% male, 47.15% female, and 0.02% intersex</w:t>
      </w:r>
      <w:r w:rsidR="00A959E1" w:rsidRPr="00786EBD">
        <w:rPr>
          <w:rFonts w:cstheme="minorHAnsi"/>
        </w:rPr>
        <w:t>.</w:t>
      </w:r>
      <w:r w:rsidR="00786EBD" w:rsidRPr="00786EBD">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786EBD">
        <w:rPr>
          <w:rFonts w:cstheme="minorHAnsi"/>
        </w:rPr>
        <w:t xml:space="preserve"> Combined family household incomes pre-tax were as follows: </w:t>
      </w:r>
      <w:r w:rsidRPr="00786EBD">
        <w:rPr>
          <w:rFonts w:cstheme="minorHAnsi"/>
        </w:rPr>
        <w:t>1.86</w:t>
      </w:r>
      <w:r w:rsidR="00A959E1" w:rsidRPr="00786EBD">
        <w:rPr>
          <w:rFonts w:cstheme="minorHAnsi"/>
        </w:rPr>
        <w:t xml:space="preserve">% less than $5,000; </w:t>
      </w:r>
      <w:r w:rsidRPr="00786EBD">
        <w:rPr>
          <w:rFonts w:cstheme="minorHAnsi"/>
        </w:rPr>
        <w:t>1.69</w:t>
      </w:r>
      <w:r w:rsidR="00A959E1" w:rsidRPr="00786EBD">
        <w:rPr>
          <w:rFonts w:cstheme="minorHAnsi"/>
        </w:rPr>
        <w:t xml:space="preserve">% $5,000 through $11,999; </w:t>
      </w:r>
      <w:r w:rsidRPr="00786EBD">
        <w:rPr>
          <w:rFonts w:cstheme="minorHAnsi"/>
        </w:rPr>
        <w:t>1.43</w:t>
      </w:r>
      <w:r w:rsidR="00A959E1" w:rsidRPr="00786EBD">
        <w:rPr>
          <w:rFonts w:cstheme="minorHAnsi"/>
        </w:rPr>
        <w:t xml:space="preserve">% $12.000 through $15,999; </w:t>
      </w:r>
      <w:r w:rsidRPr="00786EBD">
        <w:rPr>
          <w:rFonts w:cstheme="minorHAnsi"/>
        </w:rPr>
        <w:t>3.25</w:t>
      </w:r>
      <w:r w:rsidR="00A959E1" w:rsidRPr="00786EBD">
        <w:rPr>
          <w:rFonts w:cstheme="minorHAnsi"/>
        </w:rPr>
        <w:t xml:space="preserve">% $16,000 through $24.999; </w:t>
      </w:r>
      <w:r w:rsidRPr="00786EBD">
        <w:rPr>
          <w:rFonts w:cstheme="minorHAnsi"/>
        </w:rPr>
        <w:t>4.14</w:t>
      </w:r>
      <w:r w:rsidR="00A959E1" w:rsidRPr="00786EBD">
        <w:rPr>
          <w:rFonts w:cstheme="minorHAnsi"/>
        </w:rPr>
        <w:t xml:space="preserve">% $25,000 through $34,999; </w:t>
      </w:r>
      <w:r w:rsidRPr="00786EBD">
        <w:rPr>
          <w:rFonts w:cstheme="minorHAnsi"/>
        </w:rPr>
        <w:t>6.56</w:t>
      </w:r>
      <w:r w:rsidR="00A959E1" w:rsidRPr="00786EBD">
        <w:rPr>
          <w:rFonts w:cstheme="minorHAnsi"/>
        </w:rPr>
        <w:t xml:space="preserve">% $35,000 through $49,999; </w:t>
      </w:r>
      <w:r w:rsidRPr="00786EBD">
        <w:rPr>
          <w:rFonts w:cstheme="minorHAnsi"/>
        </w:rPr>
        <w:t>10.84</w:t>
      </w:r>
      <w:r w:rsidR="00A959E1" w:rsidRPr="00786EBD">
        <w:rPr>
          <w:rFonts w:cstheme="minorHAnsi"/>
        </w:rPr>
        <w:t>% $50,000 through $74,999; 1</w:t>
      </w:r>
      <w:r w:rsidRPr="00786EBD">
        <w:rPr>
          <w:rFonts w:cstheme="minorHAnsi"/>
        </w:rPr>
        <w:t>2.64</w:t>
      </w:r>
      <w:r w:rsidR="00A959E1" w:rsidRPr="00786EBD">
        <w:rPr>
          <w:rFonts w:cstheme="minorHAnsi"/>
        </w:rPr>
        <w:t xml:space="preserve">% $75,000 through $99,999; </w:t>
      </w:r>
      <w:r w:rsidRPr="00786EBD">
        <w:rPr>
          <w:rFonts w:cstheme="minorHAnsi"/>
        </w:rPr>
        <w:t>32.92</w:t>
      </w:r>
      <w:r w:rsidR="00A959E1" w:rsidRPr="00786EBD">
        <w:rPr>
          <w:rFonts w:cstheme="minorHAnsi"/>
        </w:rPr>
        <w:t>% $100,000 through $199,999; and 1</w:t>
      </w:r>
      <w:r w:rsidRPr="00786EBD">
        <w:rPr>
          <w:rFonts w:cstheme="minorHAnsi"/>
        </w:rPr>
        <w:t>6.03</w:t>
      </w:r>
      <w:r w:rsidR="00A959E1" w:rsidRPr="00786EBD">
        <w:rPr>
          <w:rFonts w:cstheme="minorHAnsi"/>
        </w:rPr>
        <w:t>% $200,000 and greater.</w:t>
      </w:r>
      <w:r w:rsidR="00786EBD" w:rsidRPr="00786EBD">
        <w:rPr>
          <w:rFonts w:cstheme="minorHAnsi"/>
        </w:rPr>
        <w:t xml:space="preserve"> </w:t>
      </w:r>
    </w:p>
    <w:p w14:paraId="2A9E2F06" w14:textId="20677B75" w:rsidR="00187F50" w:rsidRPr="00786EBD" w:rsidRDefault="00187F50" w:rsidP="00D713A1">
      <w:pPr>
        <w:spacing w:line="480" w:lineRule="auto"/>
        <w:rPr>
          <w:rFonts w:cstheme="minorHAnsi"/>
          <w:b/>
          <w:bCs/>
        </w:rPr>
      </w:pPr>
      <w:r w:rsidRPr="00786EBD">
        <w:rPr>
          <w:rFonts w:cstheme="minorHAnsi"/>
          <w:b/>
          <w:bCs/>
        </w:rPr>
        <w:t>Genetics</w:t>
      </w:r>
    </w:p>
    <w:p w14:paraId="0269F1EA" w14:textId="43FC27EB" w:rsidR="00187F50" w:rsidRPr="00786EBD" w:rsidRDefault="00187F50" w:rsidP="00FC78E1">
      <w:pPr>
        <w:spacing w:line="480" w:lineRule="auto"/>
        <w:ind w:firstLine="720"/>
        <w:rPr>
          <w:rFonts w:cstheme="minorHAnsi"/>
        </w:rPr>
      </w:pPr>
      <w:r w:rsidRPr="00786EBD">
        <w:rPr>
          <w:rFonts w:cstheme="minorHAnsi"/>
        </w:rPr>
        <w:lastRenderedPageBreak/>
        <w:t xml:space="preserve">Genetic material was collected primarily through saliva, though some participants provided blood samples. Genotyping was performed with Affymetrix Axiom Smokescreen Arrays and reads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786EBD">
        <w:rPr>
          <w:rFonts w:cstheme="minorHAnsi"/>
        </w:rPr>
        <w:fldChar w:fldCharType="begin"/>
      </w:r>
      <w:r w:rsidRPr="00786EBD">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786EBD">
        <w:rPr>
          <w:rFonts w:cstheme="minorHAnsi"/>
        </w:rPr>
        <w:fldChar w:fldCharType="separate"/>
      </w:r>
      <w:r w:rsidRPr="00786EBD">
        <w:rPr>
          <w:rFonts w:cstheme="minorHAnsi"/>
        </w:rPr>
        <w:t>(Fan et al., 2023)</w:t>
      </w:r>
      <w:r w:rsidRPr="00786EBD">
        <w:rPr>
          <w:rFonts w:cstheme="minorHAnsi"/>
        </w:rPr>
        <w:fldChar w:fldCharType="end"/>
      </w:r>
      <w:r w:rsidRPr="00786EBD">
        <w:rPr>
          <w:rFonts w:cstheme="minorHAnsi"/>
        </w:rPr>
        <w:t xml:space="preserve">. </w:t>
      </w:r>
    </w:p>
    <w:p w14:paraId="462994F3" w14:textId="0CABA066" w:rsidR="00D713A1" w:rsidRPr="00786EBD" w:rsidRDefault="00D713A1" w:rsidP="00D713A1">
      <w:pPr>
        <w:spacing w:line="480" w:lineRule="auto"/>
        <w:rPr>
          <w:rFonts w:cstheme="minorHAnsi"/>
          <w:b/>
          <w:bCs/>
        </w:rPr>
      </w:pPr>
      <w:r w:rsidRPr="00786EBD">
        <w:rPr>
          <w:rFonts w:cstheme="minorHAnsi"/>
          <w:b/>
          <w:bCs/>
        </w:rPr>
        <w:t>Measures</w:t>
      </w:r>
    </w:p>
    <w:p w14:paraId="79B22B5D" w14:textId="77777777" w:rsidR="00187F50" w:rsidRPr="00861D53" w:rsidRDefault="00D713A1" w:rsidP="00187F50">
      <w:pPr>
        <w:spacing w:line="480" w:lineRule="auto"/>
        <w:rPr>
          <w:rFonts w:cstheme="minorHAnsi"/>
          <w:b/>
          <w:bCs/>
          <w:i/>
          <w:iCs/>
        </w:rPr>
      </w:pPr>
      <w:r w:rsidRPr="00861D53">
        <w:rPr>
          <w:rFonts w:cstheme="minorHAnsi"/>
          <w:b/>
          <w:bCs/>
          <w:i/>
          <w:iCs/>
        </w:rPr>
        <w:t>Child Behavior Checklist (CBCL)</w:t>
      </w:r>
    </w:p>
    <w:p w14:paraId="330DF2F7" w14:textId="1D69250F" w:rsidR="0029514B" w:rsidRPr="00786EBD" w:rsidRDefault="00187F50" w:rsidP="00FC78E1">
      <w:pPr>
        <w:spacing w:line="480" w:lineRule="auto"/>
        <w:ind w:firstLine="720"/>
        <w:rPr>
          <w:rFonts w:cstheme="minorHAnsi"/>
        </w:rPr>
      </w:pPr>
      <w:r w:rsidRPr="00786EBD">
        <w:rPr>
          <w:rFonts w:cstheme="minorHAnsi"/>
        </w:rPr>
        <w:t xml:space="preserve">The CBCL is part of the Achenbach System of Empirically Based Assessment and measures emotional and behavioral problems in youth </w:t>
      </w:r>
      <w:r w:rsidRPr="00786EBD">
        <w:rPr>
          <w:rFonts w:cstheme="minorHAnsi"/>
        </w:rPr>
        <w:fldChar w:fldCharType="begin"/>
      </w:r>
      <w:r w:rsidRPr="00786EBD">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786EBD">
        <w:rPr>
          <w:rFonts w:cstheme="minorHAnsi"/>
        </w:rPr>
        <w:fldChar w:fldCharType="separate"/>
      </w:r>
      <w:r w:rsidRPr="00786EBD">
        <w:rPr>
          <w:rFonts w:cstheme="minorHAnsi"/>
        </w:rPr>
        <w:t>(T. M. Achenbach, 2009)</w:t>
      </w:r>
      <w:r w:rsidRPr="00786EBD">
        <w:rPr>
          <w:rFonts w:cstheme="minorHAnsi"/>
        </w:rPr>
        <w:fldChar w:fldCharType="end"/>
      </w:r>
      <w:r w:rsidRPr="00786EBD">
        <w:rPr>
          <w:rFonts w:cstheme="minorHAnsi"/>
        </w:rPr>
        <w:t xml:space="preserve">. Score on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786EBD">
        <w:rPr>
          <w:rFonts w:cstheme="minorHAnsi"/>
        </w:rPr>
        <w:fldChar w:fldCharType="begin"/>
      </w:r>
      <w:r w:rsidRPr="00786EBD">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786EBD">
        <w:rPr>
          <w:rFonts w:cstheme="minorHAnsi"/>
        </w:rPr>
        <w:fldChar w:fldCharType="separate"/>
      </w:r>
      <w:r w:rsidRPr="00786EBD">
        <w:rPr>
          <w:rFonts w:cstheme="minorHAnsi"/>
        </w:rPr>
        <w:t>(T. Achenbach, 2011)</w:t>
      </w:r>
      <w:r w:rsidRPr="00786EBD">
        <w:rPr>
          <w:rFonts w:cstheme="minorHAnsi"/>
        </w:rPr>
        <w:fldChar w:fldCharType="end"/>
      </w:r>
      <w:r w:rsidRPr="00786EBD">
        <w:rPr>
          <w:rFonts w:cstheme="minorHAnsi"/>
        </w:rPr>
        <w:t>. CBCL scores in the ABCD Study reflect caregiver assessments as it was not administered to youth.</w:t>
      </w:r>
    </w:p>
    <w:p w14:paraId="0CE7FF30" w14:textId="77777777" w:rsidR="00187F50" w:rsidRPr="00861D53" w:rsidRDefault="00187F50" w:rsidP="00187F50">
      <w:pPr>
        <w:spacing w:line="480" w:lineRule="auto"/>
        <w:rPr>
          <w:rFonts w:cstheme="minorHAnsi"/>
          <w:b/>
          <w:bCs/>
          <w:i/>
          <w:iCs/>
        </w:rPr>
      </w:pPr>
      <w:r w:rsidRPr="00861D53">
        <w:rPr>
          <w:rFonts w:cstheme="minorHAnsi"/>
          <w:b/>
          <w:bCs/>
          <w:i/>
          <w:iCs/>
        </w:rPr>
        <w:t>Kiddie Schedule for Affective Disorders and Schizophrenia Computerized Version for DSM-5 (KSADS-COMP)</w:t>
      </w:r>
    </w:p>
    <w:p w14:paraId="1498E5C4" w14:textId="42630896" w:rsidR="00187F50" w:rsidRPr="00786EBD" w:rsidRDefault="00187F50" w:rsidP="00FC78E1">
      <w:pPr>
        <w:spacing w:line="480" w:lineRule="auto"/>
        <w:ind w:firstLine="720"/>
        <w:rPr>
          <w:rFonts w:cstheme="minorHAnsi"/>
          <w:i/>
          <w:iCs/>
        </w:rPr>
      </w:pPr>
      <w:r w:rsidRPr="00786EBD">
        <w:rPr>
          <w:rFonts w:cstheme="minorHAnsi"/>
        </w:rPr>
        <w:t>The KSADS-COMP is a standardized interview with items based on DSM-5 criteria for psychiatric disorders such as including MDD, ADHD, PTSD</w:t>
      </w:r>
      <w:r w:rsidR="00B96523">
        <w:rPr>
          <w:rFonts w:cstheme="minorHAnsi"/>
        </w:rPr>
        <w:t>, and a variety of anxiety disorders</w:t>
      </w:r>
      <w:r w:rsidRPr="00786EBD">
        <w:rPr>
          <w:rFonts w:cstheme="minorHAnsi"/>
        </w:rPr>
        <w:t xml:space="preserve"> </w:t>
      </w:r>
      <w:r w:rsidRPr="00786EBD">
        <w:rPr>
          <w:rFonts w:cstheme="minorHAnsi"/>
        </w:rPr>
        <w:fldChar w:fldCharType="begin"/>
      </w:r>
      <w:r w:rsidRPr="00786EBD">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786EBD">
        <w:rPr>
          <w:rFonts w:cstheme="minorHAnsi"/>
        </w:rPr>
        <w:fldChar w:fldCharType="separate"/>
      </w:r>
      <w:r w:rsidRPr="00786EBD">
        <w:rPr>
          <w:rFonts w:cstheme="minorHAnsi"/>
        </w:rPr>
        <w:t>(Kobak et al., 2013)</w:t>
      </w:r>
      <w:r w:rsidRPr="00786EBD">
        <w:rPr>
          <w:rFonts w:cstheme="minorHAnsi"/>
        </w:rPr>
        <w:fldChar w:fldCharType="end"/>
      </w:r>
      <w:r w:rsidRPr="00786EBD">
        <w:rPr>
          <w:rFonts w:cstheme="minorHAnsi"/>
        </w:rPr>
        <w:t xml:space="preserve">. It has good internal reliability (Cronbach’s α = .91) and convergent validity with clinician-administered </w:t>
      </w:r>
      <w:r w:rsidRPr="00786EBD">
        <w:rPr>
          <w:rFonts w:cstheme="minorHAnsi"/>
        </w:rPr>
        <w:lastRenderedPageBreak/>
        <w:t xml:space="preserve">scales such as the CBCL </w:t>
      </w:r>
      <w:r w:rsidRPr="00786EBD">
        <w:rPr>
          <w:rFonts w:cstheme="minorHAnsi"/>
        </w:rPr>
        <w:fldChar w:fldCharType="begin"/>
      </w:r>
      <w:r w:rsidRPr="00786EBD">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786EBD">
        <w:rPr>
          <w:rFonts w:cstheme="minorHAnsi"/>
        </w:rPr>
        <w:fldChar w:fldCharType="separate"/>
      </w:r>
      <w:r w:rsidRPr="00786EBD">
        <w:rPr>
          <w:rFonts w:cstheme="minorHAnsi"/>
        </w:rPr>
        <w:t>(Townsend et al., 2020)</w:t>
      </w:r>
      <w:r w:rsidRPr="00786EBD">
        <w:rPr>
          <w:rFonts w:cstheme="minorHAnsi"/>
        </w:rPr>
        <w:fldChar w:fldCharType="end"/>
      </w:r>
      <w:r w:rsidRPr="00786EBD">
        <w:rPr>
          <w:rFonts w:cstheme="minorHAnsi"/>
        </w:rPr>
        <w:t xml:space="preserve">. The KSADS has adequate test-retest reliability (κ = .63 to 1.00) </w:t>
      </w:r>
      <w:r w:rsidRPr="00786EBD">
        <w:rPr>
          <w:rFonts w:cstheme="minorHAnsi"/>
        </w:rPr>
        <w:fldChar w:fldCharType="begin"/>
      </w:r>
      <w:r w:rsidRPr="00786EBD">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786EBD">
        <w:rPr>
          <w:rFonts w:cstheme="minorHAnsi"/>
        </w:rPr>
        <w:fldChar w:fldCharType="separate"/>
      </w:r>
      <w:r w:rsidRPr="00786EBD">
        <w:rPr>
          <w:rFonts w:cstheme="minorHAnsi"/>
        </w:rPr>
        <w:t>(Kaufman et al., 1997)</w:t>
      </w:r>
      <w:r w:rsidRPr="00786EBD">
        <w:rPr>
          <w:rFonts w:cstheme="minorHAnsi"/>
        </w:rPr>
        <w:fldChar w:fldCharType="end"/>
      </w:r>
      <w:r w:rsidRPr="00786EBD">
        <w:rPr>
          <w:rFonts w:cstheme="minorHAnsi"/>
        </w:rPr>
        <w:t>. The present study will consider both past and present diagnoses and will include information from both youth and caregiver reports when available. ADHD and PTSD items were not administered to youth.</w:t>
      </w:r>
    </w:p>
    <w:p w14:paraId="54FA55C8" w14:textId="77777777" w:rsidR="00786EBD" w:rsidRPr="00786EBD" w:rsidRDefault="00786EBD" w:rsidP="00786EBD">
      <w:pPr>
        <w:spacing w:line="480" w:lineRule="auto"/>
        <w:rPr>
          <w:rFonts w:cstheme="minorHAnsi"/>
          <w:b/>
          <w:bCs/>
        </w:rPr>
      </w:pPr>
      <w:r w:rsidRPr="00786EBD">
        <w:rPr>
          <w:rFonts w:cstheme="minorHAnsi"/>
          <w:b/>
          <w:bCs/>
        </w:rPr>
        <w:t>Ancestry</w:t>
      </w:r>
    </w:p>
    <w:p w14:paraId="22B9AFE7" w14:textId="3039F474" w:rsidR="00786EBD" w:rsidRPr="00786EBD" w:rsidRDefault="00786EBD" w:rsidP="00FC78E1">
      <w:pPr>
        <w:spacing w:line="480" w:lineRule="auto"/>
        <w:ind w:firstLine="720"/>
        <w:rPr>
          <w:rFonts w:cstheme="minorHAnsi"/>
          <w:b/>
          <w:bCs/>
        </w:rPr>
      </w:pPr>
      <w:r w:rsidRPr="00786EBD">
        <w:rPr>
          <w:rFonts w:cstheme="minorHAnsi"/>
        </w:rPr>
        <w:t xml:space="preserve">Principal component analysis was performed on unpruned ABCD data with the conservative Hardy-Weinberg flag using plink. Prior work identified the first eight principal components (PCs) as the optimal number to account for ancestry in this sample (J. Zhu and M. Hyat, personal communication, February 2024). Samples were separated into three ancestry groups (African, American admixed, and European) using a random forest model with a probability threshold of 0.7 (J. Zhu and M. Hyat, personal communication, February 2024). After applying this threshold, genetic data </w:t>
      </w:r>
      <w:r>
        <w:rPr>
          <w:rFonts w:cstheme="minorHAnsi"/>
        </w:rPr>
        <w:t>was</w:t>
      </w:r>
      <w:r w:rsidRPr="00786EBD">
        <w:rPr>
          <w:rFonts w:cstheme="minorHAnsi"/>
        </w:rPr>
        <w:t xml:space="preserve"> </w:t>
      </w:r>
      <w:r>
        <w:rPr>
          <w:rFonts w:cstheme="minorHAnsi"/>
        </w:rPr>
        <w:t xml:space="preserve">currently </w:t>
      </w:r>
      <w:r w:rsidRPr="00786EBD">
        <w:rPr>
          <w:rFonts w:cstheme="minorHAnsi"/>
        </w:rPr>
        <w:t xml:space="preserve">available for </w:t>
      </w:r>
      <w:r>
        <w:rPr>
          <w:rFonts w:cstheme="minorHAnsi"/>
        </w:rPr>
        <w:t xml:space="preserve">3307 participants </w:t>
      </w:r>
      <w:r w:rsidR="006016E1">
        <w:rPr>
          <w:rFonts w:cstheme="minorHAnsi"/>
        </w:rPr>
        <w:t xml:space="preserve">(2299 European ancestry, 517 African ancestry, 491 American admixed ancestry) </w:t>
      </w:r>
      <w:r>
        <w:rPr>
          <w:rFonts w:cstheme="minorHAnsi"/>
        </w:rPr>
        <w:t xml:space="preserve">in year four. </w:t>
      </w:r>
    </w:p>
    <w:p w14:paraId="7B0F0347" w14:textId="77777777" w:rsidR="00187F50" w:rsidRPr="00786EBD" w:rsidRDefault="00187F50" w:rsidP="00187F50">
      <w:pPr>
        <w:spacing w:line="480" w:lineRule="auto"/>
        <w:rPr>
          <w:rFonts w:cstheme="minorHAnsi"/>
          <w:b/>
          <w:bCs/>
        </w:rPr>
      </w:pPr>
      <w:r w:rsidRPr="00786EBD">
        <w:rPr>
          <w:rFonts w:cstheme="minorHAnsi"/>
          <w:b/>
          <w:bCs/>
        </w:rPr>
        <w:t>Genetic Relatedness</w:t>
      </w:r>
    </w:p>
    <w:p w14:paraId="36EE3660" w14:textId="39DCC655" w:rsidR="00187F50" w:rsidRPr="00786EBD" w:rsidRDefault="00187F50" w:rsidP="00FC78E1">
      <w:pPr>
        <w:spacing w:line="480" w:lineRule="auto"/>
        <w:ind w:firstLine="720"/>
        <w:rPr>
          <w:rFonts w:cstheme="minorHAnsi"/>
          <w:b/>
          <w:bCs/>
        </w:rPr>
      </w:pPr>
      <w:r w:rsidRPr="00786EBD">
        <w:rPr>
          <w:rFonts w:cstheme="minorHAnsi"/>
        </w:rPr>
        <w:t>To account for genetic relatedness between participants, genetic relatedness matri</w:t>
      </w:r>
      <w:r w:rsidR="00786EBD">
        <w:rPr>
          <w:rFonts w:cstheme="minorHAnsi"/>
        </w:rPr>
        <w:t>ces</w:t>
      </w:r>
      <w:r w:rsidRPr="00786EBD">
        <w:rPr>
          <w:rFonts w:cstheme="minorHAnsi"/>
        </w:rPr>
        <w:t xml:space="preserve"> w</w:t>
      </w:r>
      <w:r w:rsidR="00786EBD">
        <w:rPr>
          <w:rFonts w:cstheme="minorHAnsi"/>
        </w:rPr>
        <w:t>ere</w:t>
      </w:r>
      <w:r w:rsidRPr="00786EBD">
        <w:rPr>
          <w:rFonts w:cstheme="minorHAnsi"/>
        </w:rPr>
        <w:t xml:space="preserve"> calculated </w:t>
      </w:r>
      <w:r w:rsidR="00786EBD">
        <w:rPr>
          <w:rFonts w:cstheme="minorHAnsi"/>
        </w:rPr>
        <w:t xml:space="preserve">for each ancestry </w:t>
      </w:r>
      <w:r w:rsidRPr="00786EBD">
        <w:rPr>
          <w:rFonts w:cstheme="minorHAnsi"/>
        </w:rPr>
        <w:t xml:space="preserve">using plink </w:t>
      </w:r>
      <w:r w:rsidRPr="00786EBD">
        <w:rPr>
          <w:rFonts w:cstheme="minorHAnsi"/>
        </w:rPr>
        <w:fldChar w:fldCharType="begin"/>
      </w:r>
      <w:r w:rsidRPr="00786EBD">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786EBD">
        <w:rPr>
          <w:rFonts w:cstheme="minorHAnsi"/>
        </w:rPr>
        <w:fldChar w:fldCharType="separate"/>
      </w:r>
      <w:r w:rsidRPr="00786EBD">
        <w:rPr>
          <w:rFonts w:cstheme="minorHAnsi"/>
        </w:rPr>
        <w:t>(Purcell et al., 2007)</w:t>
      </w:r>
      <w:r w:rsidRPr="00786EBD">
        <w:rPr>
          <w:rFonts w:cstheme="minorHAnsi"/>
        </w:rPr>
        <w:fldChar w:fldCharType="end"/>
      </w:r>
      <w:r w:rsidRPr="00786EBD">
        <w:rPr>
          <w:rFonts w:cstheme="minorHAnsi"/>
        </w:rPr>
        <w:t xml:space="preserve"> based on unpruned ABCD data (J. Zhu and M. Hyat, personal communication, February 2024). </w:t>
      </w:r>
    </w:p>
    <w:p w14:paraId="164680DF" w14:textId="14330027" w:rsidR="0052769A" w:rsidRPr="004F1A6D" w:rsidRDefault="0052769A" w:rsidP="0052769A">
      <w:pPr>
        <w:spacing w:line="480" w:lineRule="auto"/>
        <w:rPr>
          <w:rFonts w:cstheme="minorHAnsi"/>
          <w:b/>
          <w:bCs/>
        </w:rPr>
      </w:pPr>
      <w:r w:rsidRPr="00786EBD">
        <w:rPr>
          <w:rFonts w:cstheme="minorHAnsi"/>
          <w:b/>
          <w:bCs/>
        </w:rPr>
        <w:t>Polygenic Risk Scores (PRS)</w:t>
      </w:r>
    </w:p>
    <w:p w14:paraId="6C11A0C8" w14:textId="203F94FD" w:rsidR="0080017A" w:rsidRDefault="00B80B08" w:rsidP="0080017A">
      <w:pPr>
        <w:spacing w:line="480" w:lineRule="auto"/>
        <w:ind w:firstLine="720"/>
        <w:rPr>
          <w:rFonts w:cstheme="minorHAnsi"/>
        </w:rPr>
      </w:pPr>
      <w:r w:rsidRPr="004F1A6D">
        <w:rPr>
          <w:rFonts w:cstheme="minorHAnsi"/>
        </w:rPr>
        <w:t xml:space="preserve">Stress-sensitivity </w:t>
      </w:r>
      <w:r w:rsidR="0080017A">
        <w:rPr>
          <w:rFonts w:cstheme="minorHAnsi"/>
        </w:rPr>
        <w:t xml:space="preserve">and MDD PRS used for the preliminary results included here </w:t>
      </w:r>
      <w:r w:rsidRPr="004F1A6D">
        <w:rPr>
          <w:rFonts w:cstheme="minorHAnsi"/>
        </w:rPr>
        <w:t>were generated</w:t>
      </w:r>
      <w:r w:rsidR="00187F50" w:rsidRPr="004F1A6D">
        <w:rPr>
          <w:rFonts w:cstheme="minorHAnsi"/>
        </w:rPr>
        <w:t xml:space="preserve"> with plink </w:t>
      </w:r>
      <w:r w:rsidR="00187F50" w:rsidRPr="004F1A6D">
        <w:rPr>
          <w:rFonts w:cstheme="minorHAnsi"/>
        </w:rPr>
        <w:fldChar w:fldCharType="begin"/>
      </w:r>
      <w:r w:rsidR="00187F50" w:rsidRPr="004F1A6D">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4F1A6D">
        <w:rPr>
          <w:rFonts w:cstheme="minorHAnsi"/>
        </w:rPr>
        <w:fldChar w:fldCharType="separate"/>
      </w:r>
      <w:r w:rsidR="00187F50" w:rsidRPr="004F1A6D">
        <w:rPr>
          <w:rFonts w:cstheme="minorHAnsi"/>
        </w:rPr>
        <w:t>(Purcell et al., 2007)</w:t>
      </w:r>
      <w:r w:rsidR="00187F50" w:rsidRPr="004F1A6D">
        <w:rPr>
          <w:rFonts w:cstheme="minorHAnsi"/>
        </w:rPr>
        <w:fldChar w:fldCharType="end"/>
      </w:r>
      <w:r w:rsidR="00187F50" w:rsidRPr="004F1A6D">
        <w:rPr>
          <w:rFonts w:cstheme="minorHAnsi"/>
        </w:rPr>
        <w:t xml:space="preserve"> based on summary statistics from Penner-Goeke et al. </w:t>
      </w:r>
      <w:r w:rsidR="00187F50" w:rsidRPr="004F1A6D">
        <w:rPr>
          <w:rFonts w:cstheme="minorHAnsi"/>
        </w:rPr>
        <w:fldChar w:fldCharType="begin"/>
      </w:r>
      <w:r w:rsidR="00187F50" w:rsidRPr="004F1A6D">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4F1A6D">
        <w:rPr>
          <w:rFonts w:cstheme="minorHAnsi"/>
        </w:rPr>
        <w:fldChar w:fldCharType="separate"/>
      </w:r>
      <w:r w:rsidR="00187F50" w:rsidRPr="004F1A6D">
        <w:rPr>
          <w:rFonts w:cstheme="minorHAnsi"/>
        </w:rPr>
        <w:t>(2023)</w:t>
      </w:r>
      <w:r w:rsidR="00187F50" w:rsidRPr="004F1A6D">
        <w:rPr>
          <w:rFonts w:cstheme="minorHAnsi"/>
        </w:rPr>
        <w:fldChar w:fldCharType="end"/>
      </w:r>
      <w:r w:rsidR="0080017A">
        <w:rPr>
          <w:rFonts w:cstheme="minorHAnsi"/>
        </w:rPr>
        <w:t xml:space="preserve"> or </w:t>
      </w:r>
      <w:r w:rsidR="0080017A" w:rsidRPr="004F1A6D">
        <w:rPr>
          <w:rFonts w:cstheme="minorHAnsi"/>
        </w:rPr>
        <w:t xml:space="preserve">Howard et al. </w:t>
      </w:r>
      <w:r w:rsidR="0080017A" w:rsidRPr="004F1A6D">
        <w:rPr>
          <w:rFonts w:cstheme="minorHAnsi"/>
        </w:rPr>
        <w:fldChar w:fldCharType="begin"/>
      </w:r>
      <w:r w:rsidR="0080017A" w:rsidRPr="004F1A6D">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0017A" w:rsidRPr="004F1A6D">
        <w:rPr>
          <w:rFonts w:cstheme="minorHAnsi"/>
        </w:rPr>
        <w:fldChar w:fldCharType="separate"/>
      </w:r>
      <w:r w:rsidR="0080017A" w:rsidRPr="004F1A6D">
        <w:rPr>
          <w:rFonts w:ascii="Calibri" w:hAnsi="Calibri" w:cs="Calibri"/>
        </w:rPr>
        <w:t>(2019)</w:t>
      </w:r>
      <w:r w:rsidR="0080017A" w:rsidRPr="004F1A6D">
        <w:rPr>
          <w:rFonts w:cstheme="minorHAnsi"/>
        </w:rPr>
        <w:fldChar w:fldCharType="end"/>
      </w:r>
      <w:r w:rsidR="0080017A">
        <w:rPr>
          <w:rFonts w:cstheme="minorHAnsi"/>
        </w:rPr>
        <w:t xml:space="preserve">, respectively. </w:t>
      </w:r>
      <w:r w:rsidR="00187F50" w:rsidRPr="004F1A6D">
        <w:rPr>
          <w:rFonts w:cstheme="minorHAnsi"/>
        </w:rPr>
        <w:t xml:space="preserve">Briefly, </w:t>
      </w:r>
      <w:r w:rsidR="0080017A">
        <w:rPr>
          <w:rFonts w:cstheme="minorHAnsi"/>
        </w:rPr>
        <w:t xml:space="preserve">for each PRS, </w:t>
      </w:r>
      <w:r w:rsidR="00187F50" w:rsidRPr="004F1A6D">
        <w:rPr>
          <w:rFonts w:cstheme="minorHAnsi"/>
        </w:rPr>
        <w:t>a data frame containing risk allele</w:t>
      </w:r>
      <w:r w:rsidR="0080017A">
        <w:rPr>
          <w:rFonts w:cstheme="minorHAnsi"/>
        </w:rPr>
        <w:t>s</w:t>
      </w:r>
      <w:r w:rsidR="00187F50" w:rsidRPr="004F1A6D">
        <w:rPr>
          <w:rFonts w:cstheme="minorHAnsi"/>
        </w:rPr>
        <w:t xml:space="preserve"> and </w:t>
      </w:r>
      <w:r w:rsidR="0080017A">
        <w:rPr>
          <w:rFonts w:cstheme="minorHAnsi"/>
        </w:rPr>
        <w:t xml:space="preserve">their associated </w:t>
      </w:r>
      <w:r w:rsidR="00187F50" w:rsidRPr="004F1A6D">
        <w:rPr>
          <w:rFonts w:cstheme="minorHAnsi"/>
        </w:rPr>
        <w:t>effect size</w:t>
      </w:r>
      <w:r w:rsidR="0080017A">
        <w:rPr>
          <w:rFonts w:cstheme="minorHAnsi"/>
        </w:rPr>
        <w:t>s</w:t>
      </w:r>
      <w:r w:rsidR="00187F50" w:rsidRPr="004F1A6D">
        <w:rPr>
          <w:rFonts w:cstheme="minorHAnsi"/>
        </w:rPr>
        <w:t xml:space="preserve"> for each SNP </w:t>
      </w:r>
      <w:r w:rsidRPr="004F1A6D">
        <w:rPr>
          <w:rFonts w:cstheme="minorHAnsi"/>
        </w:rPr>
        <w:t>was</w:t>
      </w:r>
      <w:r w:rsidR="00187F50" w:rsidRPr="004F1A6D">
        <w:rPr>
          <w:rFonts w:cstheme="minorHAnsi"/>
        </w:rPr>
        <w:t xml:space="preserve"> provided to plink, and plink then calculate</w:t>
      </w:r>
      <w:r w:rsidRPr="004F1A6D">
        <w:rPr>
          <w:rFonts w:cstheme="minorHAnsi"/>
        </w:rPr>
        <w:t>d</w:t>
      </w:r>
      <w:r w:rsidR="00187F50" w:rsidRPr="004F1A6D">
        <w:rPr>
          <w:rFonts w:cstheme="minorHAnsi"/>
        </w:rPr>
        <w:t xml:space="preserve"> the sum of the risk alleles for </w:t>
      </w:r>
      <w:r w:rsidR="00187F50" w:rsidRPr="004F1A6D">
        <w:rPr>
          <w:rFonts w:cstheme="minorHAnsi"/>
        </w:rPr>
        <w:lastRenderedPageBreak/>
        <w:t>each participant weighted by effect size.</w:t>
      </w:r>
      <w:r w:rsidR="0080017A">
        <w:rPr>
          <w:rFonts w:cstheme="minorHAnsi"/>
        </w:rPr>
        <w:t xml:space="preserve"> Summary statistics used to generate stress-sensitivity PRS were </w:t>
      </w:r>
      <w:r w:rsidR="0080017A">
        <w:rPr>
          <w:rFonts w:cstheme="minorHAnsi"/>
        </w:rPr>
        <w:t>experimentally derived from a sample of European men</w:t>
      </w:r>
      <w:r w:rsidR="0080017A">
        <w:rPr>
          <w:rFonts w:cstheme="minorHAnsi"/>
        </w:rPr>
        <w:t>. However, for MDD</w:t>
      </w:r>
      <w:r w:rsidRPr="004F1A6D">
        <w:rPr>
          <w:rFonts w:cstheme="minorHAnsi"/>
        </w:rPr>
        <w:t xml:space="preserve">, summary statistics were acquired from a meta-analysis of multiple genome-wide association studies (GWAS) from Howard et al. </w:t>
      </w:r>
      <w:r w:rsidRPr="004F1A6D">
        <w:rPr>
          <w:rFonts w:cstheme="minorHAnsi"/>
        </w:rPr>
        <w:fldChar w:fldCharType="begin"/>
      </w:r>
      <w:r w:rsidR="00E544B9">
        <w:rPr>
          <w:rFonts w:cstheme="minorHAnsi"/>
        </w:rPr>
        <w:instrText xml:space="preserve"> ADDIN ZOTERO_ITEM CSL_CITATION {"citationID":"9xj4RPri","properties":{"formattedCitation":"(2019)","plainCitation":"(2019)","noteIndex":0},"citationItems":[{"id":4989,"uris":["http://zotero.org/users/local/dCnfRmag/items/LII9MB76"],"itemData":{"id":4989,"type":"article-journal","container-title":"Nature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Pr="004F1A6D">
        <w:rPr>
          <w:rFonts w:cstheme="minorHAnsi"/>
        </w:rPr>
        <w:fldChar w:fldCharType="separate"/>
      </w:r>
      <w:r w:rsidRPr="004F1A6D">
        <w:rPr>
          <w:rFonts w:ascii="Calibri" w:hAnsi="Calibri" w:cs="Calibri"/>
        </w:rPr>
        <w:t>(2019)</w:t>
      </w:r>
      <w:r w:rsidRPr="004F1A6D">
        <w:rPr>
          <w:rFonts w:cstheme="minorHAnsi"/>
        </w:rPr>
        <w:fldChar w:fldCharType="end"/>
      </w:r>
      <w:r w:rsidRPr="004F1A6D">
        <w:rPr>
          <w:rFonts w:cstheme="minorHAnsi"/>
        </w:rPr>
        <w:t xml:space="preserve">. </w:t>
      </w:r>
    </w:p>
    <w:p w14:paraId="5A0700F4" w14:textId="4F07E90D" w:rsidR="0052769A" w:rsidRDefault="0080017A" w:rsidP="0080017A">
      <w:pPr>
        <w:spacing w:line="480" w:lineRule="auto"/>
        <w:ind w:firstLine="720"/>
        <w:rPr>
          <w:rFonts w:cstheme="minorHAnsi"/>
        </w:rPr>
      </w:pPr>
      <w:r>
        <w:rPr>
          <w:rFonts w:cstheme="minorHAnsi"/>
        </w:rPr>
        <w:t>To better account for ancestry-related effects, final results will use a more sophisticated method to generate PRS</w:t>
      </w:r>
      <w:r>
        <w:rPr>
          <w:rFonts w:cstheme="minorHAnsi"/>
        </w:rPr>
        <w:t xml:space="preserve"> </w:t>
      </w:r>
      <w:r w:rsidRPr="00E544B9">
        <w:rPr>
          <w:rFonts w:cstheme="minorHAnsi"/>
        </w:rPr>
        <w:t xml:space="preserve">such as PRS-Csx </w:t>
      </w:r>
      <w:r w:rsidR="00E544B9" w:rsidRPr="00E544B9">
        <w:rPr>
          <w:rFonts w:cstheme="minorHAnsi"/>
        </w:rPr>
        <w:fldChar w:fldCharType="begin"/>
      </w:r>
      <w:r w:rsidR="00E544B9" w:rsidRPr="00E544B9">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E544B9" w:rsidRPr="00E544B9">
        <w:rPr>
          <w:rFonts w:cstheme="minorHAnsi"/>
        </w:rPr>
        <w:fldChar w:fldCharType="separate"/>
      </w:r>
      <w:r w:rsidR="00E544B9" w:rsidRPr="00E544B9">
        <w:rPr>
          <w:rFonts w:ascii="Calibri" w:hAnsi="Calibri" w:cs="Calibri"/>
        </w:rPr>
        <w:t>(Ruan et al., 2022)</w:t>
      </w:r>
      <w:r w:rsidR="00E544B9" w:rsidRPr="00E544B9">
        <w:rPr>
          <w:rFonts w:cstheme="minorHAnsi"/>
        </w:rPr>
        <w:fldChar w:fldCharType="end"/>
      </w:r>
      <w:r w:rsidRPr="00E544B9">
        <w:rPr>
          <w:rFonts w:cstheme="minorHAnsi"/>
        </w:rPr>
        <w:t xml:space="preserve">, BridgePRS </w:t>
      </w:r>
      <w:r w:rsidR="00E544B9" w:rsidRPr="00E544B9">
        <w:rPr>
          <w:rFonts w:cstheme="minorHAnsi"/>
        </w:rPr>
        <w:fldChar w:fldCharType="begin"/>
      </w:r>
      <w:r w:rsidR="00E544B9" w:rsidRPr="00E544B9">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E544B9" w:rsidRPr="00E544B9">
        <w:rPr>
          <w:rFonts w:cstheme="minorHAnsi"/>
        </w:rPr>
        <w:fldChar w:fldCharType="separate"/>
      </w:r>
      <w:r w:rsidR="00E544B9" w:rsidRPr="00E544B9">
        <w:rPr>
          <w:rFonts w:ascii="Calibri" w:hAnsi="Calibri" w:cs="Calibri"/>
        </w:rPr>
        <w:t>(Hoggart et al., 2024)</w:t>
      </w:r>
      <w:r w:rsidR="00E544B9" w:rsidRPr="00E544B9">
        <w:rPr>
          <w:rFonts w:cstheme="minorHAnsi"/>
        </w:rPr>
        <w:fldChar w:fldCharType="end"/>
      </w:r>
      <w:r w:rsidRPr="00E544B9">
        <w:rPr>
          <w:rFonts w:cstheme="minorHAnsi"/>
        </w:rPr>
        <w:t xml:space="preserve">, or </w:t>
      </w:r>
      <w:r w:rsidR="002B0179">
        <w:rPr>
          <w:rFonts w:cstheme="minorHAnsi"/>
        </w:rPr>
        <w:t>SBayesRC</w:t>
      </w:r>
      <w:r w:rsidR="006F20EB">
        <w:rPr>
          <w:rFonts w:cstheme="minorHAnsi"/>
        </w:rPr>
        <w:t xml:space="preserve"> </w:t>
      </w:r>
      <w:r w:rsidR="006F20EB" w:rsidRPr="006F20EB">
        <w:rPr>
          <w:rFonts w:cstheme="minorHAnsi"/>
        </w:rPr>
        <w:fldChar w:fldCharType="begin"/>
      </w:r>
      <w:r w:rsidR="006F20EB" w:rsidRPr="006F20E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6F20EB" w:rsidRPr="006F20EB">
        <w:rPr>
          <w:rFonts w:ascii="Cambria Math" w:hAnsi="Cambria Math" w:cs="Cambria Math"/>
        </w:rPr>
        <w:instrText>∼</w:instrText>
      </w:r>
      <w:r w:rsidR="006F20EB" w:rsidRPr="006F20E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6F20EB" w:rsidRPr="006F20EB">
        <w:rPr>
          <w:rFonts w:cstheme="minorHAnsi"/>
        </w:rPr>
        <w:fldChar w:fldCharType="separate"/>
      </w:r>
      <w:r w:rsidR="006F20EB" w:rsidRPr="006F20EB">
        <w:rPr>
          <w:rFonts w:ascii="Calibri" w:hAnsi="Calibri" w:cs="Calibri"/>
        </w:rPr>
        <w:t>(Zheng et al., 2024)</w:t>
      </w:r>
      <w:r w:rsidR="006F20EB" w:rsidRPr="006F20EB">
        <w:rPr>
          <w:rFonts w:cstheme="minorHAnsi"/>
        </w:rPr>
        <w:fldChar w:fldCharType="end"/>
      </w:r>
      <w:r w:rsidR="006F20EB" w:rsidRPr="006F20EB">
        <w:rPr>
          <w:rFonts w:cstheme="minorHAnsi"/>
        </w:rPr>
        <w:t>.</w:t>
      </w:r>
      <w:r>
        <w:rPr>
          <w:rFonts w:cstheme="minorHAnsi"/>
        </w:rPr>
        <w:t xml:space="preserve"> In addition to stress-sensitivity and MDD PRS, full results will include PRS for </w:t>
      </w:r>
      <w:r w:rsidR="00B80B08" w:rsidRPr="004F1A6D">
        <w:rPr>
          <w:rFonts w:cstheme="minorHAnsi"/>
        </w:rPr>
        <w:t>ADHD, PTSD</w:t>
      </w:r>
      <w:r w:rsidR="004F1A6D" w:rsidRPr="004F1A6D">
        <w:rPr>
          <w:rFonts w:cstheme="minorHAnsi"/>
        </w:rPr>
        <w:t xml:space="preserve">, </w:t>
      </w:r>
      <w:r w:rsidR="00B80B08" w:rsidRPr="004F1A6D">
        <w:rPr>
          <w:rFonts w:cstheme="minorHAnsi"/>
        </w:rPr>
        <w:t xml:space="preserve">and anxiety </w:t>
      </w:r>
      <w:r w:rsidR="004F1A6D" w:rsidRPr="004F1A6D">
        <w:rPr>
          <w:rFonts w:cstheme="minorHAnsi"/>
        </w:rPr>
        <w:t xml:space="preserve">disorders will be calculated based on summary statistics from </w:t>
      </w:r>
      <w:r w:rsidR="004F1A6D" w:rsidRPr="004F1A6D">
        <w:rPr>
          <w:rFonts w:ascii="Calibri" w:hAnsi="Calibri" w:cs="Calibri"/>
          <w:szCs w:val="24"/>
        </w:rPr>
        <w:t>ADHD Working Group of the Psychiatric Genomics Consortium (PGC)</w:t>
      </w:r>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(2019)</w:t>
      </w:r>
      <w:r w:rsidR="004F1A6D" w:rsidRPr="004F1A6D">
        <w:rPr>
          <w:rFonts w:cstheme="minorHAnsi"/>
        </w:rPr>
        <w:fldChar w:fldCharType="end"/>
      </w:r>
      <w:r w:rsidR="004F1A6D" w:rsidRPr="004F1A6D">
        <w:rPr>
          <w:rFonts w:cstheme="minorHAnsi"/>
        </w:rPr>
        <w:t xml:space="preserve">, Nievergelt et al. </w:t>
      </w:r>
      <w:r w:rsidR="004F1A6D" w:rsidRPr="004F1A6D">
        <w:rPr>
          <w:rFonts w:cstheme="minorHAnsi"/>
        </w:rPr>
        <w:fldChar w:fldCharType="begin"/>
      </w:r>
      <w:r w:rsidR="004F1A6D" w:rsidRPr="004F1A6D">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(2024)</w:t>
      </w:r>
      <w:r w:rsidR="004F1A6D" w:rsidRPr="004F1A6D">
        <w:rPr>
          <w:rFonts w:cstheme="minorHAnsi"/>
        </w:rPr>
        <w:fldChar w:fldCharType="end"/>
      </w:r>
      <w:r w:rsidR="004F1A6D" w:rsidRPr="004F1A6D">
        <w:rPr>
          <w:rFonts w:cstheme="minorHAnsi"/>
        </w:rPr>
        <w:t xml:space="preserve">, and Otowa et al. </w:t>
      </w:r>
      <w:r w:rsidR="004F1A6D" w:rsidRPr="004F1A6D">
        <w:rPr>
          <w:rFonts w:cstheme="minorHAnsi"/>
        </w:rPr>
        <w:fldChar w:fldCharType="begin"/>
      </w:r>
      <w:r w:rsidR="004F1A6D" w:rsidRPr="004F1A6D">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(2016)</w:t>
      </w:r>
      <w:r w:rsidR="004F1A6D" w:rsidRPr="004F1A6D">
        <w:rPr>
          <w:rFonts w:cstheme="minorHAnsi"/>
        </w:rPr>
        <w:fldChar w:fldCharType="end"/>
      </w:r>
      <w:r w:rsidR="004F1A6D" w:rsidRPr="004F1A6D">
        <w:rPr>
          <w:rFonts w:cstheme="minorHAnsi"/>
        </w:rPr>
        <w:t xml:space="preserve"> respectively.</w:t>
      </w:r>
      <w:r>
        <w:rPr>
          <w:rFonts w:cstheme="minorHAnsi"/>
        </w:rPr>
        <w:t xml:space="preserve"> </w:t>
      </w:r>
    </w:p>
    <w:p w14:paraId="1E1A211B" w14:textId="62DC7E56" w:rsidR="00450D91" w:rsidRPr="00786EBD" w:rsidRDefault="00F46DE1" w:rsidP="000109F1">
      <w:pPr>
        <w:spacing w:line="480" w:lineRule="auto"/>
        <w:rPr>
          <w:rFonts w:cstheme="minorHAnsi"/>
          <w:b/>
          <w:bCs/>
        </w:rPr>
      </w:pPr>
      <w:r w:rsidRPr="00786EBD">
        <w:rPr>
          <w:rFonts w:cstheme="minorHAnsi"/>
          <w:b/>
          <w:bCs/>
        </w:rPr>
        <w:t>Analysis</w:t>
      </w:r>
    </w:p>
    <w:p w14:paraId="3FE7845B" w14:textId="090C5179" w:rsidR="00187F50" w:rsidRPr="0080017A" w:rsidRDefault="00965348" w:rsidP="0080017A">
      <w:pPr>
        <w:spacing w:line="480" w:lineRule="auto"/>
        <w:ind w:firstLine="720"/>
        <w:rPr>
          <w:rFonts w:cstheme="minorHAnsi"/>
          <w:b/>
          <w:bCs/>
        </w:rPr>
      </w:pPr>
      <w:r w:rsidRPr="0080017A">
        <w:rPr>
          <w:rFonts w:cstheme="minorHAnsi"/>
        </w:rPr>
        <w:t xml:space="preserve">Using the </w:t>
      </w:r>
      <w:r w:rsidRPr="0080017A">
        <w:rPr>
          <w:rFonts w:cstheme="minorHAnsi"/>
          <w:i/>
          <w:iCs/>
        </w:rPr>
        <w:t>R</w:t>
      </w:r>
      <w:r w:rsidRPr="0080017A">
        <w:rPr>
          <w:rFonts w:cstheme="minorHAnsi"/>
        </w:rPr>
        <w:t xml:space="preserve"> package GENESIS </w:t>
      </w:r>
      <w:r w:rsidRPr="0080017A">
        <w:rPr>
          <w:rFonts w:cstheme="minorHAnsi"/>
        </w:rPr>
        <w:fldChar w:fldCharType="begin"/>
      </w:r>
      <w:r w:rsidRPr="0080017A">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80017A">
        <w:rPr>
          <w:rFonts w:cstheme="minorHAnsi"/>
        </w:rPr>
        <w:fldChar w:fldCharType="separate"/>
      </w:r>
      <w:r w:rsidRPr="0080017A">
        <w:rPr>
          <w:rFonts w:cstheme="minorHAnsi"/>
        </w:rPr>
        <w:t>(Gogarten et al., 2019)</w:t>
      </w:r>
      <w:r w:rsidRPr="0080017A">
        <w:rPr>
          <w:rFonts w:cstheme="minorHAnsi"/>
        </w:rPr>
        <w:fldChar w:fldCharType="end"/>
      </w:r>
      <w:r w:rsidRPr="0080017A">
        <w:rPr>
          <w:rFonts w:cstheme="minorHAnsi"/>
        </w:rPr>
        <w:t>, l</w:t>
      </w:r>
      <w:r w:rsidR="00187F50" w:rsidRPr="0080017A">
        <w:rPr>
          <w:rFonts w:cstheme="minorHAnsi"/>
        </w:rPr>
        <w:t>inear regression will be performed</w:t>
      </w:r>
      <w:r w:rsidRPr="0080017A">
        <w:rPr>
          <w:rFonts w:cstheme="minorHAnsi"/>
        </w:rPr>
        <w:t xml:space="preserve"> with scores from</w:t>
      </w:r>
      <w:r w:rsidR="00187F50" w:rsidRPr="0080017A">
        <w:rPr>
          <w:rFonts w:cstheme="minorHAnsi"/>
        </w:rPr>
        <w:t xml:space="preserve"> </w:t>
      </w:r>
      <w:r w:rsidRPr="0080017A">
        <w:rPr>
          <w:rFonts w:cstheme="minorHAnsi"/>
        </w:rPr>
        <w:t>each of the eight subscales, externalizing, internalizing, and total problems on the CBCL as outcomes. Logistic regression will also be performed with lifetime diagnosis of MDD, ADHD, PTSD, and any anxiety disorder other than specific phobia as outcomes. Study site and genetic relatedness (quantified with GRMs) will be random effects. Subject sex, age, and the first eight ancestry PCs will be fixed effect covariates</w:t>
      </w:r>
      <w:r w:rsidR="0058309C">
        <w:rPr>
          <w:rFonts w:cstheme="minorHAnsi"/>
        </w:rPr>
        <w:t xml:space="preserve">. </w:t>
      </w:r>
      <w:r w:rsidR="00E544B9">
        <w:rPr>
          <w:rFonts w:cstheme="minorHAnsi"/>
        </w:rPr>
        <w:t>Analysis code will be available in a Github repository.</w:t>
      </w:r>
    </w:p>
    <w:p w14:paraId="18406222" w14:textId="45500303" w:rsidR="00BE606A" w:rsidRPr="00786EBD" w:rsidRDefault="00BE606A" w:rsidP="00BE606A">
      <w:pPr>
        <w:spacing w:line="480" w:lineRule="auto"/>
        <w:jc w:val="center"/>
        <w:rPr>
          <w:rFonts w:cstheme="minorHAnsi"/>
          <w:b/>
          <w:bCs/>
        </w:rPr>
      </w:pPr>
      <w:r w:rsidRPr="00786EBD">
        <w:rPr>
          <w:rFonts w:cstheme="minorHAnsi"/>
          <w:b/>
          <w:bCs/>
        </w:rPr>
        <w:t>Preliminary Results</w:t>
      </w:r>
    </w:p>
    <w:p w14:paraId="6D2A4532" w14:textId="574B337D" w:rsidR="00746058" w:rsidRDefault="00746058" w:rsidP="00746058">
      <w:pPr>
        <w:spacing w:line="480" w:lineRule="auto"/>
        <w:rPr>
          <w:rFonts w:cstheme="minorHAnsi"/>
          <w:b/>
          <w:bCs/>
        </w:rPr>
      </w:pPr>
      <w:r>
        <w:rPr>
          <w:rFonts w:cstheme="minorHAnsi"/>
          <w:b/>
          <w:bCs/>
        </w:rPr>
        <w:t>Stress-sensitivity PRS</w:t>
      </w:r>
    </w:p>
    <w:p w14:paraId="7B031966" w14:textId="272958E4" w:rsidR="001E5897" w:rsidRDefault="001E5897" w:rsidP="00746058">
      <w:pPr>
        <w:spacing w:line="480" w:lineRule="auto"/>
        <w:rPr>
          <w:rFonts w:cstheme="minorHAnsi"/>
          <w:b/>
          <w:bCs/>
        </w:rPr>
      </w:pPr>
      <w:r>
        <w:rPr>
          <w:rFonts w:cstheme="minorHAnsi"/>
          <w:b/>
          <w:bCs/>
          <w:i/>
          <w:iCs/>
        </w:rPr>
        <w:t>Psychopathology-related Symptoms and Behavior</w:t>
      </w:r>
    </w:p>
    <w:p w14:paraId="7B9DB95C" w14:textId="2DDD3228" w:rsidR="003A1D4C" w:rsidRDefault="002B0179" w:rsidP="00472168">
      <w:pPr>
        <w:spacing w:line="480" w:lineRule="auto"/>
        <w:rPr>
          <w:rFonts w:cstheme="minorHAnsi"/>
        </w:rPr>
      </w:pPr>
      <w:r>
        <w:rPr>
          <w:rFonts w:cstheme="minorHAnsi"/>
        </w:rPr>
        <w:tab/>
      </w:r>
      <w:r w:rsidR="00366755">
        <w:rPr>
          <w:rFonts w:cstheme="minorHAnsi"/>
        </w:rPr>
        <w:t>For individuals of European ancestry, s</w:t>
      </w:r>
      <w:r w:rsidR="00E47F96">
        <w:rPr>
          <w:rFonts w:cstheme="minorHAnsi"/>
        </w:rPr>
        <w:t>tress-sensitivity PRS was nominally significantly associated with s</w:t>
      </w:r>
      <w:r w:rsidR="0058309C">
        <w:rPr>
          <w:rFonts w:cstheme="minorHAnsi"/>
        </w:rPr>
        <w:t>omatic</w:t>
      </w:r>
      <w:r>
        <w:rPr>
          <w:rFonts w:cstheme="minorHAnsi"/>
        </w:rPr>
        <w:t>-related sympt</w:t>
      </w:r>
      <w:r w:rsidR="0058309C">
        <w:rPr>
          <w:rFonts w:cstheme="minorHAnsi"/>
        </w:rPr>
        <w:t xml:space="preserve">oms </w:t>
      </w:r>
      <w:r w:rsidR="00E47F96">
        <w:rPr>
          <w:rFonts w:cstheme="minorHAnsi"/>
        </w:rPr>
        <w:t xml:space="preserve">on the CBCL somatic subscale (uncorrected p-value = 0.022, </w:t>
      </w:r>
      <w:r w:rsidR="00E47F96">
        <w:rPr>
          <w:rFonts w:cstheme="minorHAnsi"/>
        </w:rPr>
        <w:lastRenderedPageBreak/>
        <w:t xml:space="preserve">FDR corrected p-value = 0.92), with an increase of </w:t>
      </w:r>
      <w:r w:rsidR="0058309C">
        <w:rPr>
          <w:rFonts w:cstheme="minorHAnsi"/>
        </w:rPr>
        <w:t xml:space="preserve">0.281 points for each </w:t>
      </w:r>
      <w:r w:rsidR="0058309C">
        <w:rPr>
          <w:rFonts w:cstheme="minorHAnsi"/>
        </w:rPr>
        <w:t>standard deviation increase in stress-sensitivity PRS</w:t>
      </w:r>
      <w:r w:rsidR="00E47F96">
        <w:rPr>
          <w:rFonts w:cstheme="minorHAnsi"/>
        </w:rPr>
        <w:t xml:space="preserve">. </w:t>
      </w:r>
      <w:r w:rsidR="00EA2C98">
        <w:rPr>
          <w:rFonts w:cstheme="minorHAnsi"/>
        </w:rPr>
        <w:t xml:space="preserve">Neither any other CBCL subscales nor total problems were significantly or nominally associated with stress-sensitivity PRS. </w:t>
      </w:r>
      <w:r w:rsidR="003A1D4C">
        <w:rPr>
          <w:rFonts w:cstheme="minorHAnsi"/>
        </w:rPr>
        <w:t>Compared to average, girls’ scores were 1.00 point higher on the internalizing (FDR corrected p-value = 0.000045), 0.49 points higher on the anxious-depressed (FDR corrected p-value = 0.00055), and 0.40 points higher on the somatic (FDR corrected p-value</w:t>
      </w:r>
      <w:r w:rsidR="00690717">
        <w:rPr>
          <w:rFonts w:cstheme="minorHAnsi"/>
        </w:rPr>
        <w:t xml:space="preserve"> = 0.0037) </w:t>
      </w:r>
      <w:r w:rsidR="003A1D4C">
        <w:rPr>
          <w:rFonts w:cstheme="minorHAnsi"/>
        </w:rPr>
        <w:t>subscales</w:t>
      </w:r>
      <w:r w:rsidR="00690717">
        <w:rPr>
          <w:rFonts w:cstheme="minorHAnsi"/>
        </w:rPr>
        <w:t xml:space="preserve"> and scores 0.26 points lower on the aggression subscale (FDR corrected p-value = 0.010).</w:t>
      </w:r>
      <w:r w:rsidR="00E9082A">
        <w:rPr>
          <w:rFonts w:cstheme="minorHAnsi"/>
        </w:rPr>
        <w:t xml:space="preserve"> </w:t>
      </w:r>
    </w:p>
    <w:p w14:paraId="19D9EA19" w14:textId="296ABDF3" w:rsidR="00447145" w:rsidRDefault="00447145" w:rsidP="00472168">
      <w:pPr>
        <w:spacing w:line="480" w:lineRule="auto"/>
        <w:rPr>
          <w:rFonts w:cstheme="minorHAnsi"/>
        </w:rPr>
      </w:pPr>
      <w:r>
        <w:rPr>
          <w:rFonts w:cstheme="minorHAnsi"/>
        </w:rPr>
        <w:tab/>
        <w:t>For subjects of African ancestry, CBCL scores did not significantly differ based on stress-sensitivity PRS, sex, or age.</w:t>
      </w:r>
    </w:p>
    <w:p w14:paraId="1CE0D246" w14:textId="6882CCA2" w:rsidR="0035708F" w:rsidRDefault="009B19B0" w:rsidP="0035708F">
      <w:pPr>
        <w:spacing w:line="480" w:lineRule="auto"/>
        <w:rPr>
          <w:rFonts w:cstheme="minorHAnsi"/>
        </w:rPr>
      </w:pPr>
      <w:r>
        <w:rPr>
          <w:rFonts w:cstheme="minorHAnsi"/>
        </w:rPr>
        <w:tab/>
        <w:t xml:space="preserve">Finally, for individuals of American admixed ancestry, </w:t>
      </w:r>
      <w:r w:rsidR="001C5188">
        <w:rPr>
          <w:rFonts w:cstheme="minorHAnsi"/>
        </w:rPr>
        <w:t>stress-sensitivity PRS was nominally associated with changes in withdrawn-depressed and total problem CBCL scores with a a one standard deviation increase in stress-sensitivity PRS linked to a decrease of 0.67 points on the withdrawn-depressed subscale (uncorrected p-value = 0.026, FDR corrected p-value = 0.20) and a decrease of 1.31 points on total problems (uncorrected p-value = 0.023, FDR corrected p-value = 0.20). Stress-sensitivity PRS</w:t>
      </w:r>
      <w:r w:rsidR="0035708F">
        <w:rPr>
          <w:rFonts w:cstheme="minorHAnsi"/>
        </w:rPr>
        <w:t xml:space="preserve"> did not significantly affect any other CBCL scores. Sex nominally significantly affected some CBCL scores. Compared to average, girls’ internalizing, anxious-depressed, and somatic scores were 1.12 points (uncorrected p-value = 0.024, FDR corrected p-value = 0.091), 0.54 points</w:t>
      </w:r>
      <w:r w:rsidR="0035708F">
        <w:rPr>
          <w:rFonts w:cstheme="minorHAnsi"/>
        </w:rPr>
        <w:t xml:space="preserve"> (uncorrected p-value = </w:t>
      </w:r>
      <w:r w:rsidR="0035708F">
        <w:rPr>
          <w:rFonts w:cstheme="minorHAnsi"/>
        </w:rPr>
        <w:t>0.032</w:t>
      </w:r>
      <w:r w:rsidR="0035708F">
        <w:rPr>
          <w:rFonts w:cstheme="minorHAnsi"/>
        </w:rPr>
        <w:t xml:space="preserve">, FDR corrected p-value = </w:t>
      </w:r>
      <w:r w:rsidR="0035708F">
        <w:rPr>
          <w:rFonts w:cstheme="minorHAnsi"/>
        </w:rPr>
        <w:t>0.095</w:t>
      </w:r>
      <w:r w:rsidR="0035708F">
        <w:rPr>
          <w:rFonts w:cstheme="minorHAnsi"/>
        </w:rPr>
        <w:t>)</w:t>
      </w:r>
      <w:r w:rsidR="0035708F">
        <w:rPr>
          <w:rFonts w:cstheme="minorHAnsi"/>
        </w:rPr>
        <w:t>, and 0.63 points</w:t>
      </w:r>
      <w:r w:rsidR="0035708F">
        <w:rPr>
          <w:rFonts w:cstheme="minorHAnsi"/>
        </w:rPr>
        <w:t xml:space="preserve"> (uncorrected p-value = </w:t>
      </w:r>
      <w:r w:rsidR="0035708F">
        <w:rPr>
          <w:rFonts w:cstheme="minorHAnsi"/>
        </w:rPr>
        <w:t>0.018</w:t>
      </w:r>
      <w:r w:rsidR="0035708F">
        <w:rPr>
          <w:rFonts w:cstheme="minorHAnsi"/>
        </w:rPr>
        <w:t xml:space="preserve">, FDR corrected p-value = </w:t>
      </w:r>
      <w:r w:rsidR="0035708F">
        <w:rPr>
          <w:rFonts w:cstheme="minorHAnsi"/>
        </w:rPr>
        <w:t>0.091</w:t>
      </w:r>
      <w:r w:rsidR="0035708F">
        <w:rPr>
          <w:rFonts w:cstheme="minorHAnsi"/>
        </w:rPr>
        <w:t>)</w:t>
      </w:r>
      <w:r w:rsidR="0035708F">
        <w:rPr>
          <w:rFonts w:cstheme="minorHAnsi"/>
        </w:rPr>
        <w:t xml:space="preserve"> higher, respectively. </w:t>
      </w:r>
    </w:p>
    <w:p w14:paraId="7F05D429" w14:textId="15B35C18" w:rsidR="009B19B0" w:rsidRDefault="0035708F" w:rsidP="00472168">
      <w:pPr>
        <w:spacing w:line="480" w:lineRule="auto"/>
        <w:rPr>
          <w:rFonts w:cstheme="minorHAnsi"/>
        </w:rPr>
      </w:pPr>
      <w:r>
        <w:rPr>
          <w:rFonts w:cstheme="minorHAnsi"/>
        </w:rPr>
        <w:t>Age was not significantly related to any CBCL scores.</w:t>
      </w:r>
    </w:p>
    <w:p w14:paraId="110C43C4" w14:textId="3BD4FD2B" w:rsidR="00366755" w:rsidRPr="002B0179" w:rsidRDefault="00366755" w:rsidP="00472168">
      <w:pPr>
        <w:spacing w:line="480" w:lineRule="auto"/>
        <w:rPr>
          <w:rFonts w:cstheme="minorHAnsi"/>
        </w:rPr>
      </w:pPr>
      <w:r>
        <w:rPr>
          <w:rFonts w:cstheme="minorHAnsi"/>
        </w:rPr>
        <w:tab/>
      </w:r>
    </w:p>
    <w:p w14:paraId="1E432493" w14:textId="313C0BB3" w:rsidR="001E5897" w:rsidRDefault="001E5897" w:rsidP="00746058">
      <w:pPr>
        <w:spacing w:line="480" w:lineRule="auto"/>
        <w:rPr>
          <w:rFonts w:cstheme="minorHAnsi"/>
          <w:b/>
          <w:bCs/>
          <w:i/>
          <w:iCs/>
        </w:rPr>
      </w:pPr>
      <w:r>
        <w:rPr>
          <w:rFonts w:cstheme="minorHAnsi"/>
          <w:b/>
          <w:bCs/>
          <w:i/>
          <w:iCs/>
        </w:rPr>
        <w:t>Lifetime Psychiatric Diagnoses</w:t>
      </w:r>
    </w:p>
    <w:p w14:paraId="67999BC1" w14:textId="1B514086" w:rsidR="00471E6F" w:rsidRDefault="00366755" w:rsidP="00471E6F">
      <w:pPr>
        <w:spacing w:line="480" w:lineRule="auto"/>
        <w:ind w:firstLine="720"/>
        <w:rPr>
          <w:rFonts w:cstheme="minorHAnsi"/>
        </w:rPr>
      </w:pPr>
      <w:r>
        <w:rPr>
          <w:rFonts w:cstheme="minorHAnsi"/>
        </w:rPr>
        <w:lastRenderedPageBreak/>
        <w:t xml:space="preserve">For individuals of European ancestry, compared to average, girls had </w:t>
      </w:r>
      <w:r w:rsidR="00471E6F">
        <w:rPr>
          <w:rFonts w:cstheme="minorHAnsi"/>
        </w:rPr>
        <w:t>an increase of 1.48 in odds of receiving a lifetime diagnosis of any anxiety disorder other than panic disorder (FDR corrected p-value = 0.00000000016), an increase of 1.63 in odds of receiving a lifetime MDD diagnosis (FDR corrected p-value = 0.00000000016, and a decrease of 0.72 in odds of receiving a lifetime ADHD diagnosis (FDR corrected p-value = 0.0089) compared to average. Sex did not significantly affect any other CBCL subscale scores and did not significant influence odds of receiving a lifetime PTSD diagnosis. There were no significant relationships between age and any CBCL score or diagnosis.</w:t>
      </w:r>
    </w:p>
    <w:p w14:paraId="47FEDECB" w14:textId="70B21FFC" w:rsidR="00366755" w:rsidRDefault="00366755" w:rsidP="00471E6F">
      <w:pPr>
        <w:spacing w:line="480" w:lineRule="auto"/>
        <w:ind w:firstLine="720"/>
        <w:rPr>
          <w:rFonts w:cstheme="minorHAnsi"/>
        </w:rPr>
      </w:pPr>
      <w:r>
        <w:rPr>
          <w:rFonts w:cstheme="minorHAnsi"/>
        </w:rPr>
        <w:t xml:space="preserve">For subjects of African ancestry, </w:t>
      </w:r>
      <w:r w:rsidR="00242659">
        <w:rPr>
          <w:rFonts w:cstheme="minorHAnsi"/>
        </w:rPr>
        <w:t>stress-sensitivity PRS, sex, and age were not significantly associated with likelihood of receiving a lifetime anxiety, ADHD, MDD, or PTSD diagnosis, with the exception that g</w:t>
      </w:r>
      <w:r>
        <w:rPr>
          <w:rFonts w:cstheme="minorHAnsi"/>
        </w:rPr>
        <w:t xml:space="preserve">irls </w:t>
      </w:r>
      <w:r>
        <w:rPr>
          <w:rFonts w:cstheme="minorHAnsi"/>
        </w:rPr>
        <w:t xml:space="preserve">had a nominally significant (uncorrected p-value = 0.025, FDR corrected p-value = </w:t>
      </w:r>
      <w:r w:rsidR="00242659">
        <w:rPr>
          <w:rFonts w:cstheme="minorHAnsi"/>
        </w:rPr>
        <w:t xml:space="preserve">0.38) </w:t>
      </w:r>
      <w:r>
        <w:rPr>
          <w:rFonts w:cstheme="minorHAnsi"/>
        </w:rPr>
        <w:t xml:space="preserve">increase of </w:t>
      </w:r>
      <w:r w:rsidR="00242659">
        <w:rPr>
          <w:rFonts w:cstheme="minorHAnsi"/>
        </w:rPr>
        <w:t>1.44</w:t>
      </w:r>
      <w:r>
        <w:rPr>
          <w:rFonts w:cstheme="minorHAnsi"/>
        </w:rPr>
        <w:t xml:space="preserve"> in odds of receiving </w:t>
      </w:r>
      <w:r>
        <w:rPr>
          <w:rFonts w:cstheme="minorHAnsi"/>
        </w:rPr>
        <w:t>a lifetime MDD diagnosis compared to average</w:t>
      </w:r>
      <w:r w:rsidR="00242659">
        <w:rPr>
          <w:rFonts w:cstheme="minorHAnsi"/>
        </w:rPr>
        <w:t xml:space="preserve">. </w:t>
      </w:r>
    </w:p>
    <w:p w14:paraId="7C82034D" w14:textId="5796F600" w:rsidR="00AD4572" w:rsidRPr="001E5897" w:rsidRDefault="005F65D2" w:rsidP="00471E6F">
      <w:pPr>
        <w:spacing w:line="480" w:lineRule="auto"/>
        <w:ind w:firstLine="720"/>
        <w:rPr>
          <w:rFonts w:cstheme="minorHAnsi"/>
          <w:b/>
          <w:bCs/>
          <w:i/>
          <w:iCs/>
        </w:rPr>
      </w:pPr>
      <w:r>
        <w:rPr>
          <w:rFonts w:cstheme="minorHAnsi"/>
        </w:rPr>
        <w:t>Finally, for subjects of American admixed ancestry, s</w:t>
      </w:r>
      <w:r w:rsidR="00AD4572">
        <w:rPr>
          <w:rFonts w:cstheme="minorHAnsi"/>
        </w:rPr>
        <w:t>ex</w:t>
      </w:r>
      <w:r>
        <w:rPr>
          <w:rFonts w:cstheme="minorHAnsi"/>
        </w:rPr>
        <w:t xml:space="preserve"> and age</w:t>
      </w:r>
      <w:r w:rsidR="00AD4572">
        <w:rPr>
          <w:rFonts w:cstheme="minorHAnsi"/>
        </w:rPr>
        <w:t xml:space="preserve">, but not stress-sensitivity, affected the likelihood of receiving a lifetime diagnosis of ADHD, anxiety, and MDD. For girls, odds of receiving a diagnosis of anxiety or MDD were 1.66 points (FDR corrected p-value = 0.011) or 1.75 points (FDR corrected p-value = 0.011) higher on average, respectively. Odds of receiving a lifetime diagnosis of ADHD were also </w:t>
      </w:r>
      <w:r w:rsidR="00EB2C6E">
        <w:rPr>
          <w:rFonts w:cstheme="minorHAnsi"/>
        </w:rPr>
        <w:t>0.44</w:t>
      </w:r>
      <w:r w:rsidR="00AD4572">
        <w:rPr>
          <w:rFonts w:cstheme="minorHAnsi"/>
        </w:rPr>
        <w:t xml:space="preserve"> points lower on average for girls, but this difference did not survive FDR correction (uncorrected p-value = </w:t>
      </w:r>
      <w:r w:rsidR="00EB2C6E">
        <w:rPr>
          <w:rFonts w:cstheme="minorHAnsi"/>
        </w:rPr>
        <w:t>0.046).</w:t>
      </w:r>
      <w:r w:rsidR="0051764F">
        <w:rPr>
          <w:rFonts w:cstheme="minorHAnsi"/>
        </w:rPr>
        <w:t xml:space="preserve"> Sex did not significantly affect likelihood of receiving a lifetime PTSD diagnosis.</w:t>
      </w:r>
      <w:r>
        <w:rPr>
          <w:rFonts w:cstheme="minorHAnsi"/>
        </w:rPr>
        <w:t xml:space="preserve"> A one standard deviation increase in age was nominally associated (uncorrected p-value = 0.0063, FDR corrected p-value = 0.094) with an increase of 2.69 points in odds of receiving a lifetime MDD diagnosis.</w:t>
      </w:r>
      <w:r w:rsidR="000823BD">
        <w:rPr>
          <w:rFonts w:cstheme="minorHAnsi"/>
        </w:rPr>
        <w:t xml:space="preserve"> Age did not affect likelihood of receiving a lifetime diagnosis of anxiety, MDD, or PTSD.</w:t>
      </w:r>
    </w:p>
    <w:p w14:paraId="7032B359" w14:textId="4D7D4B1F" w:rsidR="00746058" w:rsidRDefault="00746058" w:rsidP="00746058">
      <w:pPr>
        <w:spacing w:line="480" w:lineRule="auto"/>
        <w:rPr>
          <w:rFonts w:cstheme="minorHAnsi"/>
          <w:b/>
          <w:bCs/>
        </w:rPr>
      </w:pPr>
      <w:r>
        <w:rPr>
          <w:rFonts w:cstheme="minorHAnsi"/>
          <w:b/>
          <w:bCs/>
        </w:rPr>
        <w:t>MDD PRS</w:t>
      </w:r>
    </w:p>
    <w:p w14:paraId="545B5042" w14:textId="77777777" w:rsidR="008C40F7" w:rsidRDefault="008C40F7" w:rsidP="008C40F7">
      <w:pPr>
        <w:spacing w:line="480" w:lineRule="auto"/>
        <w:rPr>
          <w:rFonts w:cstheme="minorHAnsi"/>
          <w:b/>
          <w:bCs/>
          <w:i/>
          <w:iCs/>
        </w:rPr>
      </w:pPr>
      <w:r>
        <w:rPr>
          <w:rFonts w:cstheme="minorHAnsi"/>
          <w:b/>
          <w:bCs/>
          <w:i/>
          <w:iCs/>
        </w:rPr>
        <w:t>Psychopathology-related Symptoms and Behavior</w:t>
      </w:r>
    </w:p>
    <w:p w14:paraId="3285A985" w14:textId="06FE6AF7" w:rsidR="00450D91" w:rsidRPr="00247CD3" w:rsidRDefault="008C40F7" w:rsidP="000109F1">
      <w:pPr>
        <w:spacing w:line="480" w:lineRule="auto"/>
        <w:rPr>
          <w:rFonts w:cstheme="minorHAnsi"/>
          <w:b/>
          <w:bCs/>
        </w:rPr>
      </w:pPr>
      <w:r>
        <w:rPr>
          <w:rFonts w:cstheme="minorHAnsi"/>
          <w:b/>
          <w:bCs/>
          <w:i/>
          <w:iCs/>
        </w:rPr>
        <w:t>Lifetime Psychiatric Diagnoses</w:t>
      </w:r>
    </w:p>
    <w:p w14:paraId="21A466AA" w14:textId="5B275070" w:rsidR="00BE606A" w:rsidRPr="00786EBD" w:rsidRDefault="00BE606A" w:rsidP="00BE606A">
      <w:pPr>
        <w:spacing w:line="480" w:lineRule="auto"/>
        <w:jc w:val="center"/>
        <w:rPr>
          <w:rFonts w:cstheme="minorHAnsi"/>
          <w:b/>
          <w:bCs/>
        </w:rPr>
      </w:pPr>
      <w:r w:rsidRPr="00786EBD">
        <w:rPr>
          <w:rFonts w:cstheme="minorHAnsi"/>
          <w:b/>
          <w:bCs/>
        </w:rPr>
        <w:lastRenderedPageBreak/>
        <w:t>Discussion</w:t>
      </w:r>
    </w:p>
    <w:p w14:paraId="7970975E" w14:textId="2BCA4D74" w:rsidR="00450D91" w:rsidRPr="00786EBD" w:rsidRDefault="00450D91" w:rsidP="000109F1">
      <w:pPr>
        <w:spacing w:line="480" w:lineRule="auto"/>
        <w:rPr>
          <w:rFonts w:cstheme="minorHAnsi"/>
        </w:rPr>
      </w:pPr>
      <w:r w:rsidRPr="00786EBD">
        <w:rPr>
          <w:rFonts w:cstheme="minorHAnsi"/>
        </w:rPr>
        <w:t>Discussion of anticipated findings</w:t>
      </w:r>
    </w:p>
    <w:p w14:paraId="0B0A2E04" w14:textId="32BC22C6" w:rsidR="00450D91" w:rsidRPr="00786EBD" w:rsidRDefault="00450D91" w:rsidP="000109F1">
      <w:pPr>
        <w:spacing w:line="480" w:lineRule="auto"/>
        <w:rPr>
          <w:rFonts w:cstheme="minorHAnsi"/>
        </w:rPr>
      </w:pPr>
      <w:r w:rsidRPr="00786EBD">
        <w:rPr>
          <w:rFonts w:cstheme="minorHAnsi"/>
        </w:rPr>
        <w:t>Limitations</w:t>
      </w:r>
    </w:p>
    <w:p w14:paraId="768EC89D" w14:textId="65740DBB" w:rsidR="00450D91" w:rsidRDefault="00450D91" w:rsidP="000109F1">
      <w:pPr>
        <w:spacing w:line="480" w:lineRule="auto"/>
        <w:rPr>
          <w:rFonts w:cstheme="minorHAnsi"/>
        </w:rPr>
      </w:pPr>
      <w:r w:rsidRPr="00786EBD">
        <w:rPr>
          <w:rFonts w:cstheme="minorHAnsi"/>
        </w:rPr>
        <w:t>Potential implications</w:t>
      </w:r>
    </w:p>
    <w:p w14:paraId="303FA849" w14:textId="0285D7BC" w:rsidR="004F1A6D" w:rsidRDefault="004F1A6D" w:rsidP="000109F1">
      <w:pPr>
        <w:spacing w:line="480" w:lineRule="auto"/>
        <w:rPr>
          <w:rFonts w:cstheme="minorHAnsi"/>
        </w:rPr>
      </w:pPr>
    </w:p>
    <w:p w14:paraId="3ACF338F" w14:textId="2D712A06" w:rsidR="004F1A6D" w:rsidRPr="00786EBD" w:rsidRDefault="004F1A6D" w:rsidP="004F1A6D">
      <w:pPr>
        <w:spacing w:line="480" w:lineRule="auto"/>
        <w:jc w:val="center"/>
        <w:rPr>
          <w:rFonts w:cstheme="minorHAnsi"/>
          <w:b/>
          <w:bCs/>
        </w:rPr>
      </w:pPr>
      <w:r>
        <w:rPr>
          <w:rFonts w:cstheme="minorHAnsi"/>
          <w:b/>
          <w:bCs/>
        </w:rPr>
        <w:t>References</w:t>
      </w:r>
    </w:p>
    <w:p w14:paraId="347C491F" w14:textId="77777777" w:rsidR="006F20EB" w:rsidRPr="006F20EB" w:rsidRDefault="004F1A6D" w:rsidP="006F20EB">
      <w:pPr>
        <w:pStyle w:val="Bibliography"/>
        <w:rPr>
          <w:rFonts w:ascii="Calibri" w:hAnsi="Calibri" w:cs="Calibri"/>
          <w:szCs w:val="24"/>
        </w:rPr>
      </w:pPr>
      <w:r>
        <w:fldChar w:fldCharType="begin"/>
      </w:r>
      <w:r w:rsidR="00746058">
        <w:instrText xml:space="preserve"> ADDIN ZOTERO_BIBL {"uncited":[],"omitted":[],"custom":[]} CSL_BIBLIOGRAPHY </w:instrText>
      </w:r>
      <w:r>
        <w:fldChar w:fldCharType="separate"/>
      </w:r>
      <w:r w:rsidR="006F20EB" w:rsidRPr="006F20EB">
        <w:rPr>
          <w:rFonts w:ascii="Calibri" w:hAnsi="Calibri" w:cs="Calibri"/>
          <w:szCs w:val="24"/>
        </w:rPr>
        <w:t xml:space="preserve">Achenbach, T. (2011). </w:t>
      </w:r>
      <w:r w:rsidR="006F20EB" w:rsidRPr="006F20EB">
        <w:rPr>
          <w:rFonts w:ascii="Calibri" w:hAnsi="Calibri" w:cs="Calibri"/>
          <w:i/>
          <w:iCs/>
          <w:szCs w:val="24"/>
        </w:rPr>
        <w:t>Encyclopedia of Clinical Neuropsychology</w:t>
      </w:r>
      <w:r w:rsidR="006F20EB" w:rsidRPr="006F20EB">
        <w:rPr>
          <w:rFonts w:ascii="Calibri" w:hAnsi="Calibri" w:cs="Calibri"/>
          <w:szCs w:val="24"/>
        </w:rPr>
        <w:t>.</w:t>
      </w:r>
    </w:p>
    <w:p w14:paraId="1F0DFC29"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Achenbach, T. M. (2009). </w:t>
      </w:r>
      <w:r w:rsidRPr="006F20EB">
        <w:rPr>
          <w:rFonts w:ascii="Calibri" w:hAnsi="Calibri" w:cs="Calibri"/>
          <w:i/>
          <w:iCs/>
          <w:szCs w:val="24"/>
        </w:rPr>
        <w:t>The Achenbach system of empirically based assessment (ASEBA): Development, findings, theory, and applications</w:t>
      </w:r>
      <w:r w:rsidRPr="006F20EB">
        <w:rPr>
          <w:rFonts w:ascii="Calibri" w:hAnsi="Calibri" w:cs="Calibri"/>
          <w:szCs w:val="24"/>
        </w:rPr>
        <w:t>. University of Vermont, Research Center for Children, Youth, &amp; Families.</w:t>
      </w:r>
    </w:p>
    <w:p w14:paraId="768F78D3"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ADHD Working Group of the Psychiatric Genomics Consortium (PGC), Early Lifecourse &amp; Genetic Epidemiology (EAGLE) Consortium, 23andMe Research Team, Demontis, D., Walters, R. K., Martin, J., Mattheisen, M., Als, T. D., Agerbo, E., Baldursson, G., Belliveau, R., Bybjerg-Grauholm, J., Bækvad-Hansen, M., Cerrato, F., Chambert, K., Churchhouse, C., Dumont, A., Eriksson, N., Gandal, M., … Neale, B. M. (2019). Discovery of the first genome-wide significant risk loci for attention deficit/hyperactivity disorder.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51</w:t>
      </w:r>
      <w:r w:rsidRPr="006F20EB">
        <w:rPr>
          <w:rFonts w:ascii="Calibri" w:hAnsi="Calibri" w:cs="Calibri"/>
          <w:szCs w:val="24"/>
        </w:rPr>
        <w:t>(1), 63–75. https://doi.org/10.1038/s41588-018-0269-7</w:t>
      </w:r>
    </w:p>
    <w:p w14:paraId="791B1EE0"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Borchers, L. R., Yuan, J. P., Leong, J. K., Jo, B., Chahal, R., Ryu, J., Nam, A., Coury, S. M., &amp; Gotlib, I. H. (2024). Sex-Specific Vulnerability to Externalizing Problems: Sensitivity to Early Stress and Nucleus Accumbens Activation Over Adolescence. </w:t>
      </w:r>
      <w:r w:rsidRPr="006F20EB">
        <w:rPr>
          <w:rFonts w:ascii="Calibri" w:hAnsi="Calibri" w:cs="Calibri"/>
          <w:i/>
          <w:iCs/>
          <w:szCs w:val="24"/>
        </w:rPr>
        <w:t>Biological Psychiatry</w:t>
      </w:r>
      <w:r w:rsidRPr="006F20EB">
        <w:rPr>
          <w:rFonts w:ascii="Calibri" w:hAnsi="Calibri" w:cs="Calibri"/>
          <w:szCs w:val="24"/>
        </w:rPr>
        <w:t>. https://doi.org/10.1016/j.biopsych.2024.01.011</w:t>
      </w:r>
    </w:p>
    <w:p w14:paraId="207C6AB1"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lastRenderedPageBreak/>
        <w:t xml:space="preserve">Compton, W. M., Dowling, G. J., &amp; Garavan, H. (2019). Ensuring the Best Use of Data: The Adolescent Brain Cognitive Development Study. </w:t>
      </w:r>
      <w:r w:rsidRPr="006F20EB">
        <w:rPr>
          <w:rFonts w:ascii="Calibri" w:hAnsi="Calibri" w:cs="Calibri"/>
          <w:i/>
          <w:iCs/>
          <w:szCs w:val="24"/>
        </w:rPr>
        <w:t>JAMA Pediatrics</w:t>
      </w:r>
      <w:r w:rsidRPr="006F20EB">
        <w:rPr>
          <w:rFonts w:ascii="Calibri" w:hAnsi="Calibri" w:cs="Calibri"/>
          <w:szCs w:val="24"/>
        </w:rPr>
        <w:t xml:space="preserve">, </w:t>
      </w:r>
      <w:r w:rsidRPr="006F20EB">
        <w:rPr>
          <w:rFonts w:ascii="Calibri" w:hAnsi="Calibri" w:cs="Calibri"/>
          <w:i/>
          <w:iCs/>
          <w:szCs w:val="24"/>
        </w:rPr>
        <w:t>173</w:t>
      </w:r>
      <w:r w:rsidRPr="006F20EB">
        <w:rPr>
          <w:rFonts w:ascii="Calibri" w:hAnsi="Calibri" w:cs="Calibri"/>
          <w:szCs w:val="24"/>
        </w:rPr>
        <w:t>(9), 809. https://doi.org/10.1001/jamapediatrics.2019.2081</w:t>
      </w:r>
    </w:p>
    <w:p w14:paraId="6015D0C1"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Fan, C. C., Loughnan, R., Wilson, S., Hewitt, J. K., ABCD Genetic Working Group, Agrawal, A., Dowling, G., Garavan, H., LeBlanc, K., Neale, M., Friedman, N., Madden, P., Little, R., Brown, S. A., Jernigan, T., &amp; Thompson, W. K. (2023). Genotype Data and Derived Genetic Instruments of Adolescent Brain Cognitive Development Study® for Better Understanding of Human Brain Development. </w:t>
      </w:r>
      <w:r w:rsidRPr="006F20EB">
        <w:rPr>
          <w:rFonts w:ascii="Calibri" w:hAnsi="Calibri" w:cs="Calibri"/>
          <w:i/>
          <w:iCs/>
          <w:szCs w:val="24"/>
        </w:rPr>
        <w:t>Behavior Genetics</w:t>
      </w:r>
      <w:r w:rsidRPr="006F20EB">
        <w:rPr>
          <w:rFonts w:ascii="Calibri" w:hAnsi="Calibri" w:cs="Calibri"/>
          <w:szCs w:val="24"/>
        </w:rPr>
        <w:t xml:space="preserve">, </w:t>
      </w:r>
      <w:r w:rsidRPr="006F20EB">
        <w:rPr>
          <w:rFonts w:ascii="Calibri" w:hAnsi="Calibri" w:cs="Calibri"/>
          <w:i/>
          <w:iCs/>
          <w:szCs w:val="24"/>
        </w:rPr>
        <w:t>53</w:t>
      </w:r>
      <w:r w:rsidRPr="006F20EB">
        <w:rPr>
          <w:rFonts w:ascii="Calibri" w:hAnsi="Calibri" w:cs="Calibri"/>
          <w:szCs w:val="24"/>
        </w:rPr>
        <w:t>(3), 159–168. https://doi.org/10.1007/s10519-023-10143-0</w:t>
      </w:r>
    </w:p>
    <w:p w14:paraId="3FF66EC1"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Farmer, A. S., &amp; Kashdan, T. B. (2015). Stress Sensitivity and Stress Generation in Social Anxiety Disorder: A Temporal Process Approach. </w:t>
      </w:r>
      <w:r w:rsidRPr="006F20EB">
        <w:rPr>
          <w:rFonts w:ascii="Calibri" w:hAnsi="Calibri" w:cs="Calibri"/>
          <w:i/>
          <w:iCs/>
          <w:szCs w:val="24"/>
        </w:rPr>
        <w:t>Journal of Abnormal Psychology</w:t>
      </w:r>
      <w:r w:rsidRPr="006F20EB">
        <w:rPr>
          <w:rFonts w:ascii="Calibri" w:hAnsi="Calibri" w:cs="Calibri"/>
          <w:szCs w:val="24"/>
        </w:rPr>
        <w:t xml:space="preserve">, </w:t>
      </w:r>
      <w:r w:rsidRPr="006F20EB">
        <w:rPr>
          <w:rFonts w:ascii="Calibri" w:hAnsi="Calibri" w:cs="Calibri"/>
          <w:i/>
          <w:iCs/>
          <w:szCs w:val="24"/>
        </w:rPr>
        <w:t>124</w:t>
      </w:r>
      <w:r w:rsidRPr="006F20EB">
        <w:rPr>
          <w:rFonts w:ascii="Calibri" w:hAnsi="Calibri" w:cs="Calibri"/>
          <w:szCs w:val="24"/>
        </w:rPr>
        <w:t>(1), 102–114. https://doi.org/10.1037/abn0000036</w:t>
      </w:r>
    </w:p>
    <w:p w14:paraId="6C03B881"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Gogarten, S. M., Sofer, T., Chen, H., Yu, C., Brody, J. A., Thornton, T. A., Rice, K. M., &amp; Conomos, M. P. (2019). Genetic association testing using the GENESIS R/Bioconductor package. </w:t>
      </w:r>
      <w:r w:rsidRPr="006F20EB">
        <w:rPr>
          <w:rFonts w:ascii="Calibri" w:hAnsi="Calibri" w:cs="Calibri"/>
          <w:i/>
          <w:iCs/>
          <w:szCs w:val="24"/>
        </w:rPr>
        <w:t>Bioinformatics</w:t>
      </w:r>
      <w:r w:rsidRPr="006F20EB">
        <w:rPr>
          <w:rFonts w:ascii="Calibri" w:hAnsi="Calibri" w:cs="Calibri"/>
          <w:szCs w:val="24"/>
        </w:rPr>
        <w:t xml:space="preserve">, </w:t>
      </w:r>
      <w:r w:rsidRPr="006F20EB">
        <w:rPr>
          <w:rFonts w:ascii="Calibri" w:hAnsi="Calibri" w:cs="Calibri"/>
          <w:i/>
          <w:iCs/>
          <w:szCs w:val="24"/>
        </w:rPr>
        <w:t>35</w:t>
      </w:r>
      <w:r w:rsidRPr="006F20EB">
        <w:rPr>
          <w:rFonts w:ascii="Calibri" w:hAnsi="Calibri" w:cs="Calibri"/>
          <w:szCs w:val="24"/>
        </w:rPr>
        <w:t>(24), 5346–5348. https://doi.org/10.1093/bioinformatics/btz567</w:t>
      </w:r>
    </w:p>
    <w:p w14:paraId="65CA1742"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Hasler, G., Drevets, W. C., Manji, H. K., &amp; Charney, D. S. (2004). Discovering Endophenotypes for Major Depression. </w:t>
      </w:r>
      <w:r w:rsidRPr="006F20EB">
        <w:rPr>
          <w:rFonts w:ascii="Calibri" w:hAnsi="Calibri" w:cs="Calibri"/>
          <w:i/>
          <w:iCs/>
          <w:szCs w:val="24"/>
        </w:rPr>
        <w:t>Neuropsychopharmacology</w:t>
      </w:r>
      <w:r w:rsidRPr="006F20EB">
        <w:rPr>
          <w:rFonts w:ascii="Calibri" w:hAnsi="Calibri" w:cs="Calibri"/>
          <w:szCs w:val="24"/>
        </w:rPr>
        <w:t xml:space="preserve">, </w:t>
      </w:r>
      <w:r w:rsidRPr="006F20EB">
        <w:rPr>
          <w:rFonts w:ascii="Calibri" w:hAnsi="Calibri" w:cs="Calibri"/>
          <w:i/>
          <w:iCs/>
          <w:szCs w:val="24"/>
        </w:rPr>
        <w:t>29</w:t>
      </w:r>
      <w:r w:rsidRPr="006F20EB">
        <w:rPr>
          <w:rFonts w:ascii="Calibri" w:hAnsi="Calibri" w:cs="Calibri"/>
          <w:szCs w:val="24"/>
        </w:rPr>
        <w:t>(10), 1765–1781. https://doi.org/10.1038/sj.npp.1300506</w:t>
      </w:r>
    </w:p>
    <w:p w14:paraId="14EB3C7C"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Hoggart, C. J., Choi, S. W., García-González, J., Souaiaia, T., Preuss, M., &amp; O’Reilly, P. F. (2024). BridgePRS leverages shared genetic effects across ancestries to increase polygenic risk score portability.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56</w:t>
      </w:r>
      <w:r w:rsidRPr="006F20EB">
        <w:rPr>
          <w:rFonts w:ascii="Calibri" w:hAnsi="Calibri" w:cs="Calibri"/>
          <w:szCs w:val="24"/>
        </w:rPr>
        <w:t>(1), 180–186. https://doi.org/10.1038/s41588-023-01583-9</w:t>
      </w:r>
    </w:p>
    <w:p w14:paraId="1F7C1E0A"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Howard, D. M., Adams, M. J., Clarke, T.-K., Hafferty, J. D., Gibson, J., Shirali, M., Coleman, J. R. I., Hagenaars, S. P., Ward, J., Wigmore, E. M., Alloza, C., Shen, X., Barbu, M. C., Xu, E. Y., Whalley, H. C., Marioni, R. E., Porteous, D. J., Davies, G., Deary, I. J., … McIntosh, A. M. (2019). Genome-wide meta-analysis of depression identifies 102 independent variants and highlights the importance </w:t>
      </w:r>
      <w:r w:rsidRPr="006F20EB">
        <w:rPr>
          <w:rFonts w:ascii="Calibri" w:hAnsi="Calibri" w:cs="Calibri"/>
          <w:szCs w:val="24"/>
        </w:rPr>
        <w:lastRenderedPageBreak/>
        <w:t xml:space="preserve">of the prefrontal brain regions. </w:t>
      </w:r>
      <w:r w:rsidRPr="006F20EB">
        <w:rPr>
          <w:rFonts w:ascii="Calibri" w:hAnsi="Calibri" w:cs="Calibri"/>
          <w:i/>
          <w:iCs/>
          <w:szCs w:val="24"/>
        </w:rPr>
        <w:t>Nature Neuroscience</w:t>
      </w:r>
      <w:r w:rsidRPr="006F20EB">
        <w:rPr>
          <w:rFonts w:ascii="Calibri" w:hAnsi="Calibri" w:cs="Calibri"/>
          <w:szCs w:val="24"/>
        </w:rPr>
        <w:t xml:space="preserve">, </w:t>
      </w:r>
      <w:r w:rsidRPr="006F20EB">
        <w:rPr>
          <w:rFonts w:ascii="Calibri" w:hAnsi="Calibri" w:cs="Calibri"/>
          <w:i/>
          <w:iCs/>
          <w:szCs w:val="24"/>
        </w:rPr>
        <w:t>22</w:t>
      </w:r>
      <w:r w:rsidRPr="006F20EB">
        <w:rPr>
          <w:rFonts w:ascii="Calibri" w:hAnsi="Calibri" w:cs="Calibri"/>
          <w:szCs w:val="24"/>
        </w:rPr>
        <w:t>(3), 343–352. https://doi.org/10.1038/s41593-018-0326-7</w:t>
      </w:r>
    </w:p>
    <w:p w14:paraId="779939ED"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Kaufman, J., Birmaher, B., Brent, D., Rao, U., Flynn, C., Moreci, P., Williamson, D., &amp; Ryan, N. (1997). Schedule for Affective Disorders and Schizophrenia for School-Age Children-Present and Lifetime Version (K-SADS-PL): Initial Reliability and Validity Data. </w:t>
      </w:r>
      <w:r w:rsidRPr="006F20EB">
        <w:rPr>
          <w:rFonts w:ascii="Calibri" w:hAnsi="Calibri" w:cs="Calibri"/>
          <w:i/>
          <w:iCs/>
          <w:szCs w:val="24"/>
        </w:rPr>
        <w:t>Journal of the American Academy of Child &amp; Adolescent Psychiatry</w:t>
      </w:r>
      <w:r w:rsidRPr="006F20EB">
        <w:rPr>
          <w:rFonts w:ascii="Calibri" w:hAnsi="Calibri" w:cs="Calibri"/>
          <w:szCs w:val="24"/>
        </w:rPr>
        <w:t xml:space="preserve">, </w:t>
      </w:r>
      <w:r w:rsidRPr="006F20EB">
        <w:rPr>
          <w:rFonts w:ascii="Calibri" w:hAnsi="Calibri" w:cs="Calibri"/>
          <w:i/>
          <w:iCs/>
          <w:szCs w:val="24"/>
        </w:rPr>
        <w:t>36</w:t>
      </w:r>
      <w:r w:rsidRPr="006F20EB">
        <w:rPr>
          <w:rFonts w:ascii="Calibri" w:hAnsi="Calibri" w:cs="Calibri"/>
          <w:szCs w:val="24"/>
        </w:rPr>
        <w:t>(7), 980–988. https://doi.org/10.1097/00004583-199707000-00021</w:t>
      </w:r>
    </w:p>
    <w:p w14:paraId="4C502033"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Kobak, K. A., Kratochvil, C. J., Stanger, C., &amp; Kaufman, J. (2013). Computerized screening of comorbidity in adolescents with substance or psychiatric disorders. </w:t>
      </w:r>
      <w:r w:rsidRPr="006F20EB">
        <w:rPr>
          <w:rFonts w:ascii="Calibri" w:hAnsi="Calibri" w:cs="Calibri"/>
          <w:i/>
          <w:iCs/>
          <w:szCs w:val="24"/>
        </w:rPr>
        <w:t>Anxiety Disorders and Depression.(La Jolaa, CA)</w:t>
      </w:r>
      <w:r w:rsidRPr="006F20EB">
        <w:rPr>
          <w:rFonts w:ascii="Calibri" w:hAnsi="Calibri" w:cs="Calibri"/>
          <w:szCs w:val="24"/>
        </w:rPr>
        <w:t>.</w:t>
      </w:r>
    </w:p>
    <w:p w14:paraId="38F01BF8"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Nievergelt, C. M., Maihofer, A. X., Atkinson, E. G., Chen, C.-Y., Choi, K. W., Coleman, J. R. I., Daskalakis, N. P., Duncan, L. E., Polimanti, R., Aaronson, C., Amstadter, A. B., Andersen, S. B., Andreassen, O. A., Arbisi, P. A., Ashley-Koch, A. E., Austin, S. B., Avdibegoviç, E., Babić, D., Bacanu, S.-A., … Koenen, K. C. (2024). Genome-wide association analyses identify 95 risk loci and provide insights into the neurobiology of post-traumatic stress disorder.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56</w:t>
      </w:r>
      <w:r w:rsidRPr="006F20EB">
        <w:rPr>
          <w:rFonts w:ascii="Calibri" w:hAnsi="Calibri" w:cs="Calibri"/>
          <w:szCs w:val="24"/>
        </w:rPr>
        <w:t>(5), 792–808. https://doi.org/10.1038/s41588-024-01707-9</w:t>
      </w:r>
    </w:p>
    <w:p w14:paraId="6E6DD1F5"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Otowa, T., Hek, K., Lee, M., Byrne, E. M., Mirza, S. S., Nivard, M. G., Bigdeli, T., Aggen, S. H., Adkins, D., Wolen, A., Fanous, A., Keller, M. C., Castelao, E., Kutalik, Z., Der Auwera, S. V., Homuth, G., Nauck, M., Teumer, A., Milaneschi, Y., … Hettema, J. M. (2016). Meta-analysis of genome-wide association studies of anxiety disorders. </w:t>
      </w:r>
      <w:r w:rsidRPr="006F20EB">
        <w:rPr>
          <w:rFonts w:ascii="Calibri" w:hAnsi="Calibri" w:cs="Calibri"/>
          <w:i/>
          <w:iCs/>
          <w:szCs w:val="24"/>
        </w:rPr>
        <w:t>Molecular Psychiatry</w:t>
      </w:r>
      <w:r w:rsidRPr="006F20EB">
        <w:rPr>
          <w:rFonts w:ascii="Calibri" w:hAnsi="Calibri" w:cs="Calibri"/>
          <w:szCs w:val="24"/>
        </w:rPr>
        <w:t xml:space="preserve">, </w:t>
      </w:r>
      <w:r w:rsidRPr="006F20EB">
        <w:rPr>
          <w:rFonts w:ascii="Calibri" w:hAnsi="Calibri" w:cs="Calibri"/>
          <w:i/>
          <w:iCs/>
          <w:szCs w:val="24"/>
        </w:rPr>
        <w:t>21</w:t>
      </w:r>
      <w:r w:rsidRPr="006F20EB">
        <w:rPr>
          <w:rFonts w:ascii="Calibri" w:hAnsi="Calibri" w:cs="Calibri"/>
          <w:szCs w:val="24"/>
        </w:rPr>
        <w:t>(10), 1391–1399. https://doi.org/10.1038/mp.2015.197</w:t>
      </w:r>
    </w:p>
    <w:p w14:paraId="061C8E2E"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Penner-Goeke, S., Bothe, M., Rek, N., Kreitmaier, P., Pöhlchen, D., Kühnel, A., Glaser, L. V., Kaya, E., Krontira, A. C., Röh, S., Czamara, D., Ködel, M., Monteserin-Garcia, J., Diener, L., Wölfel, B., Sauer, S., Rummel, C., Riesenberg, S., Arloth-Knauer, J., … Binder, E. B. (2023). High-throughput </w:t>
      </w:r>
      <w:r w:rsidRPr="006F20EB">
        <w:rPr>
          <w:rFonts w:ascii="Calibri" w:hAnsi="Calibri" w:cs="Calibri"/>
          <w:szCs w:val="24"/>
        </w:rPr>
        <w:lastRenderedPageBreak/>
        <w:t xml:space="preserve">screening of glucocorticoid-induced enhancer activity reveals mechanisms of stress-related psychiatric disorders. </w:t>
      </w:r>
      <w:r w:rsidRPr="006F20EB">
        <w:rPr>
          <w:rFonts w:ascii="Calibri" w:hAnsi="Calibri" w:cs="Calibri"/>
          <w:i/>
          <w:iCs/>
          <w:szCs w:val="24"/>
        </w:rPr>
        <w:t>Proceedings of the National Academy of Sciences</w:t>
      </w:r>
      <w:r w:rsidRPr="006F20EB">
        <w:rPr>
          <w:rFonts w:ascii="Calibri" w:hAnsi="Calibri" w:cs="Calibri"/>
          <w:szCs w:val="24"/>
        </w:rPr>
        <w:t xml:space="preserve">, </w:t>
      </w:r>
      <w:r w:rsidRPr="006F20EB">
        <w:rPr>
          <w:rFonts w:ascii="Calibri" w:hAnsi="Calibri" w:cs="Calibri"/>
          <w:i/>
          <w:iCs/>
          <w:szCs w:val="24"/>
        </w:rPr>
        <w:t>120</w:t>
      </w:r>
      <w:r w:rsidRPr="006F20EB">
        <w:rPr>
          <w:rFonts w:ascii="Calibri" w:hAnsi="Calibri" w:cs="Calibri"/>
          <w:szCs w:val="24"/>
        </w:rPr>
        <w:t>(49), e2305773120. https://doi.org/10.1073/pnas.2305773120</w:t>
      </w:r>
    </w:p>
    <w:p w14:paraId="10873D07"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Purcell, S., Neale, B., Todd-Brown, K., Thomas, L., Ferreira, M. A. R., Bender, D., Maller, J., Sklar, P., de Bakker, P. I. W., Daly, M. J., &amp; Sham, P. C. (2007). PLINK: A Tool Set for Whole-Genome Association and Population-Based Linkage Analyses. </w:t>
      </w:r>
      <w:r w:rsidRPr="006F20EB">
        <w:rPr>
          <w:rFonts w:ascii="Calibri" w:hAnsi="Calibri" w:cs="Calibri"/>
          <w:i/>
          <w:iCs/>
          <w:szCs w:val="24"/>
        </w:rPr>
        <w:t>American Journal of Human Genetics</w:t>
      </w:r>
      <w:r w:rsidRPr="006F20EB">
        <w:rPr>
          <w:rFonts w:ascii="Calibri" w:hAnsi="Calibri" w:cs="Calibri"/>
          <w:szCs w:val="24"/>
        </w:rPr>
        <w:t xml:space="preserve">, </w:t>
      </w:r>
      <w:r w:rsidRPr="006F20EB">
        <w:rPr>
          <w:rFonts w:ascii="Calibri" w:hAnsi="Calibri" w:cs="Calibri"/>
          <w:i/>
          <w:iCs/>
          <w:szCs w:val="24"/>
        </w:rPr>
        <w:t>81</w:t>
      </w:r>
      <w:r w:rsidRPr="006F20EB">
        <w:rPr>
          <w:rFonts w:ascii="Calibri" w:hAnsi="Calibri" w:cs="Calibri"/>
          <w:szCs w:val="24"/>
        </w:rPr>
        <w:t>(3), 559–575.</w:t>
      </w:r>
    </w:p>
    <w:p w14:paraId="2F3CDF81"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Reininghaus, U., Kempton, M. J., Valmaggia, L., Craig, T. K. J., Garety, P., Onyejiaka, A., Gayer-Anderson, C., So, S. H., Hubbard, K., Beards, S., Dazzan, P., Pariante, C., Mondelli, V., Fisher, H. L., Mills, J. G., Viechtbauer, W., McGuire, P., van Os, J., Murray, R. M., … Morgan, C. (2016). Stress Sensitivity, Aberrant Salience, and Threat Anticipation in Early Psychosis: An Experience Sampling Study. </w:t>
      </w:r>
      <w:r w:rsidRPr="006F20EB">
        <w:rPr>
          <w:rFonts w:ascii="Calibri" w:hAnsi="Calibri" w:cs="Calibri"/>
          <w:i/>
          <w:iCs/>
          <w:szCs w:val="24"/>
        </w:rPr>
        <w:t>Schizophrenia Bulletin</w:t>
      </w:r>
      <w:r w:rsidRPr="006F20EB">
        <w:rPr>
          <w:rFonts w:ascii="Calibri" w:hAnsi="Calibri" w:cs="Calibri"/>
          <w:szCs w:val="24"/>
        </w:rPr>
        <w:t xml:space="preserve">, </w:t>
      </w:r>
      <w:r w:rsidRPr="006F20EB">
        <w:rPr>
          <w:rFonts w:ascii="Calibri" w:hAnsi="Calibri" w:cs="Calibri"/>
          <w:i/>
          <w:iCs/>
          <w:szCs w:val="24"/>
        </w:rPr>
        <w:t>42</w:t>
      </w:r>
      <w:r w:rsidRPr="006F20EB">
        <w:rPr>
          <w:rFonts w:ascii="Calibri" w:hAnsi="Calibri" w:cs="Calibri"/>
          <w:szCs w:val="24"/>
        </w:rPr>
        <w:t>(3), 712–722. https://doi.org/10.1093/schbul/sbv190</w:t>
      </w:r>
    </w:p>
    <w:p w14:paraId="4D5726EA"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Ruan, Y., Lin, Y.-F., Feng, Y.-C. A., Chen, C.-Y., Lam, M., Guo, Z., Stanley Global Asia Initiatives, Ahn, Y. M., Akiyama, K., Arai, M., Baek, J. H., Chen, W. J., Chung, Y.-C., Feng, G., Fujii, K., Glatt, S. J., Ha, K., Hattori, K., Higuchi, T., … Ge, T. (2022). Improving polygenic prediction in ancestrally diverse populations.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54</w:t>
      </w:r>
      <w:r w:rsidRPr="006F20EB">
        <w:rPr>
          <w:rFonts w:ascii="Calibri" w:hAnsi="Calibri" w:cs="Calibri"/>
          <w:szCs w:val="24"/>
        </w:rPr>
        <w:t>(5), 573–580. https://doi.org/10.1038/s41588-022-01054-7</w:t>
      </w:r>
    </w:p>
    <w:p w14:paraId="237CAAB0"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Townsend, L., Kobak, K., Kearney, C., Milham, M., Andreotti, C., Escalera, J., Alexander, L., Gill, M. K., Birmaher, B., Sylvester, R., Rice, D., Deep, A., &amp; Kaufman, J. (2020). Development of Three Web-Based Computerized Versions of the Kiddie Schedule for Affective Disorders and Schizophrenia Child Psychiatric Diagnostic Interview: Preliminary Validity Data. </w:t>
      </w:r>
      <w:r w:rsidRPr="006F20EB">
        <w:rPr>
          <w:rFonts w:ascii="Calibri" w:hAnsi="Calibri" w:cs="Calibri"/>
          <w:i/>
          <w:iCs/>
          <w:szCs w:val="24"/>
        </w:rPr>
        <w:t>Journal of the American Academy of Child &amp; Adolescent Psychiatry</w:t>
      </w:r>
      <w:r w:rsidRPr="006F20EB">
        <w:rPr>
          <w:rFonts w:ascii="Calibri" w:hAnsi="Calibri" w:cs="Calibri"/>
          <w:szCs w:val="24"/>
        </w:rPr>
        <w:t xml:space="preserve">, </w:t>
      </w:r>
      <w:r w:rsidRPr="006F20EB">
        <w:rPr>
          <w:rFonts w:ascii="Calibri" w:hAnsi="Calibri" w:cs="Calibri"/>
          <w:i/>
          <w:iCs/>
          <w:szCs w:val="24"/>
        </w:rPr>
        <w:t>59</w:t>
      </w:r>
      <w:r w:rsidRPr="006F20EB">
        <w:rPr>
          <w:rFonts w:ascii="Calibri" w:hAnsi="Calibri" w:cs="Calibri"/>
          <w:szCs w:val="24"/>
        </w:rPr>
        <w:t>(2), 309–325. https://doi.org/10.1016/j.jaac.2019.05.009</w:t>
      </w:r>
    </w:p>
    <w:p w14:paraId="00ACE6F3"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van der Meer, D., Hoekstra, P. J., van Donkelaar, M., Bralten, J., Oosterlaan, J., Heslenfeld, D., Faraone, S. V., Franke, B., Buitelaar, J. K., &amp; Hartman, C. A. (2017). Predicting attention-deficit/hyperactivity </w:t>
      </w:r>
      <w:r w:rsidRPr="006F20EB">
        <w:rPr>
          <w:rFonts w:ascii="Calibri" w:hAnsi="Calibri" w:cs="Calibri"/>
          <w:szCs w:val="24"/>
        </w:rPr>
        <w:lastRenderedPageBreak/>
        <w:t xml:space="preserve">disorder severity from psychosocial stress and stress-response genes: A random forest regression approach. </w:t>
      </w:r>
      <w:r w:rsidRPr="006F20EB">
        <w:rPr>
          <w:rFonts w:ascii="Calibri" w:hAnsi="Calibri" w:cs="Calibri"/>
          <w:i/>
          <w:iCs/>
          <w:szCs w:val="24"/>
        </w:rPr>
        <w:t>Translational Psychiatry</w:t>
      </w:r>
      <w:r w:rsidRPr="006F20EB">
        <w:rPr>
          <w:rFonts w:ascii="Calibri" w:hAnsi="Calibri" w:cs="Calibri"/>
          <w:szCs w:val="24"/>
        </w:rPr>
        <w:t xml:space="preserve">, </w:t>
      </w:r>
      <w:r w:rsidRPr="006F20EB">
        <w:rPr>
          <w:rFonts w:ascii="Calibri" w:hAnsi="Calibri" w:cs="Calibri"/>
          <w:i/>
          <w:iCs/>
          <w:szCs w:val="24"/>
        </w:rPr>
        <w:t>7</w:t>
      </w:r>
      <w:r w:rsidRPr="006F20EB">
        <w:rPr>
          <w:rFonts w:ascii="Calibri" w:hAnsi="Calibri" w:cs="Calibri"/>
          <w:szCs w:val="24"/>
        </w:rPr>
        <w:t>(6), e1145–e1145. https://doi.org/10.1038/tp.2017.114</w:t>
      </w:r>
    </w:p>
    <w:p w14:paraId="0424B6EC"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Zheng, Z., Liu, S., Sidorenko, J., Wang, Y., Lin, T., Yengo, L., Turley, P., Ani, A., Wang, R., Nolte, I. M., Snieder, H., LifeLines Cohort Study, Aguirre-Gamboa, R., Deelen, P., Franke, L., Kuivenhoven, J. A., Lopera Maya, E. A., Sanna, S., Swertz, M. A., … Zeng, J. (2024). Leveraging functional genomic annotations and genome coverage to improve polygenic prediction of complex traits within and between ancestries.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56</w:t>
      </w:r>
      <w:r w:rsidRPr="006F20EB">
        <w:rPr>
          <w:rFonts w:ascii="Calibri" w:hAnsi="Calibri" w:cs="Calibri"/>
          <w:szCs w:val="24"/>
        </w:rPr>
        <w:t>(5), 767–777. https://doi.org/10.1038/s41588-024-01704-y</w:t>
      </w:r>
    </w:p>
    <w:p w14:paraId="63B1E5F1" w14:textId="1A4A1ABF" w:rsidR="004F1A6D" w:rsidRDefault="004F1A6D" w:rsidP="000109F1">
      <w:pPr>
        <w:spacing w:line="480" w:lineRule="auto"/>
        <w:rPr>
          <w:rFonts w:cstheme="minorHAnsi"/>
        </w:rPr>
      </w:pPr>
      <w:r>
        <w:rPr>
          <w:rFonts w:cstheme="minorHAnsi"/>
        </w:rPr>
        <w:fldChar w:fldCharType="end"/>
      </w:r>
    </w:p>
    <w:p w14:paraId="30374DB4" w14:textId="77777777" w:rsidR="004F1A6D" w:rsidRPr="00786EBD" w:rsidRDefault="004F1A6D" w:rsidP="000109F1">
      <w:pPr>
        <w:spacing w:line="480" w:lineRule="auto"/>
        <w:rPr>
          <w:rFonts w:cstheme="minorHAnsi"/>
        </w:rPr>
      </w:pPr>
    </w:p>
    <w:sectPr w:rsidR="004F1A6D" w:rsidRPr="00786E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83C4" w14:textId="77777777" w:rsidR="00A45AD3" w:rsidRDefault="00A45AD3" w:rsidP="000109F1">
      <w:pPr>
        <w:spacing w:after="0" w:line="240" w:lineRule="auto"/>
      </w:pPr>
      <w:r>
        <w:separator/>
      </w:r>
    </w:p>
  </w:endnote>
  <w:endnote w:type="continuationSeparator" w:id="0">
    <w:p w14:paraId="34BE44B6" w14:textId="77777777" w:rsidR="00A45AD3" w:rsidRDefault="00A45AD3"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9FC8" w14:textId="77777777" w:rsidR="00A45AD3" w:rsidRDefault="00A45AD3" w:rsidP="000109F1">
      <w:pPr>
        <w:spacing w:after="0" w:line="240" w:lineRule="auto"/>
      </w:pPr>
      <w:r>
        <w:separator/>
      </w:r>
    </w:p>
  </w:footnote>
  <w:footnote w:type="continuationSeparator" w:id="0">
    <w:p w14:paraId="45B5B65B" w14:textId="77777777" w:rsidR="00A45AD3" w:rsidRDefault="00A45AD3"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109F1"/>
    <w:rsid w:val="000823BD"/>
    <w:rsid w:val="00085C63"/>
    <w:rsid w:val="000C4BC6"/>
    <w:rsid w:val="00187F50"/>
    <w:rsid w:val="001C5188"/>
    <w:rsid w:val="001E5897"/>
    <w:rsid w:val="00242659"/>
    <w:rsid w:val="00247CD3"/>
    <w:rsid w:val="0029514B"/>
    <w:rsid w:val="002B0179"/>
    <w:rsid w:val="0033573D"/>
    <w:rsid w:val="0035708F"/>
    <w:rsid w:val="00366755"/>
    <w:rsid w:val="003A1D4C"/>
    <w:rsid w:val="00447145"/>
    <w:rsid w:val="00450D91"/>
    <w:rsid w:val="00463DCA"/>
    <w:rsid w:val="00471E6F"/>
    <w:rsid w:val="00472168"/>
    <w:rsid w:val="004F1A6D"/>
    <w:rsid w:val="0051764F"/>
    <w:rsid w:val="0052769A"/>
    <w:rsid w:val="0058309C"/>
    <w:rsid w:val="00587584"/>
    <w:rsid w:val="005F65D2"/>
    <w:rsid w:val="006016E1"/>
    <w:rsid w:val="00690717"/>
    <w:rsid w:val="006F20EB"/>
    <w:rsid w:val="00746058"/>
    <w:rsid w:val="00786EBD"/>
    <w:rsid w:val="0080017A"/>
    <w:rsid w:val="00861D53"/>
    <w:rsid w:val="008C40F7"/>
    <w:rsid w:val="009060D0"/>
    <w:rsid w:val="00965348"/>
    <w:rsid w:val="009B19B0"/>
    <w:rsid w:val="00A45AD3"/>
    <w:rsid w:val="00A76839"/>
    <w:rsid w:val="00A94ACF"/>
    <w:rsid w:val="00A959E1"/>
    <w:rsid w:val="00AD4572"/>
    <w:rsid w:val="00B363DB"/>
    <w:rsid w:val="00B80B08"/>
    <w:rsid w:val="00B96523"/>
    <w:rsid w:val="00BE606A"/>
    <w:rsid w:val="00CC23D4"/>
    <w:rsid w:val="00D713A1"/>
    <w:rsid w:val="00E47F96"/>
    <w:rsid w:val="00E544B9"/>
    <w:rsid w:val="00E9082A"/>
    <w:rsid w:val="00EA2C98"/>
    <w:rsid w:val="00EB2C6E"/>
    <w:rsid w:val="00F46DE1"/>
    <w:rsid w:val="00FC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13</Pages>
  <Words>13892</Words>
  <Characters>79186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29</cp:revision>
  <dcterms:created xsi:type="dcterms:W3CDTF">2024-05-27T22:13:00Z</dcterms:created>
  <dcterms:modified xsi:type="dcterms:W3CDTF">2024-06-03T21:19:00Z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id="Gp4ILN93"/&gt;&lt;style id="http://www.zotero.org/styles/apa" locale="en-US" hasBibliography="1" bibliographyStyleHasBeenSet="1"/&gt;&lt;prefs&gt;&lt;pref name="fieldType" value="Field"/&gt;&lt;/prefs&gt;&lt;/data&gt;</vt:lpwstr>
  </property>
</Properties>
</file>