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0, 49, 50, 54, 59, 60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50, 55, 60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49, 50, 54, 55, 60, 62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  <w:rtl w:val="0"/>
        </w:rPr>
        <w:t xml:space="preserve">50, 51, 55, 56, 60, 61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до 1000 кроків включно – “Житель дивана”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1000 до 2000 кроків включно – “Лежибока”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2000 до 4000 кроків включно – “Рухай тілом!”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ubik" w:cs="Rubik" w:eastAsia="Rubik" w:hAnsi="Rubik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0, 1000, 2000, 3000, 4000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1000, 2001, 4000, 4001, 6000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123, 2345, 3456, 4567, 5678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  <w:rtl w:val="0"/>
        </w:rPr>
        <w:t xml:space="preserve">666, 999, 2222, 5555, 6666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Середній рівень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25"/>
        <w:gridCol w:w="1860"/>
        <w:gridCol w:w="2535"/>
        <w:tblGridChange w:id="0">
          <w:tblGrid>
            <w:gridCol w:w="975"/>
            <w:gridCol w:w="1125"/>
            <w:gridCol w:w="186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Яка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мінімальна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  <w:rtl w:val="0"/>
        </w:rPr>
        <w:t xml:space="preserve">2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640x480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1280x720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1600x1200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1920x1080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Третій рівень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hyperlink r:id="rId6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Test Cases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-I61blkGz4h8XDvjLrBRw79zDVENKaz7aMU-HIHU4V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