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AE1" w:rsidRDefault="00154AE1" w:rsidP="00154AE1">
      <w:pPr>
        <w:jc w:val="center"/>
        <w:outlineLvl w:val="0"/>
        <w:rPr>
          <w:b/>
        </w:rPr>
      </w:pPr>
      <w:r>
        <w:rPr>
          <w:b/>
        </w:rPr>
        <w:t>CY2011 Part D Plan Ratings:</w:t>
      </w:r>
    </w:p>
    <w:p w:rsidR="00482796" w:rsidRDefault="00233165" w:rsidP="00233165">
      <w:pPr>
        <w:jc w:val="center"/>
        <w:outlineLvl w:val="0"/>
        <w:rPr>
          <w:b/>
        </w:rPr>
      </w:pPr>
      <w:r w:rsidRPr="00233165">
        <w:rPr>
          <w:b/>
        </w:rPr>
        <w:t xml:space="preserve">Methodology for </w:t>
      </w:r>
      <w:r w:rsidR="00A83AFF">
        <w:rPr>
          <w:b/>
        </w:rPr>
        <w:t xml:space="preserve">Price </w:t>
      </w:r>
      <w:r w:rsidRPr="00233165">
        <w:rPr>
          <w:b/>
        </w:rPr>
        <w:t xml:space="preserve">Stability </w:t>
      </w:r>
      <w:r w:rsidR="00482796">
        <w:rPr>
          <w:b/>
        </w:rPr>
        <w:t xml:space="preserve">and </w:t>
      </w:r>
      <w:r w:rsidRPr="00233165">
        <w:rPr>
          <w:b/>
        </w:rPr>
        <w:t xml:space="preserve">Accuracy </w:t>
      </w:r>
      <w:r w:rsidR="00A83AFF">
        <w:rPr>
          <w:b/>
        </w:rPr>
        <w:t xml:space="preserve">Measure </w:t>
      </w:r>
    </w:p>
    <w:p w:rsidR="00233165" w:rsidRPr="00233165" w:rsidRDefault="00233165" w:rsidP="00233165">
      <w:pPr>
        <w:jc w:val="center"/>
        <w:outlineLvl w:val="0"/>
        <w:rPr>
          <w:b/>
        </w:rPr>
      </w:pPr>
    </w:p>
    <w:p w:rsidR="00A22DB9" w:rsidRPr="007B1CD1" w:rsidRDefault="007B1CD1" w:rsidP="007B1CD1">
      <w:pPr>
        <w:tabs>
          <w:tab w:val="left" w:pos="7170"/>
        </w:tabs>
        <w:jc w:val="both"/>
        <w:rPr>
          <w:b/>
        </w:rPr>
      </w:pPr>
      <w:r>
        <w:rPr>
          <w:b/>
        </w:rPr>
        <w:tab/>
      </w:r>
    </w:p>
    <w:p w:rsidR="00617ECF" w:rsidRDefault="00D95D63" w:rsidP="00617ECF">
      <w:pPr>
        <w:ind w:firstLine="720"/>
        <w:jc w:val="both"/>
      </w:pPr>
      <w:r>
        <w:t xml:space="preserve">CMS’ drug pricing performance </w:t>
      </w:r>
      <w:r w:rsidR="00482796">
        <w:t xml:space="preserve">measure evaluates both the stability in contracts’ prices charged at the point-of-sale (POS) and the accuracy of prices displayed on Medicare Plan Finder (PF) for beneficiaries’ comparison of plan options.  </w:t>
      </w:r>
      <w:r w:rsidR="008D71DA">
        <w:t>A contract</w:t>
      </w:r>
      <w:r w:rsidR="00482796">
        <w:t>’</w:t>
      </w:r>
      <w:r w:rsidR="008D71DA">
        <w:t>s</w:t>
      </w:r>
      <w:r w:rsidR="00482796">
        <w:t xml:space="preserve"> score </w:t>
      </w:r>
      <w:r w:rsidR="008D71DA">
        <w:t xml:space="preserve">is </w:t>
      </w:r>
      <w:r w:rsidR="002368CF">
        <w:t xml:space="preserve">a composite </w:t>
      </w:r>
      <w:r w:rsidR="00F04798">
        <w:t xml:space="preserve">derived from </w:t>
      </w:r>
      <w:r w:rsidR="005330DC">
        <w:t>two price indices.  T</w:t>
      </w:r>
      <w:r w:rsidR="00482796">
        <w:t xml:space="preserve">he first </w:t>
      </w:r>
      <w:r w:rsidR="002368CF">
        <w:t xml:space="preserve">price </w:t>
      </w:r>
      <w:r w:rsidR="00482796">
        <w:t xml:space="preserve">index utilizes final prescription drug event (PDE) data to assess </w:t>
      </w:r>
      <w:r w:rsidR="00F26B2F">
        <w:t>changes in price over the contract year</w:t>
      </w:r>
      <w:r w:rsidR="005330DC">
        <w:t>.  T</w:t>
      </w:r>
      <w:r w:rsidR="00482796">
        <w:t xml:space="preserve">he second </w:t>
      </w:r>
      <w:r w:rsidR="002368CF">
        <w:t xml:space="preserve">price </w:t>
      </w:r>
      <w:r w:rsidR="00482796">
        <w:t xml:space="preserve">index compares PF prices to PDE prices and determines the magnitude of differences found.  </w:t>
      </w:r>
      <w:r>
        <w:t xml:space="preserve">This </w:t>
      </w:r>
      <w:r w:rsidR="00B640B6">
        <w:t xml:space="preserve">document </w:t>
      </w:r>
      <w:r w:rsidR="00CB25B4">
        <w:t xml:space="preserve">summarizes </w:t>
      </w:r>
      <w:r w:rsidR="00CB25B4" w:rsidRPr="00CB25B4">
        <w:t xml:space="preserve">the </w:t>
      </w:r>
      <w:r w:rsidR="0087347E">
        <w:t>methods</w:t>
      </w:r>
      <w:r w:rsidR="00CB25B4" w:rsidRPr="00CB25B4">
        <w:t xml:space="preserve"> currently </w:t>
      </w:r>
      <w:r w:rsidR="00482796">
        <w:t xml:space="preserve">used </w:t>
      </w:r>
      <w:r w:rsidR="00CB25B4">
        <w:t xml:space="preserve">to construct </w:t>
      </w:r>
      <w:r w:rsidR="00541248">
        <w:t xml:space="preserve">each contract’s </w:t>
      </w:r>
      <w:r w:rsidR="00482796">
        <w:t xml:space="preserve">indices and </w:t>
      </w:r>
      <w:r w:rsidR="00541248">
        <w:t>the</w:t>
      </w:r>
      <w:r w:rsidR="00F04798">
        <w:t xml:space="preserve"> </w:t>
      </w:r>
      <w:r w:rsidR="00482796">
        <w:t>calculat</w:t>
      </w:r>
      <w:r w:rsidR="00541248">
        <w:t>ion of the</w:t>
      </w:r>
      <w:r w:rsidR="00482796">
        <w:t xml:space="preserve"> composite score</w:t>
      </w:r>
      <w:r w:rsidR="00CB25B4">
        <w:t xml:space="preserve">. </w:t>
      </w:r>
      <w:r w:rsidR="00482796">
        <w:t xml:space="preserve"> </w:t>
      </w:r>
      <w:r w:rsidR="005330DC">
        <w:t xml:space="preserve"> </w:t>
      </w:r>
    </w:p>
    <w:p w:rsidR="00E175FA" w:rsidRPr="007B1CD1" w:rsidRDefault="00E175FA" w:rsidP="00617ECF">
      <w:pPr>
        <w:ind w:firstLine="720"/>
        <w:jc w:val="both"/>
      </w:pPr>
    </w:p>
    <w:p w:rsidR="008412F8" w:rsidRDefault="00E175FA">
      <w:pPr>
        <w:pStyle w:val="Heading2"/>
      </w:pPr>
      <w:r>
        <w:t>Contract Selection</w:t>
      </w:r>
    </w:p>
    <w:p w:rsidR="002368CF" w:rsidRDefault="00E175FA">
      <w:pPr>
        <w:pStyle w:val="BodyText"/>
      </w:pPr>
      <w:r>
        <w:t>The Part D Plan ratings rely in part on the submission of pricing data to PF.  Therefore, only contracts with at least one plan meeting all of the following criteria are included in the analysis:</w:t>
      </w:r>
    </w:p>
    <w:p w:rsidR="002368CF" w:rsidRDefault="00E175FA">
      <w:pPr>
        <w:pStyle w:val="BodyText"/>
        <w:numPr>
          <w:ilvl w:val="0"/>
          <w:numId w:val="11"/>
        </w:numPr>
        <w:contextualSpacing/>
      </w:pPr>
      <w:r>
        <w:t>Not a PACE plan</w:t>
      </w:r>
    </w:p>
    <w:p w:rsidR="002368CF" w:rsidRDefault="00E175FA">
      <w:pPr>
        <w:pStyle w:val="BodyText"/>
        <w:numPr>
          <w:ilvl w:val="0"/>
          <w:numId w:val="11"/>
        </w:numPr>
        <w:contextualSpacing/>
      </w:pPr>
      <w:r>
        <w:t>Not a demonstration plan</w:t>
      </w:r>
    </w:p>
    <w:p w:rsidR="002368CF" w:rsidRDefault="00E175FA">
      <w:pPr>
        <w:pStyle w:val="BodyText"/>
        <w:numPr>
          <w:ilvl w:val="0"/>
          <w:numId w:val="11"/>
        </w:numPr>
        <w:contextualSpacing/>
      </w:pPr>
      <w:r>
        <w:t>Not an employer plan</w:t>
      </w:r>
    </w:p>
    <w:p w:rsidR="002368CF" w:rsidRDefault="00E175FA">
      <w:pPr>
        <w:pStyle w:val="BodyText"/>
        <w:numPr>
          <w:ilvl w:val="0"/>
          <w:numId w:val="11"/>
        </w:numPr>
        <w:contextualSpacing/>
      </w:pPr>
      <w:r>
        <w:t>Part D plan</w:t>
      </w:r>
    </w:p>
    <w:p w:rsidR="002368CF" w:rsidRDefault="00E175FA">
      <w:pPr>
        <w:pStyle w:val="BodyText"/>
        <w:numPr>
          <w:ilvl w:val="0"/>
          <w:numId w:val="11"/>
        </w:numPr>
        <w:contextualSpacing/>
      </w:pPr>
      <w:r>
        <w:t>Plan not terminated during the contract year</w:t>
      </w:r>
    </w:p>
    <w:p w:rsidR="009A3C82" w:rsidRDefault="009A3C82">
      <w:pPr>
        <w:pStyle w:val="BodyText"/>
        <w:ind w:firstLine="0"/>
      </w:pPr>
    </w:p>
    <w:p w:rsidR="009A3C82" w:rsidRDefault="009676B8">
      <w:pPr>
        <w:pStyle w:val="BodyText"/>
        <w:ind w:firstLine="0"/>
      </w:pPr>
      <w:r>
        <w:tab/>
      </w:r>
      <w:r w:rsidR="004B6923">
        <w:t>Only</w:t>
      </w:r>
      <w:r w:rsidR="00CA244D">
        <w:t xml:space="preserve"> contracts with at least one drug with at least 10 claims each quarter are included in the stability measure.  </w:t>
      </w:r>
      <w:r w:rsidR="004B6923">
        <w:t>Only contracts with at least 30 claims</w:t>
      </w:r>
      <w:r w:rsidR="002C1BFC">
        <w:t xml:space="preserve"> throughout the year</w:t>
      </w:r>
      <w:r w:rsidR="004B6923">
        <w:t xml:space="preserve"> are included in the accuracy measure.  </w:t>
      </w:r>
      <w:r>
        <w:t xml:space="preserve">This ensures that the sample size of PDEs is large enough to produce a reliable composite score.  </w:t>
      </w:r>
      <w:r w:rsidR="00CB0CC5">
        <w:t>Only covered drugs for PDEs that are not compound claims are included.</w:t>
      </w:r>
    </w:p>
    <w:p w:rsidR="00CA244D" w:rsidRDefault="00CA244D">
      <w:pPr>
        <w:pStyle w:val="BodyText"/>
        <w:ind w:firstLine="0"/>
      </w:pPr>
    </w:p>
    <w:p w:rsidR="008412F8" w:rsidRDefault="00317A79">
      <w:pPr>
        <w:pStyle w:val="Heading2"/>
      </w:pPr>
      <w:r>
        <w:t xml:space="preserve">PDE </w:t>
      </w:r>
      <w:r w:rsidR="00617ECF" w:rsidRPr="0048173E">
        <w:t>Price Stability</w:t>
      </w:r>
      <w:r w:rsidR="00470846">
        <w:t xml:space="preserve"> Index</w:t>
      </w:r>
    </w:p>
    <w:p w:rsidR="00B12837" w:rsidRDefault="00B12837" w:rsidP="0048173E">
      <w:pPr>
        <w:ind w:firstLine="720"/>
        <w:jc w:val="both"/>
      </w:pPr>
      <w:r>
        <w:t xml:space="preserve">The </w:t>
      </w:r>
      <w:r w:rsidR="007314EE">
        <w:t xml:space="preserve">PDE </w:t>
      </w:r>
      <w:r w:rsidR="008A1B96">
        <w:t>P</w:t>
      </w:r>
      <w:r w:rsidR="007314EE">
        <w:t xml:space="preserve">rice </w:t>
      </w:r>
      <w:r w:rsidR="008A1B96">
        <w:t>S</w:t>
      </w:r>
      <w:r w:rsidR="007314EE">
        <w:t xml:space="preserve">tability </w:t>
      </w:r>
      <w:r>
        <w:t>index (</w:t>
      </w:r>
      <w:proofErr w:type="spellStart"/>
      <w:r w:rsidR="00553293" w:rsidRPr="00553293">
        <w:rPr>
          <w:i/>
        </w:rPr>
        <w:t>S</w:t>
      </w:r>
      <w:r w:rsidR="00553293" w:rsidRPr="00553293">
        <w:rPr>
          <w:i/>
          <w:vertAlign w:val="subscript"/>
        </w:rPr>
        <w:t>j</w:t>
      </w:r>
      <w:proofErr w:type="spellEnd"/>
      <w:r>
        <w:t>)</w:t>
      </w:r>
      <w:r w:rsidR="00F909BD">
        <w:t xml:space="preserve"> monitors price changes over the contract year.  It</w:t>
      </w:r>
      <w:r>
        <w:t xml:space="preserve"> </w:t>
      </w:r>
      <w:r w:rsidR="002613F5">
        <w:t xml:space="preserve">is </w:t>
      </w:r>
      <w:r w:rsidR="008A1B96">
        <w:t>defined as the</w:t>
      </w:r>
      <w:r w:rsidR="002613F5">
        <w:t xml:space="preserve"> average</w:t>
      </w:r>
      <w:r w:rsidR="00CF2AD0">
        <w:t xml:space="preserve"> change in price</w:t>
      </w:r>
      <w:r w:rsidR="001D41ED">
        <w:t xml:space="preserve"> each quarter of a specified basket of drugs</w:t>
      </w:r>
      <w:r w:rsidR="00CF2AD0">
        <w:t xml:space="preserve">. </w:t>
      </w:r>
      <w:r w:rsidR="002613F5">
        <w:t xml:space="preserve"> </w:t>
      </w:r>
      <w:r w:rsidR="001D41ED">
        <w:t>The basket is composed of drugs</w:t>
      </w:r>
      <w:r w:rsidR="002C1BFC">
        <w:t xml:space="preserve"> (grouped </w:t>
      </w:r>
      <w:r w:rsidR="000620DD">
        <w:t>by Generic Sequence Number brand/generic (GSN-BG))</w:t>
      </w:r>
      <w:r w:rsidR="001D41ED">
        <w:t xml:space="preserve"> </w:t>
      </w:r>
      <w:r>
        <w:t xml:space="preserve">having at least 10 claims in all four quarters.  </w:t>
      </w:r>
      <w:r w:rsidR="00C716F8">
        <w:t xml:space="preserve">Though the drugs in the basket remain constant in all four quarters, different quantities are considered in each quarter to allow for changes in utilization.  </w:t>
      </w:r>
    </w:p>
    <w:p w:rsidR="00B12837" w:rsidRDefault="00B12837" w:rsidP="0048173E">
      <w:pPr>
        <w:ind w:firstLine="720"/>
        <w:jc w:val="both"/>
      </w:pPr>
    </w:p>
    <w:p w:rsidR="00B12837" w:rsidRDefault="00B12837" w:rsidP="00B12837">
      <w:pPr>
        <w:keepNext/>
        <w:ind w:firstLine="720"/>
        <w:jc w:val="both"/>
      </w:pPr>
      <w:r w:rsidRPr="0048173E">
        <w:t xml:space="preserve">The </w:t>
      </w:r>
      <w:r>
        <w:t xml:space="preserve">formula below describes the calculation of </w:t>
      </w:r>
      <w:proofErr w:type="spellStart"/>
      <w:r w:rsidRPr="00B12837">
        <w:rPr>
          <w:i/>
        </w:rPr>
        <w:t>S</w:t>
      </w:r>
      <w:r w:rsidRPr="00B12837">
        <w:rPr>
          <w:i/>
          <w:vertAlign w:val="subscript"/>
        </w:rPr>
        <w:t>j</w:t>
      </w:r>
      <w:proofErr w:type="spellEnd"/>
      <w:r>
        <w:t>:</w:t>
      </w:r>
    </w:p>
    <w:p w:rsidR="00B12837" w:rsidRDefault="00B12837" w:rsidP="00B12837">
      <w:pPr>
        <w:keepNext/>
        <w:ind w:firstLine="720"/>
        <w:jc w:val="both"/>
      </w:pPr>
    </w:p>
    <w:p w:rsidR="00B12837" w:rsidRDefault="00B05A8B" w:rsidP="00B12837">
      <w:pPr>
        <w:numPr>
          <w:ilvl w:val="0"/>
          <w:numId w:val="10"/>
        </w:numPr>
        <w:jc w:val="both"/>
      </w:p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nary>
          <m:naryPr>
            <m:chr m:val="∑"/>
            <m:ctrlPr>
              <w:rPr>
                <w:rFonts w:ascii="Cambria Math" w:hAnsi="Cambria Math"/>
                <w:i/>
              </w:rPr>
            </m:ctrlPr>
          </m:naryPr>
          <m:sub>
            <m:r>
              <w:rPr>
                <w:rFonts w:ascii="Cambria Math" w:hAnsi="Cambria Math"/>
              </w:rPr>
              <m:t>q=2</m:t>
            </m:r>
          </m:sub>
          <m:sup>
            <m:r>
              <w:rPr>
                <w:rFonts w:ascii="Cambria Math" w:hAnsi="Cambria Math"/>
              </w:rPr>
              <m:t>4</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PDE</m:t>
                        </m:r>
                      </m:e>
                      <m:sub>
                        <m:r>
                          <w:rPr>
                            <w:rFonts w:ascii="Cambria Math" w:hAnsi="Cambria Math"/>
                          </w:rPr>
                          <m:t>qj</m:t>
                        </m:r>
                      </m:sub>
                    </m:sSub>
                  </m:num>
                  <m:den>
                    <m:sSub>
                      <m:sSubPr>
                        <m:ctrlPr>
                          <w:rPr>
                            <w:rFonts w:ascii="Cambria Math" w:hAnsi="Cambria Math"/>
                            <w:i/>
                          </w:rPr>
                        </m:ctrlPr>
                      </m:sSubPr>
                      <m:e>
                        <m:r>
                          <w:rPr>
                            <w:rFonts w:ascii="Cambria Math" w:hAnsi="Cambria Math"/>
                          </w:rPr>
                          <m:t>TE</m:t>
                        </m:r>
                      </m:e>
                      <m:sub>
                        <m:r>
                          <w:rPr>
                            <w:rFonts w:ascii="Cambria Math" w:hAnsi="Cambria Math"/>
                          </w:rPr>
                          <m:t>(q-1)j</m:t>
                        </m:r>
                      </m:sub>
                    </m:sSub>
                  </m:den>
                </m:f>
              </m:e>
            </m:d>
          </m:e>
        </m:nary>
      </m:oMath>
    </w:p>
    <w:p w:rsidR="00B12837" w:rsidRDefault="00B12837" w:rsidP="00B12837">
      <w:pPr>
        <w:ind w:left="1080"/>
        <w:jc w:val="both"/>
      </w:pPr>
    </w:p>
    <w:p w:rsidR="00B12837" w:rsidRPr="0048173E" w:rsidRDefault="00B12837" w:rsidP="00B12837">
      <w:pPr>
        <w:ind w:firstLine="720"/>
        <w:jc w:val="both"/>
      </w:pPr>
      <w:proofErr w:type="gramStart"/>
      <w:r w:rsidRPr="0048173E">
        <w:t>where</w:t>
      </w:r>
      <w:proofErr w:type="gramEnd"/>
      <w:r w:rsidRPr="0048173E">
        <w:t xml:space="preserve"> </w:t>
      </w:r>
    </w:p>
    <w:p w:rsidR="00B05A8B" w:rsidRDefault="00B12837">
      <w:pPr>
        <w:ind w:left="1440" w:hanging="720"/>
        <w:jc w:val="both"/>
      </w:pPr>
      <w:proofErr w:type="spellStart"/>
      <w:r w:rsidRPr="00EB0DC4">
        <w:rPr>
          <w:i/>
        </w:rPr>
        <w:t>PDE</w:t>
      </w:r>
      <w:r w:rsidRPr="00EB0DC4">
        <w:rPr>
          <w:i/>
          <w:vertAlign w:val="subscript"/>
        </w:rPr>
        <w:t>q</w:t>
      </w:r>
      <w:r>
        <w:rPr>
          <w:i/>
          <w:vertAlign w:val="subscript"/>
        </w:rPr>
        <w:t>j</w:t>
      </w:r>
      <w:proofErr w:type="spellEnd"/>
      <w:r w:rsidRPr="0048173E">
        <w:t xml:space="preserve"> is </w:t>
      </w:r>
      <w:r>
        <w:t xml:space="preserve">the </w:t>
      </w:r>
      <w:r w:rsidR="00154507">
        <w:t xml:space="preserve">cost </w:t>
      </w:r>
      <w:r w:rsidR="00C716F8">
        <w:t xml:space="preserve">of the </w:t>
      </w:r>
      <w:r w:rsidR="003E5FB0">
        <w:t xml:space="preserve">drug basket </w:t>
      </w:r>
      <w:r w:rsidR="00EA41FF">
        <w:t xml:space="preserve">for </w:t>
      </w:r>
      <w:r>
        <w:t xml:space="preserve">contract </w:t>
      </w:r>
      <w:r w:rsidRPr="00EB0DC4">
        <w:rPr>
          <w:i/>
        </w:rPr>
        <w:t>j</w:t>
      </w:r>
      <w:r>
        <w:t xml:space="preserve"> </w:t>
      </w:r>
      <w:r w:rsidRPr="0048173E">
        <w:t xml:space="preserve">in </w:t>
      </w:r>
      <w:r>
        <w:t>quarter</w:t>
      </w:r>
      <w:r w:rsidRPr="0048173E">
        <w:t xml:space="preserve"> </w:t>
      </w:r>
      <w:r w:rsidRPr="00EB0DC4">
        <w:rPr>
          <w:i/>
        </w:rPr>
        <w:t>q</w:t>
      </w:r>
      <w:r w:rsidR="00FC69AF">
        <w:t xml:space="preserve"> and </w:t>
      </w:r>
    </w:p>
    <w:p w:rsidR="00B05A8B" w:rsidRDefault="003E5FB0">
      <w:pPr>
        <w:ind w:left="1440" w:hanging="720"/>
        <w:jc w:val="both"/>
      </w:pPr>
      <w:proofErr w:type="gramStart"/>
      <w:r>
        <w:rPr>
          <w:i/>
        </w:rPr>
        <w:t>TE</w:t>
      </w:r>
      <w:r w:rsidR="00FC69AF">
        <w:rPr>
          <w:i/>
          <w:vertAlign w:val="subscript"/>
        </w:rPr>
        <w:t>(</w:t>
      </w:r>
      <w:proofErr w:type="gramEnd"/>
      <w:r w:rsidR="00FC69AF">
        <w:rPr>
          <w:i/>
          <w:vertAlign w:val="subscript"/>
        </w:rPr>
        <w:t>q-1)j</w:t>
      </w:r>
      <w:r w:rsidR="00FC69AF">
        <w:t xml:space="preserve"> is</w:t>
      </w:r>
      <w:r w:rsidR="00C716F8">
        <w:t xml:space="preserve"> the total expenditure of the drug basket for contract </w:t>
      </w:r>
      <w:r w:rsidR="00C716F8">
        <w:rPr>
          <w:i/>
        </w:rPr>
        <w:t xml:space="preserve">j </w:t>
      </w:r>
      <w:r w:rsidR="00C716F8">
        <w:t xml:space="preserve"> in quarter </w:t>
      </w:r>
      <w:r w:rsidR="00C716F8">
        <w:rPr>
          <w:i/>
        </w:rPr>
        <w:t>q-1</w:t>
      </w:r>
      <w:r w:rsidR="00C716F8">
        <w:t>.</w:t>
      </w:r>
    </w:p>
    <w:p w:rsidR="001D41ED" w:rsidRDefault="001D41ED" w:rsidP="0048173E">
      <w:pPr>
        <w:ind w:firstLine="720"/>
        <w:jc w:val="both"/>
      </w:pPr>
    </w:p>
    <w:p w:rsidR="000620DD" w:rsidRDefault="00482796" w:rsidP="0048173E">
      <w:pPr>
        <w:ind w:firstLine="720"/>
        <w:jc w:val="both"/>
      </w:pPr>
      <w:r>
        <w:lastRenderedPageBreak/>
        <w:t xml:space="preserve">For each fall’s publication of plan ratings, CMS uses final PDE data from the most recently available contract year.  </w:t>
      </w:r>
      <w:r w:rsidR="002368CF">
        <w:t>For example, t</w:t>
      </w:r>
      <w:r>
        <w:t>he 2011 plan rating released October 2010 uses final 2009 PDE</w:t>
      </w:r>
      <w:r w:rsidR="00EA41FF">
        <w:t>s</w:t>
      </w:r>
      <w:r>
        <w:t xml:space="preserve">.  </w:t>
      </w:r>
      <w:r w:rsidR="002368CF">
        <w:t>O</w:t>
      </w:r>
      <w:r w:rsidR="00193B6E">
        <w:t xml:space="preserve">nly </w:t>
      </w:r>
      <w:r w:rsidR="00335496">
        <w:t>claims</w:t>
      </w:r>
      <w:r w:rsidR="00193B6E">
        <w:t xml:space="preserve"> filled at pharmacies designated as retail pharmacies by the sponsor in the Plan Finder pharmacy cost file are included</w:t>
      </w:r>
      <w:r w:rsidR="002368CF">
        <w:t xml:space="preserve"> in this analysis</w:t>
      </w:r>
      <w:r w:rsidR="003A3530">
        <w:t xml:space="preserve">.  </w:t>
      </w:r>
      <w:r w:rsidR="00335496">
        <w:t>Claims filled at l</w:t>
      </w:r>
      <w:r w:rsidR="00193B6E">
        <w:t>ong term care, mail, home infusion, and specialty pharmacies</w:t>
      </w:r>
      <w:r w:rsidR="000620DD">
        <w:t xml:space="preserve">, as well as claims to which we could not assign GSN-BG </w:t>
      </w:r>
      <w:r w:rsidR="00193B6E">
        <w:t>are excluded.</w:t>
      </w:r>
      <w:r w:rsidR="002C1BFC">
        <w:t xml:space="preserve"> </w:t>
      </w:r>
      <w:r w:rsidR="00BA47F9">
        <w:t xml:space="preserve">Because the </w:t>
      </w:r>
      <w:r w:rsidR="00FB7630">
        <w:t>pharmacy cost</w:t>
      </w:r>
      <w:r w:rsidR="00BA47F9">
        <w:t xml:space="preserve"> file is used to determine pharmacy characteristics, PDEs with a date of service during </w:t>
      </w:r>
      <w:r w:rsidR="00FB7630">
        <w:t>a plan</w:t>
      </w:r>
      <w:r w:rsidR="00BA47F9">
        <w:t xml:space="preserve"> suppression </w:t>
      </w:r>
      <w:r w:rsidR="00FB7630">
        <w:t xml:space="preserve">period </w:t>
      </w:r>
      <w:r w:rsidR="00BA47F9">
        <w:t xml:space="preserve">from Plan Finder are excluded.  </w:t>
      </w:r>
    </w:p>
    <w:p w:rsidR="00617ECF" w:rsidRDefault="00617ECF" w:rsidP="0048173E">
      <w:pPr>
        <w:ind w:firstLine="720"/>
        <w:jc w:val="both"/>
      </w:pPr>
    </w:p>
    <w:p w:rsidR="00617ECF" w:rsidRPr="0048173E" w:rsidRDefault="00154507" w:rsidP="0048173E">
      <w:pPr>
        <w:ind w:firstLine="720"/>
        <w:jc w:val="both"/>
      </w:pPr>
      <w:r>
        <w:t xml:space="preserve">The quarterly stability index measures changes in drug prices across many distinct products from one quarter to the next. It weights the price of each drug by the relative consumption of that product in the previous quarter, so that price changes in heavily utilized drugs contribute more to the index.  </w:t>
      </w:r>
      <w:r w:rsidR="00B12837">
        <w:t>The following describes the calculation of the</w:t>
      </w:r>
      <w:r>
        <w:t xml:space="preserve"> components of each quarter’s stability index (</w:t>
      </w:r>
      <w:proofErr w:type="spellStart"/>
      <w:r w:rsidR="005B30D8" w:rsidRPr="005B30D8">
        <w:rPr>
          <w:i/>
        </w:rPr>
        <w:t>S</w:t>
      </w:r>
      <w:r w:rsidR="005B30D8" w:rsidRPr="005B30D8">
        <w:rPr>
          <w:i/>
          <w:vertAlign w:val="subscript"/>
        </w:rPr>
        <w:t>qj</w:t>
      </w:r>
      <w:proofErr w:type="spellEnd"/>
      <w:r>
        <w:t>): the</w:t>
      </w:r>
      <w:r w:rsidR="00B12837">
        <w:t xml:space="preserve"> quarterly contract-level </w:t>
      </w:r>
      <w:r>
        <w:t xml:space="preserve">cost </w:t>
      </w:r>
      <w:r w:rsidR="00B12837">
        <w:t>(</w:t>
      </w:r>
      <w:proofErr w:type="spellStart"/>
      <w:r w:rsidR="00B12837" w:rsidRPr="00212E75">
        <w:rPr>
          <w:i/>
        </w:rPr>
        <w:t>PDE</w:t>
      </w:r>
      <w:r w:rsidR="00B12837" w:rsidRPr="00212E75">
        <w:rPr>
          <w:i/>
          <w:vertAlign w:val="subscript"/>
        </w:rPr>
        <w:t>qj</w:t>
      </w:r>
      <w:proofErr w:type="spellEnd"/>
      <w:r w:rsidR="00B12837">
        <w:t>)</w:t>
      </w:r>
      <w:r>
        <w:t xml:space="preserve"> and the total expenditure (</w:t>
      </w:r>
      <w:proofErr w:type="gramStart"/>
      <w:r w:rsidR="005B30D8" w:rsidRPr="005B30D8">
        <w:rPr>
          <w:i/>
        </w:rPr>
        <w:t>TE</w:t>
      </w:r>
      <w:r w:rsidR="005B30D8" w:rsidRPr="005B30D8">
        <w:rPr>
          <w:i/>
          <w:vertAlign w:val="subscript"/>
        </w:rPr>
        <w:t>(</w:t>
      </w:r>
      <w:proofErr w:type="gramEnd"/>
      <w:r w:rsidR="005B30D8" w:rsidRPr="005B30D8">
        <w:rPr>
          <w:i/>
          <w:vertAlign w:val="subscript"/>
        </w:rPr>
        <w:t>q-1)j</w:t>
      </w:r>
      <w:r>
        <w:t xml:space="preserve">) </w:t>
      </w:r>
      <w:r w:rsidR="00B12837">
        <w:t>shown in equation (1).  In this discussion, t</w:t>
      </w:r>
      <w:r w:rsidR="00E51422">
        <w:t xml:space="preserve">he term “price” refers to the sum of ingredient cost and dispensing fee divided by quantity dispensed.  </w:t>
      </w:r>
    </w:p>
    <w:p w:rsidR="0048173E" w:rsidRDefault="0048173E" w:rsidP="0048173E">
      <w:pPr>
        <w:jc w:val="both"/>
        <w:rPr>
          <w:iCs/>
        </w:rPr>
      </w:pPr>
    </w:p>
    <w:p w:rsidR="00F909BD" w:rsidRDefault="00F909BD" w:rsidP="0048173E">
      <w:pPr>
        <w:jc w:val="both"/>
        <w:rPr>
          <w:iCs/>
        </w:rPr>
      </w:pPr>
    </w:p>
    <w:p w:rsidR="00AF01B9" w:rsidRPr="0048173E" w:rsidRDefault="00AF01B9" w:rsidP="0048173E">
      <w:pPr>
        <w:jc w:val="both"/>
        <w:rPr>
          <w:iCs/>
        </w:rPr>
      </w:pPr>
      <w:r w:rsidRPr="0048173E">
        <w:rPr>
          <w:rStyle w:val="IntenseEmphasis"/>
        </w:rPr>
        <w:t xml:space="preserve">Construction of the </w:t>
      </w:r>
      <w:r w:rsidR="00DB4798">
        <w:rPr>
          <w:rStyle w:val="IntenseEmphasis"/>
        </w:rPr>
        <w:t xml:space="preserve">Quarterly </w:t>
      </w:r>
      <w:r w:rsidRPr="0048173E">
        <w:rPr>
          <w:rStyle w:val="IntenseEmphasis"/>
        </w:rPr>
        <w:t>Contract-</w:t>
      </w:r>
      <w:r w:rsidR="00C35E3B">
        <w:rPr>
          <w:rStyle w:val="IntenseEmphasis"/>
        </w:rPr>
        <w:t>l</w:t>
      </w:r>
      <w:r w:rsidRPr="0048173E">
        <w:rPr>
          <w:rStyle w:val="IntenseEmphasis"/>
        </w:rPr>
        <w:t xml:space="preserve">evel </w:t>
      </w:r>
      <w:r w:rsidR="00154507">
        <w:rPr>
          <w:rStyle w:val="IntenseEmphasis"/>
        </w:rPr>
        <w:t>Cost</w:t>
      </w:r>
      <w:r w:rsidR="00154507" w:rsidRPr="0048173E">
        <w:rPr>
          <w:rStyle w:val="IntenseEmphasis"/>
        </w:rPr>
        <w:t xml:space="preserve"> </w:t>
      </w:r>
      <w:r w:rsidR="0048173E" w:rsidRPr="0048173E">
        <w:rPr>
          <w:rStyle w:val="IntenseEmphasis"/>
        </w:rPr>
        <w:t>(</w:t>
      </w:r>
      <w:proofErr w:type="spellStart"/>
      <w:r w:rsidR="00B66CE4" w:rsidRPr="0048173E">
        <w:rPr>
          <w:rStyle w:val="IntenseEmphasis"/>
        </w:rPr>
        <w:t>PDE</w:t>
      </w:r>
      <w:r w:rsidR="00DB4798" w:rsidRPr="00DB4798">
        <w:rPr>
          <w:rStyle w:val="IntenseEmphasis"/>
          <w:vertAlign w:val="subscript"/>
        </w:rPr>
        <w:t>q</w:t>
      </w:r>
      <w:r w:rsidR="00B66CE4" w:rsidRPr="00DB4798">
        <w:rPr>
          <w:rStyle w:val="IntenseEmphasis"/>
          <w:vertAlign w:val="subscript"/>
        </w:rPr>
        <w:t>j</w:t>
      </w:r>
      <w:proofErr w:type="spellEnd"/>
      <w:r w:rsidR="007A6EF3">
        <w:rPr>
          <w:rStyle w:val="IntenseEmphasis"/>
        </w:rPr>
        <w:t>)</w:t>
      </w:r>
    </w:p>
    <w:p w:rsidR="0048173E" w:rsidRDefault="0048173E" w:rsidP="0048173E">
      <w:pPr>
        <w:ind w:firstLine="720"/>
        <w:jc w:val="both"/>
      </w:pPr>
    </w:p>
    <w:p w:rsidR="008A1B96" w:rsidRDefault="008A1B96" w:rsidP="0048173E">
      <w:pPr>
        <w:ind w:firstLine="720"/>
        <w:jc w:val="both"/>
      </w:pPr>
      <w:proofErr w:type="spellStart"/>
      <w:r w:rsidRPr="00434C96">
        <w:rPr>
          <w:i/>
        </w:rPr>
        <w:t>PDE</w:t>
      </w:r>
      <w:r w:rsidRPr="00434C96">
        <w:rPr>
          <w:i/>
          <w:vertAlign w:val="subscript"/>
        </w:rPr>
        <w:t>qj</w:t>
      </w:r>
      <w:proofErr w:type="spellEnd"/>
      <w:r>
        <w:t xml:space="preserve"> </w:t>
      </w:r>
      <w:r w:rsidR="00154507">
        <w:t>is the total cost of the basket of drugs defined by the previous quarter’s utilization.  It</w:t>
      </w:r>
      <w:r w:rsidR="003E29B6">
        <w:t xml:space="preserve"> is the sum </w:t>
      </w:r>
      <w:r w:rsidR="00154507">
        <w:t>of the total cost of each drug</w:t>
      </w:r>
      <w:r w:rsidR="003E29B6">
        <w:t xml:space="preserve">, </w:t>
      </w:r>
      <w:proofErr w:type="spellStart"/>
      <w:r w:rsidR="00553293" w:rsidRPr="00553293">
        <w:rPr>
          <w:i/>
        </w:rPr>
        <w:t>PDE</w:t>
      </w:r>
      <w:r w:rsidR="00553293" w:rsidRPr="00553293">
        <w:rPr>
          <w:i/>
          <w:vertAlign w:val="subscript"/>
        </w:rPr>
        <w:t>qij</w:t>
      </w:r>
      <w:proofErr w:type="spellEnd"/>
      <w:r w:rsidR="003E29B6">
        <w:t>:</w:t>
      </w:r>
    </w:p>
    <w:p w:rsidR="003E29B6" w:rsidRDefault="003E29B6" w:rsidP="0048173E">
      <w:pPr>
        <w:ind w:firstLine="720"/>
        <w:jc w:val="both"/>
      </w:pPr>
    </w:p>
    <w:p w:rsidR="003E29B6" w:rsidRDefault="003E29B6" w:rsidP="003E29B6">
      <w:pPr>
        <w:numPr>
          <w:ilvl w:val="0"/>
          <w:numId w:val="10"/>
        </w:numPr>
        <w:jc w:val="both"/>
      </w:pPr>
      <w:r>
        <w:tab/>
        <w:t xml:space="preserve"> </w:t>
      </w:r>
      <m:oMath>
        <m:sSub>
          <m:sSubPr>
            <m:ctrlPr>
              <w:rPr>
                <w:rFonts w:ascii="Cambria Math" w:hAnsi="Cambria Math"/>
                <w:i/>
              </w:rPr>
            </m:ctrlPr>
          </m:sSubPr>
          <m:e>
            <m:r>
              <w:rPr>
                <w:rFonts w:ascii="Cambria Math" w:hAnsi="Cambria Math"/>
              </w:rPr>
              <m:t>PDE</m:t>
            </m:r>
          </m:e>
          <m:sub>
            <m:r>
              <w:rPr>
                <w:rFonts w:ascii="Cambria Math" w:hAnsi="Cambria Math"/>
              </w:rPr>
              <m:t>qj</m:t>
            </m:r>
          </m:sub>
        </m:sSub>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PDE</m:t>
                </m:r>
              </m:e>
              <m:sub>
                <m:r>
                  <w:rPr>
                    <w:rFonts w:ascii="Cambria Math" w:hAnsi="Cambria Math"/>
                  </w:rPr>
                  <m:t>qij</m:t>
                </m:r>
              </m:sub>
            </m:sSub>
          </m:e>
        </m:nary>
      </m:oMath>
    </w:p>
    <w:p w:rsidR="00AF01B9" w:rsidRDefault="00AF01B9" w:rsidP="0048173E">
      <w:pPr>
        <w:ind w:firstLine="720"/>
        <w:jc w:val="both"/>
      </w:pPr>
      <w:r>
        <w:t xml:space="preserve"> </w:t>
      </w:r>
    </w:p>
    <w:p w:rsidR="00AF01B9" w:rsidRDefault="00212E75" w:rsidP="0048173E">
      <w:pPr>
        <w:ind w:firstLine="720"/>
        <w:jc w:val="both"/>
      </w:pPr>
      <w:proofErr w:type="spellStart"/>
      <w:r>
        <w:rPr>
          <w:i/>
        </w:rPr>
        <w:t>PDE</w:t>
      </w:r>
      <w:r>
        <w:rPr>
          <w:i/>
          <w:vertAlign w:val="subscript"/>
        </w:rPr>
        <w:t>qij</w:t>
      </w:r>
      <w:proofErr w:type="spellEnd"/>
      <w:r>
        <w:t xml:space="preserve"> is the</w:t>
      </w:r>
      <w:r w:rsidR="00C31CB5">
        <w:t xml:space="preserve"> drug-level</w:t>
      </w:r>
      <w:r>
        <w:t xml:space="preserve"> </w:t>
      </w:r>
      <w:r w:rsidR="0011689C">
        <w:t>total cost</w:t>
      </w:r>
      <w:r>
        <w:t xml:space="preserve"> for quarter </w:t>
      </w:r>
      <w:r w:rsidRPr="00212E75">
        <w:rPr>
          <w:i/>
        </w:rPr>
        <w:t>q</w:t>
      </w:r>
      <w:r>
        <w:t xml:space="preserve">, drug </w:t>
      </w:r>
      <w:proofErr w:type="spellStart"/>
      <w:r w:rsidR="00553293" w:rsidRPr="00553293">
        <w:rPr>
          <w:i/>
        </w:rPr>
        <w:t>i</w:t>
      </w:r>
      <w:proofErr w:type="spellEnd"/>
      <w:r>
        <w:t xml:space="preserve">, and contract </w:t>
      </w:r>
      <w:r w:rsidR="00553293" w:rsidRPr="00553293">
        <w:rPr>
          <w:i/>
        </w:rPr>
        <w:t>j</w:t>
      </w:r>
      <w:r>
        <w:t xml:space="preserve">.  It is equal to the total quantity of drug </w:t>
      </w:r>
      <w:proofErr w:type="spellStart"/>
      <w:r>
        <w:rPr>
          <w:i/>
        </w:rPr>
        <w:t>i</w:t>
      </w:r>
      <w:proofErr w:type="spellEnd"/>
      <w:r>
        <w:rPr>
          <w:i/>
        </w:rPr>
        <w:t xml:space="preserve"> </w:t>
      </w:r>
      <w:r>
        <w:t xml:space="preserve">sold in </w:t>
      </w:r>
      <w:r w:rsidR="000620DD">
        <w:t>the previous quarter</w:t>
      </w:r>
      <w:r>
        <w:t xml:space="preserve"> times the </w:t>
      </w:r>
      <w:r w:rsidR="00EA41FF">
        <w:t>unit cost</w:t>
      </w:r>
      <w:r>
        <w:t xml:space="preserve"> of drug </w:t>
      </w:r>
      <w:proofErr w:type="spellStart"/>
      <w:r>
        <w:rPr>
          <w:i/>
        </w:rPr>
        <w:t>i</w:t>
      </w:r>
      <w:proofErr w:type="spellEnd"/>
      <w:r>
        <w:rPr>
          <w:i/>
        </w:rPr>
        <w:t xml:space="preserve"> </w:t>
      </w:r>
      <w:r>
        <w:t xml:space="preserve">in quarter </w:t>
      </w:r>
      <w:r>
        <w:rPr>
          <w:i/>
        </w:rPr>
        <w:t>q</w:t>
      </w:r>
      <w:r w:rsidR="00553293" w:rsidRPr="00553293">
        <w:t>.</w:t>
      </w:r>
      <w:r>
        <w:t xml:space="preserve">  </w:t>
      </w:r>
      <w:r w:rsidR="00AF01B9" w:rsidRPr="00212E75">
        <w:t>The</w:t>
      </w:r>
      <w:r w:rsidR="00AF01B9">
        <w:t xml:space="preserve"> formula used for calculating </w:t>
      </w:r>
      <w:proofErr w:type="spellStart"/>
      <w:r w:rsidR="003E29B6">
        <w:rPr>
          <w:i/>
        </w:rPr>
        <w:t>PDE</w:t>
      </w:r>
      <w:r w:rsidR="003E29B6">
        <w:rPr>
          <w:i/>
          <w:vertAlign w:val="subscript"/>
        </w:rPr>
        <w:t>qij</w:t>
      </w:r>
      <w:proofErr w:type="spellEnd"/>
      <w:r w:rsidR="003E29B6">
        <w:rPr>
          <w:i/>
        </w:rPr>
        <w:t xml:space="preserve"> </w:t>
      </w:r>
      <w:r w:rsidR="00AF01B9">
        <w:t xml:space="preserve">takes the form: </w:t>
      </w:r>
    </w:p>
    <w:p w:rsidR="003E29B6" w:rsidRDefault="003E29B6" w:rsidP="0048173E">
      <w:pPr>
        <w:ind w:firstLine="720"/>
        <w:jc w:val="both"/>
      </w:pPr>
    </w:p>
    <w:p w:rsidR="003E29B6" w:rsidRDefault="003E29B6" w:rsidP="003E29B6">
      <w:pPr>
        <w:numPr>
          <w:ilvl w:val="0"/>
          <w:numId w:val="10"/>
        </w:numPr>
        <w:jc w:val="both"/>
      </w:pPr>
      <w:r>
        <w:tab/>
        <w:t xml:space="preserve"> </w:t>
      </w:r>
      <m:oMath>
        <m:sSub>
          <m:sSubPr>
            <m:ctrlPr>
              <w:rPr>
                <w:rFonts w:ascii="Cambria Math" w:hAnsi="Cambria Math"/>
                <w:i/>
              </w:rPr>
            </m:ctrlPr>
          </m:sSubPr>
          <m:e>
            <m:r>
              <w:rPr>
                <w:rFonts w:ascii="Cambria Math" w:hAnsi="Cambria Math"/>
              </w:rPr>
              <m:t>PDE</m:t>
            </m:r>
          </m:e>
          <m:sub>
            <m:r>
              <w:rPr>
                <w:rFonts w:ascii="Cambria Math" w:hAnsi="Cambria Math"/>
              </w:rPr>
              <m:t>qij</m:t>
            </m:r>
          </m:sub>
        </m:sSub>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q-1</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q</m:t>
            </m:r>
          </m:sup>
        </m:sSubSup>
      </m:oMath>
    </w:p>
    <w:p w:rsidR="003E29B6" w:rsidRDefault="003E29B6" w:rsidP="0048173E">
      <w:pPr>
        <w:ind w:firstLine="720"/>
        <w:jc w:val="both"/>
      </w:pPr>
    </w:p>
    <w:p w:rsidR="009A3C82" w:rsidRDefault="000304D2" w:rsidP="0048173E">
      <w:pPr>
        <w:ind w:firstLine="720"/>
        <w:jc w:val="both"/>
        <w:rPr>
          <w:position w:val="-14"/>
        </w:rPr>
      </w:pPr>
      <w:proofErr w:type="gramStart"/>
      <w:r>
        <w:t>where</w:t>
      </w:r>
      <w:proofErr w:type="gramEnd"/>
      <w:r>
        <w:t>:</w:t>
      </w:r>
      <w:bookmarkStart w:id="0" w:name="_Toc257032079"/>
      <w:bookmarkStart w:id="1" w:name="_Toc257302782"/>
    </w:p>
    <w:p w:rsidR="003E29B6" w:rsidRDefault="00B05A8B" w:rsidP="003E29B6">
      <w:pPr>
        <w:ind w:left="1080" w:hanging="360"/>
        <w:jc w:val="both"/>
      </w:pP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q</m:t>
            </m:r>
          </m:sup>
        </m:sSubSup>
      </m:oMath>
      <w:r w:rsidR="00F26B2F">
        <w:t xml:space="preserve"> </w:t>
      </w:r>
      <w:proofErr w:type="gramStart"/>
      <w:r w:rsidR="00670630">
        <w:t>is</w:t>
      </w:r>
      <w:proofErr w:type="gramEnd"/>
      <w:r w:rsidR="00670630">
        <w:t xml:space="preserve"> the m</w:t>
      </w:r>
      <w:r w:rsidR="00C35E3B">
        <w:t>ean</w:t>
      </w:r>
      <w:r w:rsidR="00670630">
        <w:t xml:space="preserve"> </w:t>
      </w:r>
      <w:r w:rsidR="00F26B2F">
        <w:t>unit cost</w:t>
      </w:r>
      <w:r w:rsidR="00670630">
        <w:t xml:space="preserve"> for </w:t>
      </w:r>
      <w:r w:rsidR="00AF01B9">
        <w:t xml:space="preserve">drug </w:t>
      </w:r>
      <w:proofErr w:type="spellStart"/>
      <w:r w:rsidR="00AF01B9" w:rsidRPr="007F7943">
        <w:rPr>
          <w:i/>
        </w:rPr>
        <w:t>i</w:t>
      </w:r>
      <w:proofErr w:type="spellEnd"/>
      <w:r w:rsidR="00AF01B9" w:rsidRPr="0048173E">
        <w:t xml:space="preserve"> </w:t>
      </w:r>
      <w:r w:rsidR="00AF01B9" w:rsidRPr="00E61068">
        <w:t>by</w:t>
      </w:r>
      <w:r w:rsidR="00670630">
        <w:t xml:space="preserve"> beneficiaries in contract </w:t>
      </w:r>
      <w:r w:rsidR="00670630" w:rsidRPr="00DB4798">
        <w:rPr>
          <w:i/>
        </w:rPr>
        <w:t>j</w:t>
      </w:r>
      <w:r w:rsidR="00110152">
        <w:t xml:space="preserve"> in </w:t>
      </w:r>
      <w:r w:rsidR="003E29B6">
        <w:t xml:space="preserve">quarter </w:t>
      </w:r>
      <w:r w:rsidR="003E29B6">
        <w:rPr>
          <w:i/>
        </w:rPr>
        <w:t>q</w:t>
      </w:r>
      <w:r w:rsidR="00AF01B9">
        <w:t xml:space="preserve"> </w:t>
      </w:r>
    </w:p>
    <w:p w:rsidR="004B6923" w:rsidRDefault="00B05A8B">
      <w:pPr>
        <w:ind w:left="1080" w:hanging="360"/>
        <w:jc w:val="both"/>
      </w:pPr>
      <m:oMath>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q-1</m:t>
            </m:r>
          </m:sup>
        </m:sSubSup>
      </m:oMath>
      <w:r w:rsidR="00AF01B9" w:rsidRPr="00EE5BBF">
        <w:t> </w:t>
      </w:r>
      <w:proofErr w:type="gramStart"/>
      <w:r w:rsidR="00212E75">
        <w:t>is</w:t>
      </w:r>
      <w:proofErr w:type="gramEnd"/>
      <w:r w:rsidR="00212E75" w:rsidRPr="00EE5BBF">
        <w:t xml:space="preserve"> </w:t>
      </w:r>
      <w:r w:rsidR="00AF01B9" w:rsidRPr="00EE5BBF">
        <w:t xml:space="preserve">the quantity of product </w:t>
      </w:r>
      <w:proofErr w:type="spellStart"/>
      <w:r w:rsidR="00AF01B9" w:rsidRPr="007F7943">
        <w:rPr>
          <w:i/>
        </w:rPr>
        <w:t>i</w:t>
      </w:r>
      <w:proofErr w:type="spellEnd"/>
      <w:r w:rsidR="00AF01B9" w:rsidRPr="00EE5BBF">
        <w:t xml:space="preserve"> </w:t>
      </w:r>
      <w:r w:rsidR="00670630">
        <w:t>purchased by beneficiaries in</w:t>
      </w:r>
      <w:r w:rsidR="00AF01B9">
        <w:t xml:space="preserve"> </w:t>
      </w:r>
      <w:r w:rsidR="00110152">
        <w:t xml:space="preserve">contract </w:t>
      </w:r>
      <w:r w:rsidR="00110152" w:rsidRPr="00DB4798">
        <w:rPr>
          <w:i/>
        </w:rPr>
        <w:t>j</w:t>
      </w:r>
      <w:r w:rsidR="00496F0B">
        <w:rPr>
          <w:i/>
        </w:rPr>
        <w:t xml:space="preserve"> </w:t>
      </w:r>
      <w:r w:rsidR="00496F0B">
        <w:t xml:space="preserve">during </w:t>
      </w:r>
      <w:r w:rsidR="000620DD">
        <w:t>the previous quarter</w:t>
      </w:r>
      <w:r w:rsidR="00496F0B">
        <w:t>.</w:t>
      </w:r>
    </w:p>
    <w:p w:rsidR="00FC69AF" w:rsidRDefault="00FC69AF">
      <w:pPr>
        <w:ind w:left="1080" w:hanging="360"/>
        <w:jc w:val="both"/>
      </w:pPr>
    </w:p>
    <w:p w:rsidR="00FC69AF" w:rsidRPr="0048173E" w:rsidRDefault="00FC69AF" w:rsidP="00FC69AF">
      <w:pPr>
        <w:jc w:val="both"/>
        <w:rPr>
          <w:iCs/>
        </w:rPr>
      </w:pPr>
      <w:r w:rsidRPr="0048173E">
        <w:rPr>
          <w:rStyle w:val="IntenseEmphasis"/>
        </w:rPr>
        <w:t xml:space="preserve">Construction of the </w:t>
      </w:r>
      <w:r>
        <w:rPr>
          <w:rStyle w:val="IntenseEmphasis"/>
        </w:rPr>
        <w:t xml:space="preserve">Quarterly </w:t>
      </w:r>
      <w:r w:rsidRPr="0048173E">
        <w:rPr>
          <w:rStyle w:val="IntenseEmphasis"/>
        </w:rPr>
        <w:t>Contract-</w:t>
      </w:r>
      <w:r>
        <w:rPr>
          <w:rStyle w:val="IntenseEmphasis"/>
        </w:rPr>
        <w:t>l</w:t>
      </w:r>
      <w:r w:rsidRPr="0048173E">
        <w:rPr>
          <w:rStyle w:val="IntenseEmphasis"/>
        </w:rPr>
        <w:t xml:space="preserve">evel </w:t>
      </w:r>
      <w:r>
        <w:rPr>
          <w:rStyle w:val="IntenseEmphasis"/>
        </w:rPr>
        <w:t>Total Expenditure</w:t>
      </w:r>
      <w:r w:rsidRPr="0048173E">
        <w:rPr>
          <w:rStyle w:val="IntenseEmphasis"/>
        </w:rPr>
        <w:t xml:space="preserve"> (</w:t>
      </w:r>
      <w:proofErr w:type="spellStart"/>
      <w:r>
        <w:rPr>
          <w:rStyle w:val="IntenseEmphasis"/>
        </w:rPr>
        <w:t>T</w:t>
      </w:r>
      <w:r w:rsidRPr="0048173E">
        <w:rPr>
          <w:rStyle w:val="IntenseEmphasis"/>
        </w:rPr>
        <w:t>E</w:t>
      </w:r>
      <w:r w:rsidRPr="00DB4798">
        <w:rPr>
          <w:rStyle w:val="IntenseEmphasis"/>
          <w:vertAlign w:val="subscript"/>
        </w:rPr>
        <w:t>qj</w:t>
      </w:r>
      <w:proofErr w:type="spellEnd"/>
      <w:r>
        <w:rPr>
          <w:rStyle w:val="IntenseEmphasis"/>
        </w:rPr>
        <w:t>)</w:t>
      </w:r>
    </w:p>
    <w:p w:rsidR="0048700A" w:rsidRDefault="0048700A" w:rsidP="0048173E">
      <w:pPr>
        <w:ind w:firstLine="720"/>
        <w:jc w:val="both"/>
      </w:pPr>
    </w:p>
    <w:p w:rsidR="0048700A" w:rsidRDefault="005B30D8" w:rsidP="0048173E">
      <w:pPr>
        <w:ind w:firstLine="720"/>
        <w:jc w:val="both"/>
      </w:pPr>
      <w:proofErr w:type="spellStart"/>
      <w:r w:rsidRPr="005B30D8">
        <w:rPr>
          <w:i/>
        </w:rPr>
        <w:t>TE</w:t>
      </w:r>
      <w:r w:rsidRPr="005B30D8">
        <w:rPr>
          <w:i/>
          <w:vertAlign w:val="subscript"/>
        </w:rPr>
        <w:t>qj</w:t>
      </w:r>
      <w:proofErr w:type="spellEnd"/>
      <w:r w:rsidR="0048700A">
        <w:t xml:space="preserve"> is the total cost of the basket of drugs in the current quarter.  The calculation of the </w:t>
      </w:r>
      <w:proofErr w:type="spellStart"/>
      <w:r w:rsidR="008744C1" w:rsidRPr="008744C1">
        <w:rPr>
          <w:i/>
        </w:rPr>
        <w:t>TE</w:t>
      </w:r>
      <w:r w:rsidR="008744C1" w:rsidRPr="008744C1">
        <w:rPr>
          <w:i/>
          <w:vertAlign w:val="subscript"/>
        </w:rPr>
        <w:t>qj</w:t>
      </w:r>
      <w:proofErr w:type="spellEnd"/>
      <w:r w:rsidR="008744C1">
        <w:t xml:space="preserve"> </w:t>
      </w:r>
      <w:r w:rsidR="0048700A">
        <w:t xml:space="preserve">is identical to that of the </w:t>
      </w:r>
      <w:proofErr w:type="spellStart"/>
      <w:r w:rsidR="008744C1" w:rsidRPr="00434C96">
        <w:rPr>
          <w:i/>
        </w:rPr>
        <w:t>PDE</w:t>
      </w:r>
      <w:r w:rsidR="008744C1" w:rsidRPr="00434C96">
        <w:rPr>
          <w:i/>
          <w:vertAlign w:val="subscript"/>
        </w:rPr>
        <w:t>qj</w:t>
      </w:r>
      <w:proofErr w:type="spellEnd"/>
      <w:r w:rsidR="008744C1">
        <w:t xml:space="preserve"> </w:t>
      </w:r>
      <w:r w:rsidR="0048700A">
        <w:t xml:space="preserve">except that the current quarter quantities are used instead of the previous quarter.  Equation (3) therefore </w:t>
      </w:r>
      <w:r w:rsidR="008744C1">
        <w:t>becomes</w:t>
      </w:r>
      <w:r w:rsidR="0048700A">
        <w:t>:</w:t>
      </w:r>
    </w:p>
    <w:p w:rsidR="0048700A" w:rsidRDefault="0048700A" w:rsidP="0048173E">
      <w:pPr>
        <w:ind w:firstLine="720"/>
        <w:jc w:val="both"/>
      </w:pPr>
    </w:p>
    <w:p w:rsidR="0048700A" w:rsidRDefault="0048700A" w:rsidP="0048700A">
      <w:pPr>
        <w:numPr>
          <w:ilvl w:val="0"/>
          <w:numId w:val="10"/>
        </w:numPr>
        <w:jc w:val="both"/>
      </w:pPr>
      <w:r>
        <w:tab/>
        <w:t xml:space="preserve"> </w:t>
      </w:r>
      <m:oMath>
        <m:sSub>
          <m:sSubPr>
            <m:ctrlPr>
              <w:rPr>
                <w:rFonts w:ascii="Cambria Math" w:hAnsi="Cambria Math"/>
                <w:i/>
              </w:rPr>
            </m:ctrlPr>
          </m:sSubPr>
          <m:e>
            <m:r>
              <w:rPr>
                <w:rFonts w:ascii="Cambria Math" w:hAnsi="Cambria Math"/>
              </w:rPr>
              <m:t>TE</m:t>
            </m:r>
          </m:e>
          <m:sub>
            <m:r>
              <w:rPr>
                <w:rFonts w:ascii="Cambria Math" w:hAnsi="Cambria Math"/>
              </w:rPr>
              <m:t>qij</m:t>
            </m:r>
          </m:sub>
        </m:sSub>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q</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q</m:t>
            </m:r>
          </m:sup>
        </m:sSubSup>
      </m:oMath>
    </w:p>
    <w:p w:rsidR="00FC69AF" w:rsidRDefault="00FC69AF" w:rsidP="0048173E">
      <w:pPr>
        <w:ind w:firstLine="720"/>
        <w:jc w:val="both"/>
      </w:pPr>
    </w:p>
    <w:p w:rsidR="0048700A" w:rsidRDefault="0048700A" w:rsidP="0048173E">
      <w:pPr>
        <w:ind w:firstLine="720"/>
        <w:jc w:val="both"/>
      </w:pPr>
    </w:p>
    <w:p w:rsidR="00B05A8B" w:rsidRDefault="00A32409">
      <w:pPr>
        <w:keepNext/>
        <w:jc w:val="both"/>
        <w:rPr>
          <w:iCs/>
        </w:rPr>
      </w:pPr>
      <w:r>
        <w:rPr>
          <w:rStyle w:val="IntenseEmphasis"/>
        </w:rPr>
        <w:t>Example of Stability Index Calculation</w:t>
      </w:r>
    </w:p>
    <w:p w:rsidR="00B05A8B" w:rsidRDefault="00B05A8B">
      <w:pPr>
        <w:keepNext/>
        <w:ind w:firstLine="720"/>
        <w:jc w:val="both"/>
      </w:pPr>
    </w:p>
    <w:p w:rsidR="00A13F1B" w:rsidRDefault="00716F3D" w:rsidP="0048173E">
      <w:pPr>
        <w:ind w:firstLine="720"/>
        <w:jc w:val="both"/>
      </w:pPr>
      <w:r>
        <w:t xml:space="preserve">Table 1 </w:t>
      </w:r>
      <w:r w:rsidR="00A13F1B">
        <w:t>provides an</w:t>
      </w:r>
      <w:r>
        <w:t xml:space="preserve"> example calculation of the stability index for a contract</w:t>
      </w:r>
      <w:r w:rsidR="00F26B2F">
        <w:t xml:space="preserve"> (contract </w:t>
      </w:r>
      <w:r w:rsidR="00F26B2F">
        <w:rPr>
          <w:i/>
        </w:rPr>
        <w:t>j</w:t>
      </w:r>
      <w:r w:rsidR="00F26B2F">
        <w:t>)</w:t>
      </w:r>
      <w:r>
        <w:t xml:space="preserve"> with only two GSN-BGs </w:t>
      </w:r>
      <w:r w:rsidR="00A13F1B">
        <w:t>for quarters 1 and 2</w:t>
      </w:r>
      <w:r>
        <w:t>.</w:t>
      </w:r>
      <w:r w:rsidR="00A13F1B">
        <w:t xml:space="preserve">  This is an abbreviated example for illustrative purposes only.  </w:t>
      </w:r>
      <w:r>
        <w:t xml:space="preserve">  </w:t>
      </w:r>
      <w:r w:rsidR="00A13F1B">
        <w:t xml:space="preserve">The actual price stability </w:t>
      </w:r>
      <w:r w:rsidR="00611430">
        <w:t>index for each contract is</w:t>
      </w:r>
      <w:r w:rsidR="00A13F1B">
        <w:t xml:space="preserve"> based on a full year of PDE data, and is the average of the 3 quarterly indexes computed: quarter 1 to 2; quarter </w:t>
      </w:r>
      <w:r w:rsidR="00FB6B57">
        <w:t xml:space="preserve">2 </w:t>
      </w:r>
      <w:r w:rsidR="00A13F1B">
        <w:t xml:space="preserve">to 3; and quarter </w:t>
      </w:r>
      <w:r w:rsidR="00FB6B57">
        <w:t xml:space="preserve">3 </w:t>
      </w:r>
      <w:r w:rsidR="00A13F1B">
        <w:t xml:space="preserve">to 4.   </w:t>
      </w:r>
      <w:r>
        <w:t xml:space="preserve">  </w:t>
      </w:r>
    </w:p>
    <w:p w:rsidR="009A3C82" w:rsidRDefault="009A3C82" w:rsidP="0048173E">
      <w:pPr>
        <w:ind w:firstLine="720"/>
        <w:jc w:val="both"/>
      </w:pPr>
    </w:p>
    <w:p w:rsidR="00716F3D" w:rsidRDefault="00716F3D" w:rsidP="00AB3167">
      <w:pPr>
        <w:ind w:firstLine="720"/>
        <w:jc w:val="both"/>
      </w:pPr>
      <w:r>
        <w:t xml:space="preserve">The quantities from </w:t>
      </w:r>
      <w:r w:rsidR="000620DD">
        <w:t xml:space="preserve">the previous quarter (in this case, </w:t>
      </w:r>
      <w:r>
        <w:t>quarter 1</w:t>
      </w:r>
      <w:r w:rsidR="000620DD">
        <w:t>)</w:t>
      </w:r>
      <w:r>
        <w:t xml:space="preserve"> define the basket</w:t>
      </w:r>
      <w:r w:rsidR="00A13F1B">
        <w:t xml:space="preserve"> of drugs studied; t</w:t>
      </w:r>
      <w:r>
        <w:t xml:space="preserve">here are 100 units of drug 999999.B and 50 units of 999999.G sold </w:t>
      </w:r>
      <w:r w:rsidR="00A13F1B">
        <w:t xml:space="preserve">in </w:t>
      </w:r>
      <w:r>
        <w:t>that quarter.  In total, this basket costs $1,005 in quarter 1</w:t>
      </w:r>
      <w:r w:rsidR="00C31CB5">
        <w:t xml:space="preserve"> and this is the value of </w:t>
      </w:r>
      <w:proofErr w:type="spellStart"/>
      <w:r w:rsidR="0048700A">
        <w:rPr>
          <w:i/>
        </w:rPr>
        <w:t>TE</w:t>
      </w:r>
      <w:r w:rsidR="0048700A" w:rsidRPr="00553293">
        <w:rPr>
          <w:i/>
          <w:vertAlign w:val="subscript"/>
        </w:rPr>
        <w:t>qj</w:t>
      </w:r>
      <w:proofErr w:type="spellEnd"/>
      <w:r w:rsidR="0048700A">
        <w:t xml:space="preserve"> </w:t>
      </w:r>
      <w:r w:rsidR="00C31CB5">
        <w:t xml:space="preserve">when </w:t>
      </w:r>
      <w:r w:rsidR="00553293" w:rsidRPr="00553293">
        <w:rPr>
          <w:i/>
        </w:rPr>
        <w:t>q</w:t>
      </w:r>
      <w:r w:rsidR="00C31CB5">
        <w:t xml:space="preserve"> = 1</w:t>
      </w:r>
      <w:r>
        <w:t xml:space="preserve">.  A different number of units </w:t>
      </w:r>
      <w:r w:rsidR="008D0EC6">
        <w:t>are</w:t>
      </w:r>
      <w:r>
        <w:t xml:space="preserve"> sold in </w:t>
      </w:r>
      <w:r w:rsidR="00212E75">
        <w:t>quarter</w:t>
      </w:r>
      <w:r w:rsidR="009676B8">
        <w:t xml:space="preserve"> </w:t>
      </w:r>
      <w:r>
        <w:t>2</w:t>
      </w:r>
      <w:r w:rsidR="00EA41FF">
        <w:t xml:space="preserve">. </w:t>
      </w:r>
      <w:r w:rsidR="00AB3167">
        <w:t xml:space="preserve"> </w:t>
      </w:r>
      <w:r w:rsidR="00EA41FF">
        <w:t>T</w:t>
      </w:r>
      <w:r w:rsidR="00AB3167">
        <w:t>he</w:t>
      </w:r>
      <w:r w:rsidR="009676B8">
        <w:t xml:space="preserve"> quantity dispensed </w:t>
      </w:r>
      <w:r w:rsidR="00AB3167">
        <w:t xml:space="preserve">in </w:t>
      </w:r>
      <w:r w:rsidR="00212E75">
        <w:t>quarter</w:t>
      </w:r>
      <w:r w:rsidR="00AB3167">
        <w:t xml:space="preserve"> 2 </w:t>
      </w:r>
      <w:r w:rsidR="009676B8">
        <w:t xml:space="preserve">and the total </w:t>
      </w:r>
      <w:r w:rsidR="00FB0CB9">
        <w:t xml:space="preserve">drug level </w:t>
      </w:r>
      <w:r w:rsidR="009676B8">
        <w:t>expenditure</w:t>
      </w:r>
      <w:r>
        <w:t xml:space="preserve"> </w:t>
      </w:r>
      <w:r w:rsidR="00AB3167">
        <w:t>are</w:t>
      </w:r>
      <w:r w:rsidR="009676B8">
        <w:t xml:space="preserve"> used to </w:t>
      </w:r>
      <w:proofErr w:type="gramStart"/>
      <w:r>
        <w:t>determine</w:t>
      </w:r>
      <w:r w:rsidR="00C31CB5">
        <w:t xml:space="preserve"> </w:t>
      </w:r>
      <m:oMath>
        <w:proofErr w:type="gramEnd"/>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2</m:t>
            </m:r>
          </m:sup>
        </m:sSubSup>
      </m:oMath>
      <w:r w:rsidR="00C31CB5">
        <w:rPr>
          <w:sz w:val="16"/>
          <w:szCs w:val="16"/>
        </w:rPr>
        <w:t xml:space="preserve">, </w:t>
      </w:r>
      <w:r w:rsidR="009676B8">
        <w:t>the</w:t>
      </w:r>
      <w:r>
        <w:t xml:space="preserve"> </w:t>
      </w:r>
      <w:r w:rsidR="00212E75">
        <w:t>quarter</w:t>
      </w:r>
      <w:r w:rsidR="009676B8">
        <w:t xml:space="preserve"> 2 </w:t>
      </w:r>
      <w:r>
        <w:t>per-unit cost ($</w:t>
      </w:r>
      <w:r w:rsidR="00C31CB5">
        <w:t>10.25</w:t>
      </w:r>
      <w:r>
        <w:t xml:space="preserve"> and $0.</w:t>
      </w:r>
      <w:r w:rsidR="00C31CB5">
        <w:t>08</w:t>
      </w:r>
      <w:r>
        <w:t xml:space="preserve">, respectively for each drug).  </w:t>
      </w:r>
      <w:r w:rsidR="00C31CB5">
        <w:t>T</w:t>
      </w:r>
      <w:r w:rsidR="00A32409">
        <w:t xml:space="preserve">he </w:t>
      </w:r>
      <w:r w:rsidR="00C31CB5">
        <w:t xml:space="preserve">quarter 2 </w:t>
      </w:r>
      <w:r w:rsidR="00EA41FF">
        <w:t>c</w:t>
      </w:r>
      <w:r w:rsidR="00AC0DB1">
        <w:t>ontract</w:t>
      </w:r>
      <w:r w:rsidR="00C31CB5">
        <w:t>-l</w:t>
      </w:r>
      <w:r w:rsidR="00AC0DB1">
        <w:t xml:space="preserve">evel </w:t>
      </w:r>
      <w:r w:rsidR="0048700A">
        <w:t>cost</w:t>
      </w:r>
      <w:r w:rsidR="00AC0DB1">
        <w:t xml:space="preserve"> (</w:t>
      </w:r>
      <w:proofErr w:type="spellStart"/>
      <w:r w:rsidR="00553293" w:rsidRPr="00553293">
        <w:rPr>
          <w:i/>
        </w:rPr>
        <w:t>PDE</w:t>
      </w:r>
      <w:r w:rsidR="00AC0DB1">
        <w:rPr>
          <w:i/>
          <w:vertAlign w:val="subscript"/>
        </w:rPr>
        <w:t>qj</w:t>
      </w:r>
      <w:proofErr w:type="spellEnd"/>
      <w:r w:rsidR="00C31CB5">
        <w:t xml:space="preserve">, </w:t>
      </w:r>
      <w:r w:rsidR="00C31CB5">
        <w:rPr>
          <w:i/>
        </w:rPr>
        <w:t>q</w:t>
      </w:r>
      <w:r w:rsidR="00C31CB5">
        <w:t>=2</w:t>
      </w:r>
      <w:r w:rsidR="00AC0DB1">
        <w:t xml:space="preserve">) </w:t>
      </w:r>
      <w:r w:rsidR="00C31CB5">
        <w:t>is</w:t>
      </w:r>
      <w:r w:rsidR="00AC0DB1">
        <w:t xml:space="preserve"> calculated as</w:t>
      </w:r>
      <w:r w:rsidR="00C31CB5">
        <w:t xml:space="preserve"> the sum of each drug </w:t>
      </w:r>
      <w:r w:rsidR="0048700A">
        <w:t>cost</w:t>
      </w:r>
      <w:r w:rsidR="00C31CB5">
        <w:t xml:space="preserve"> (equation (2)).  The drug </w:t>
      </w:r>
      <w:r w:rsidR="0048700A">
        <w:t>cost</w:t>
      </w:r>
      <w:r w:rsidR="00C31CB5">
        <w:t xml:space="preserve"> (</w:t>
      </w:r>
      <w:proofErr w:type="spellStart"/>
      <w:r w:rsidR="00C31CB5" w:rsidRPr="00C31CB5">
        <w:rPr>
          <w:i/>
        </w:rPr>
        <w:t>PDE</w:t>
      </w:r>
      <w:r w:rsidR="00C31CB5">
        <w:rPr>
          <w:i/>
          <w:vertAlign w:val="subscript"/>
        </w:rPr>
        <w:t>qij</w:t>
      </w:r>
      <w:proofErr w:type="spellEnd"/>
      <w:r w:rsidR="00C31CB5">
        <w:t xml:space="preserve">, </w:t>
      </w:r>
      <w:r w:rsidR="00C31CB5">
        <w:rPr>
          <w:i/>
        </w:rPr>
        <w:t>q</w:t>
      </w:r>
      <w:r w:rsidR="00C31CB5">
        <w:t>=2) is the quantity from quarter 1 (</w:t>
      </w:r>
      <m:oMath>
        <m:sSubSup>
          <m:sSubSupPr>
            <m:ctrlPr>
              <w:rPr>
                <w:rFonts w:ascii="Cambria Math" w:hAnsi="Cambria Math"/>
                <w:i/>
              </w:rPr>
            </m:ctrlPr>
          </m:sSubSupPr>
          <m:e>
            <m:r>
              <w:rPr>
                <w:rFonts w:ascii="Cambria Math" w:hAnsi="Cambria Math"/>
              </w:rPr>
              <m:t>Q</m:t>
            </m:r>
          </m:e>
          <m:sub>
            <m:r>
              <w:rPr>
                <w:rFonts w:ascii="Cambria Math" w:hAnsi="Cambria Math"/>
              </w:rPr>
              <m:t>ij</m:t>
            </m:r>
          </m:sub>
          <m:sup>
            <m:r>
              <w:rPr>
                <w:rFonts w:ascii="Cambria Math" w:hAnsi="Cambria Math"/>
              </w:rPr>
              <m:t>1</m:t>
            </m:r>
          </m:sup>
        </m:sSubSup>
      </m:oMath>
      <w:r w:rsidR="00C31CB5">
        <w:t>) times t</w:t>
      </w:r>
      <w:r w:rsidR="00C81D5F">
        <w:t>he per-unit cost from quarter 2 (</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2</m:t>
            </m:r>
          </m:sup>
        </m:sSubSup>
      </m:oMath>
      <w:r w:rsidR="00C81D5F">
        <w:t>) f</w:t>
      </w:r>
      <w:r w:rsidR="00C31CB5">
        <w:t xml:space="preserve">or each drug (equation (3)).  </w:t>
      </w:r>
      <w:r w:rsidR="00A32409">
        <w:t xml:space="preserve">  The stability index is computed as $1,</w:t>
      </w:r>
      <w:r w:rsidR="00C81D5F">
        <w:t>029</w:t>
      </w:r>
      <w:r w:rsidR="00A32409">
        <w:t>/$1,0</w:t>
      </w:r>
      <w:r w:rsidR="00C81D5F">
        <w:t>05</w:t>
      </w:r>
      <w:r w:rsidR="00A32409">
        <w:t xml:space="preserve"> or 1.0</w:t>
      </w:r>
      <w:r w:rsidR="00C81D5F">
        <w:t>2388</w:t>
      </w:r>
      <w:r w:rsidR="00A32409">
        <w:t>.</w:t>
      </w:r>
      <w:r w:rsidR="00A36D8B">
        <w:t xml:space="preserve">  </w:t>
      </w:r>
      <w:r w:rsidR="00C81D5F">
        <w:t xml:space="preserve">If quarters 3 and 4 were included, the stability index would be the average of 1.02388 and the other two values computed for quarters 2 to 3 and quarters 3 to 4.  </w:t>
      </w:r>
    </w:p>
    <w:p w:rsidR="00D6708F" w:rsidRDefault="00D6708F" w:rsidP="00D6708F">
      <w:pPr>
        <w:pStyle w:val="Caption"/>
        <w:keepNext/>
        <w:jc w:val="left"/>
      </w:pPr>
    </w:p>
    <w:p w:rsidR="00553293" w:rsidRDefault="00A13F1B" w:rsidP="00553293">
      <w:pPr>
        <w:pStyle w:val="Caption"/>
        <w:keepNext/>
        <w:jc w:val="left"/>
      </w:pPr>
      <w:r>
        <w:t xml:space="preserve"> </w:t>
      </w:r>
      <w:proofErr w:type="gramStart"/>
      <w:r w:rsidR="00D6708F">
        <w:t xml:space="preserve">Table </w:t>
      </w:r>
      <w:r w:rsidR="00B05A8B">
        <w:rPr>
          <w:b w:val="0"/>
          <w:bCs w:val="0"/>
        </w:rPr>
        <w:fldChar w:fldCharType="begin"/>
      </w:r>
      <w:r w:rsidR="00D6708F">
        <w:instrText xml:space="preserve"> SEQ Table \* ARABIC </w:instrText>
      </w:r>
      <w:r w:rsidR="00B05A8B">
        <w:rPr>
          <w:b w:val="0"/>
          <w:bCs w:val="0"/>
        </w:rPr>
        <w:fldChar w:fldCharType="separate"/>
      </w:r>
      <w:r w:rsidR="007F60C1">
        <w:rPr>
          <w:noProof/>
        </w:rPr>
        <w:t>1</w:t>
      </w:r>
      <w:r w:rsidR="00B05A8B">
        <w:rPr>
          <w:b w:val="0"/>
          <w:bCs w:val="0"/>
        </w:rPr>
        <w:fldChar w:fldCharType="end"/>
      </w:r>
      <w:r w:rsidR="00D6708F">
        <w:t>.</w:t>
      </w:r>
      <w:proofErr w:type="gramEnd"/>
      <w:r w:rsidR="00D6708F">
        <w:t xml:space="preserve"> </w:t>
      </w:r>
      <w:r w:rsidR="00D6708F">
        <w:rPr>
          <w:b w:val="0"/>
        </w:rPr>
        <w:t>Example of Stability Index Calculation</w:t>
      </w:r>
    </w:p>
    <w:tbl>
      <w:tblPr>
        <w:tblW w:w="9551" w:type="dxa"/>
        <w:tblInd w:w="97" w:type="dxa"/>
        <w:tblLook w:val="04A0"/>
      </w:tblPr>
      <w:tblGrid>
        <w:gridCol w:w="1901"/>
        <w:gridCol w:w="1170"/>
        <w:gridCol w:w="810"/>
        <w:gridCol w:w="810"/>
        <w:gridCol w:w="1024"/>
        <w:gridCol w:w="956"/>
        <w:gridCol w:w="990"/>
        <w:gridCol w:w="1890"/>
      </w:tblGrid>
      <w:tr w:rsidR="00FB6B57" w:rsidRPr="00FB6B57" w:rsidTr="00FB6B57">
        <w:trPr>
          <w:trHeight w:val="300"/>
        </w:trPr>
        <w:tc>
          <w:tcPr>
            <w:tcW w:w="1901" w:type="dxa"/>
            <w:vMerge w:val="restart"/>
            <w:tcBorders>
              <w:top w:val="single" w:sz="4" w:space="0" w:color="auto"/>
              <w:left w:val="single" w:sz="4" w:space="0" w:color="auto"/>
              <w:bottom w:val="single" w:sz="4" w:space="0" w:color="auto"/>
              <w:right w:val="single" w:sz="4" w:space="0" w:color="auto"/>
            </w:tcBorders>
            <w:shd w:val="clear" w:color="000000" w:fill="DBE5F1"/>
            <w:noWrap/>
            <w:vAlign w:val="center"/>
            <w:hideMark/>
          </w:tcPr>
          <w:p w:rsidR="00FB6B57" w:rsidRPr="00FB6B57" w:rsidRDefault="00553293" w:rsidP="00FB6B57">
            <w:pPr>
              <w:tabs>
                <w:tab w:val="center" w:pos="4320"/>
                <w:tab w:val="right" w:pos="8640"/>
              </w:tabs>
              <w:jc w:val="center"/>
              <w:rPr>
                <w:rFonts w:asciiTheme="minorHAnsi" w:hAnsiTheme="minorHAnsi"/>
                <w:b/>
                <w:bCs/>
                <w:color w:val="000000"/>
                <w:sz w:val="16"/>
                <w:szCs w:val="16"/>
              </w:rPr>
            </w:pPr>
            <w:r w:rsidRPr="00553293">
              <w:rPr>
                <w:rFonts w:asciiTheme="minorHAnsi" w:hAnsiTheme="minorHAnsi"/>
                <w:b/>
                <w:bCs/>
                <w:color w:val="000000"/>
                <w:sz w:val="16"/>
                <w:szCs w:val="16"/>
              </w:rPr>
              <w:t>GSN_BG</w:t>
            </w:r>
          </w:p>
        </w:tc>
        <w:tc>
          <w:tcPr>
            <w:tcW w:w="2790" w:type="dxa"/>
            <w:gridSpan w:val="3"/>
            <w:tcBorders>
              <w:top w:val="single" w:sz="4" w:space="0" w:color="auto"/>
              <w:left w:val="nil"/>
              <w:bottom w:val="single" w:sz="4" w:space="0" w:color="auto"/>
              <w:right w:val="single" w:sz="4" w:space="0" w:color="auto"/>
            </w:tcBorders>
            <w:shd w:val="clear" w:color="000000" w:fill="DBE5F1"/>
            <w:noWrap/>
            <w:vAlign w:val="center"/>
            <w:hideMark/>
          </w:tcPr>
          <w:p w:rsidR="00FB6B57" w:rsidRPr="00FB6B57" w:rsidRDefault="00553293" w:rsidP="00FB6B57">
            <w:pPr>
              <w:tabs>
                <w:tab w:val="center" w:pos="4320"/>
                <w:tab w:val="right" w:pos="8640"/>
              </w:tabs>
              <w:jc w:val="center"/>
              <w:rPr>
                <w:rFonts w:asciiTheme="minorHAnsi" w:hAnsiTheme="minorHAnsi"/>
                <w:b/>
                <w:bCs/>
                <w:color w:val="000000"/>
                <w:sz w:val="16"/>
                <w:szCs w:val="16"/>
              </w:rPr>
            </w:pPr>
            <w:r w:rsidRPr="00553293">
              <w:rPr>
                <w:rFonts w:asciiTheme="minorHAnsi" w:hAnsiTheme="minorHAnsi"/>
                <w:b/>
                <w:bCs/>
                <w:color w:val="000000"/>
                <w:sz w:val="16"/>
                <w:szCs w:val="16"/>
              </w:rPr>
              <w:t>Quarter 1</w:t>
            </w:r>
          </w:p>
        </w:tc>
        <w:tc>
          <w:tcPr>
            <w:tcW w:w="4860" w:type="dxa"/>
            <w:gridSpan w:val="4"/>
            <w:tcBorders>
              <w:top w:val="single" w:sz="4" w:space="0" w:color="auto"/>
              <w:left w:val="nil"/>
              <w:bottom w:val="single" w:sz="4" w:space="0" w:color="auto"/>
              <w:right w:val="single" w:sz="4" w:space="0" w:color="auto"/>
            </w:tcBorders>
            <w:shd w:val="clear" w:color="000000" w:fill="DBE5F1"/>
            <w:noWrap/>
            <w:vAlign w:val="center"/>
            <w:hideMark/>
          </w:tcPr>
          <w:p w:rsidR="00FB6B57" w:rsidRPr="00FB6B57" w:rsidRDefault="00553293" w:rsidP="00FB6B57">
            <w:pPr>
              <w:tabs>
                <w:tab w:val="center" w:pos="4320"/>
                <w:tab w:val="right" w:pos="8640"/>
              </w:tabs>
              <w:jc w:val="center"/>
              <w:rPr>
                <w:rFonts w:asciiTheme="minorHAnsi" w:hAnsiTheme="minorHAnsi"/>
                <w:b/>
                <w:bCs/>
                <w:color w:val="000000"/>
                <w:sz w:val="16"/>
                <w:szCs w:val="16"/>
              </w:rPr>
            </w:pPr>
            <w:r w:rsidRPr="00553293">
              <w:rPr>
                <w:rFonts w:asciiTheme="minorHAnsi" w:hAnsiTheme="minorHAnsi"/>
                <w:b/>
                <w:bCs/>
                <w:color w:val="000000"/>
                <w:sz w:val="16"/>
                <w:szCs w:val="16"/>
              </w:rPr>
              <w:t>Quarter 2</w:t>
            </w:r>
          </w:p>
        </w:tc>
      </w:tr>
      <w:tr w:rsidR="00FB6B57" w:rsidRPr="00FB6B57" w:rsidTr="00D6708F">
        <w:trPr>
          <w:trHeight w:val="719"/>
        </w:trPr>
        <w:tc>
          <w:tcPr>
            <w:tcW w:w="1901" w:type="dxa"/>
            <w:vMerge/>
            <w:tcBorders>
              <w:top w:val="single" w:sz="4" w:space="0" w:color="auto"/>
              <w:left w:val="single" w:sz="4" w:space="0" w:color="auto"/>
              <w:bottom w:val="single" w:sz="4" w:space="0" w:color="auto"/>
              <w:right w:val="single" w:sz="4" w:space="0" w:color="auto"/>
            </w:tcBorders>
            <w:vAlign w:val="center"/>
            <w:hideMark/>
          </w:tcPr>
          <w:p w:rsidR="00FB6B57" w:rsidRPr="00FB6B57" w:rsidRDefault="00FB6B57" w:rsidP="00FB6B57">
            <w:pPr>
              <w:rPr>
                <w:rFonts w:asciiTheme="minorHAnsi" w:hAnsiTheme="minorHAnsi"/>
                <w:b/>
                <w:bCs/>
                <w:color w:val="000000"/>
                <w:sz w:val="16"/>
                <w:szCs w:val="16"/>
              </w:rPr>
            </w:pPr>
          </w:p>
        </w:tc>
        <w:tc>
          <w:tcPr>
            <w:tcW w:w="1170" w:type="dxa"/>
            <w:tcBorders>
              <w:top w:val="nil"/>
              <w:left w:val="nil"/>
              <w:bottom w:val="single" w:sz="4" w:space="0" w:color="auto"/>
              <w:right w:val="single" w:sz="4" w:space="0" w:color="auto"/>
            </w:tcBorders>
            <w:shd w:val="clear" w:color="000000" w:fill="DBE5F1"/>
            <w:vAlign w:val="center"/>
            <w:hideMark/>
          </w:tcPr>
          <w:p w:rsidR="002E6F3A" w:rsidRDefault="00553293">
            <w:pPr>
              <w:jc w:val="center"/>
              <w:rPr>
                <w:rFonts w:asciiTheme="minorHAnsi" w:hAnsiTheme="minorHAnsi"/>
                <w:b/>
                <w:bCs/>
                <w:color w:val="000000"/>
                <w:sz w:val="16"/>
                <w:szCs w:val="16"/>
              </w:rPr>
            </w:pPr>
            <w:r w:rsidRPr="00553293">
              <w:rPr>
                <w:rFonts w:asciiTheme="minorHAnsi" w:hAnsiTheme="minorHAnsi"/>
                <w:b/>
                <w:bCs/>
                <w:color w:val="000000"/>
                <w:sz w:val="16"/>
                <w:szCs w:val="16"/>
              </w:rPr>
              <w:t>Total Expenditure (</w:t>
            </w:r>
            <w:proofErr w:type="spellStart"/>
            <w:r w:rsidR="0048700A">
              <w:rPr>
                <w:rFonts w:asciiTheme="minorHAnsi" w:hAnsiTheme="minorHAnsi"/>
                <w:b/>
                <w:bCs/>
                <w:i/>
                <w:color w:val="000000"/>
                <w:sz w:val="16"/>
                <w:szCs w:val="16"/>
              </w:rPr>
              <w:t>T</w:t>
            </w:r>
            <w:r w:rsidR="0048700A" w:rsidRPr="00553293">
              <w:rPr>
                <w:rFonts w:asciiTheme="minorHAnsi" w:hAnsiTheme="minorHAnsi"/>
                <w:b/>
                <w:bCs/>
                <w:i/>
                <w:color w:val="000000"/>
                <w:sz w:val="16"/>
                <w:szCs w:val="16"/>
              </w:rPr>
              <w:t>E</w:t>
            </w:r>
            <w:r w:rsidR="0048700A" w:rsidRPr="00553293">
              <w:rPr>
                <w:rFonts w:asciiTheme="minorHAnsi" w:hAnsiTheme="minorHAnsi"/>
                <w:b/>
                <w:bCs/>
                <w:i/>
                <w:color w:val="000000"/>
                <w:sz w:val="16"/>
                <w:szCs w:val="16"/>
                <w:vertAlign w:val="subscript"/>
              </w:rPr>
              <w:t>qij</w:t>
            </w:r>
            <w:proofErr w:type="spellEnd"/>
            <w:r w:rsidRPr="00553293">
              <w:rPr>
                <w:rFonts w:asciiTheme="minorHAnsi" w:hAnsiTheme="minorHAnsi"/>
                <w:b/>
                <w:bCs/>
                <w:color w:val="000000"/>
                <w:sz w:val="16"/>
                <w:szCs w:val="16"/>
              </w:rPr>
              <w:t xml:space="preserve">, </w:t>
            </w:r>
            <w:r w:rsidRPr="00553293">
              <w:rPr>
                <w:rFonts w:asciiTheme="minorHAnsi" w:hAnsiTheme="minorHAnsi"/>
                <w:b/>
                <w:bCs/>
                <w:i/>
                <w:color w:val="000000"/>
                <w:sz w:val="16"/>
                <w:szCs w:val="16"/>
              </w:rPr>
              <w:t>q</w:t>
            </w:r>
            <w:r w:rsidRPr="00553293">
              <w:rPr>
                <w:rFonts w:asciiTheme="minorHAnsi" w:hAnsiTheme="minorHAnsi"/>
                <w:b/>
                <w:bCs/>
                <w:color w:val="000000"/>
                <w:sz w:val="16"/>
                <w:szCs w:val="16"/>
              </w:rPr>
              <w:t xml:space="preserve"> = 1)</w:t>
            </w:r>
          </w:p>
        </w:tc>
        <w:tc>
          <w:tcPr>
            <w:tcW w:w="810" w:type="dxa"/>
            <w:tcBorders>
              <w:top w:val="nil"/>
              <w:left w:val="nil"/>
              <w:bottom w:val="single" w:sz="4" w:space="0" w:color="auto"/>
              <w:right w:val="single" w:sz="4" w:space="0" w:color="auto"/>
            </w:tcBorders>
            <w:shd w:val="clear" w:color="000000" w:fill="DBE5F1"/>
            <w:vAlign w:val="center"/>
            <w:hideMark/>
          </w:tcPr>
          <w:p w:rsidR="00FB6B57" w:rsidRPr="00D6708F" w:rsidRDefault="00553293" w:rsidP="00FB6B57">
            <w:pPr>
              <w:jc w:val="center"/>
              <w:rPr>
                <w:rFonts w:asciiTheme="minorHAnsi" w:hAnsiTheme="minorHAnsi"/>
                <w:b/>
                <w:bCs/>
                <w:color w:val="000000"/>
                <w:sz w:val="16"/>
                <w:szCs w:val="16"/>
              </w:rPr>
            </w:pPr>
            <w:r w:rsidRPr="00553293">
              <w:rPr>
                <w:rFonts w:asciiTheme="minorHAnsi" w:hAnsiTheme="minorHAnsi"/>
                <w:b/>
                <w:bCs/>
                <w:color w:val="000000"/>
                <w:sz w:val="16"/>
                <w:szCs w:val="16"/>
              </w:rPr>
              <w:t xml:space="preserve">Total Quantity </w:t>
            </w:r>
            <m:oMath>
              <m:sSubSup>
                <m:sSubSupPr>
                  <m:ctrlPr>
                    <w:rPr>
                      <w:rFonts w:ascii="Cambria Math" w:hAnsi="Cambria Math"/>
                      <w:b/>
                      <w:i/>
                      <w:sz w:val="16"/>
                      <w:szCs w:val="16"/>
                    </w:rPr>
                  </m:ctrlPr>
                </m:sSubSupPr>
                <m:e>
                  <m:r>
                    <m:rPr>
                      <m:sty m:val="bi"/>
                    </m:rPr>
                    <w:rPr>
                      <w:rFonts w:ascii="Cambria Math" w:hAnsi="Cambria Math"/>
                      <w:sz w:val="16"/>
                      <w:szCs w:val="16"/>
                    </w:rPr>
                    <m:t>(Q</m:t>
                  </m:r>
                </m:e>
                <m:sub>
                  <m:r>
                    <m:rPr>
                      <m:sty m:val="bi"/>
                    </m:rPr>
                    <w:rPr>
                      <w:rFonts w:ascii="Cambria Math" w:hAnsi="Cambria Math"/>
                      <w:sz w:val="16"/>
                      <w:szCs w:val="16"/>
                    </w:rPr>
                    <m:t>ij</m:t>
                  </m:r>
                </m:sub>
                <m:sup>
                  <m:r>
                    <m:rPr>
                      <m:sty m:val="bi"/>
                    </m:rPr>
                    <w:rPr>
                      <w:rFonts w:ascii="Cambria Math" w:hAnsi="Cambria Math"/>
                      <w:sz w:val="16"/>
                      <w:szCs w:val="16"/>
                    </w:rPr>
                    <m:t>1</m:t>
                  </m:r>
                </m:sup>
              </m:sSubSup>
              <m:r>
                <m:rPr>
                  <m:sty m:val="bi"/>
                </m:rPr>
                <w:rPr>
                  <w:rFonts w:ascii="Cambria Math" w:hAnsi="Cambria Math"/>
                  <w:sz w:val="16"/>
                  <w:szCs w:val="16"/>
                </w:rPr>
                <m:t>)</m:t>
              </m:r>
            </m:oMath>
          </w:p>
        </w:tc>
        <w:tc>
          <w:tcPr>
            <w:tcW w:w="810" w:type="dxa"/>
            <w:tcBorders>
              <w:top w:val="nil"/>
              <w:left w:val="nil"/>
              <w:bottom w:val="single" w:sz="4" w:space="0" w:color="auto"/>
              <w:right w:val="single" w:sz="4" w:space="0" w:color="auto"/>
            </w:tcBorders>
            <w:shd w:val="clear" w:color="000000" w:fill="DBE5F1"/>
            <w:vAlign w:val="center"/>
            <w:hideMark/>
          </w:tcPr>
          <w:p w:rsidR="00FB6B57" w:rsidRPr="00D6708F" w:rsidRDefault="00553293" w:rsidP="00FB6B57">
            <w:pPr>
              <w:jc w:val="center"/>
              <w:rPr>
                <w:rFonts w:asciiTheme="minorHAnsi" w:hAnsiTheme="minorHAnsi"/>
                <w:b/>
                <w:bCs/>
                <w:color w:val="000000"/>
                <w:sz w:val="16"/>
                <w:szCs w:val="16"/>
              </w:rPr>
            </w:pPr>
            <w:r w:rsidRPr="00553293">
              <w:rPr>
                <w:rFonts w:asciiTheme="minorHAnsi" w:hAnsiTheme="minorHAnsi"/>
                <w:b/>
                <w:bCs/>
                <w:color w:val="000000"/>
                <w:sz w:val="16"/>
                <w:szCs w:val="16"/>
              </w:rPr>
              <w:t xml:space="preserve">$/Unit </w:t>
            </w:r>
            <m:oMath>
              <m:sSubSup>
                <m:sSubSupPr>
                  <m:ctrlPr>
                    <w:rPr>
                      <w:rFonts w:ascii="Cambria Math" w:hAnsi="Cambria Math"/>
                      <w:b/>
                      <w:i/>
                      <w:sz w:val="16"/>
                      <w:szCs w:val="16"/>
                    </w:rPr>
                  </m:ctrlPr>
                </m:sSubSupPr>
                <m:e>
                  <m:r>
                    <m:rPr>
                      <m:sty m:val="bi"/>
                    </m:rPr>
                    <w:rPr>
                      <w:rFonts w:ascii="Cambria Math" w:hAnsi="Cambria Math"/>
                      <w:sz w:val="16"/>
                      <w:szCs w:val="16"/>
                    </w:rPr>
                    <m:t>(p</m:t>
                  </m:r>
                </m:e>
                <m:sub>
                  <m:r>
                    <m:rPr>
                      <m:sty m:val="bi"/>
                    </m:rPr>
                    <w:rPr>
                      <w:rFonts w:ascii="Cambria Math" w:hAnsi="Cambria Math"/>
                      <w:sz w:val="16"/>
                      <w:szCs w:val="16"/>
                    </w:rPr>
                    <m:t>ij</m:t>
                  </m:r>
                </m:sub>
                <m:sup>
                  <m:r>
                    <m:rPr>
                      <m:sty m:val="bi"/>
                    </m:rPr>
                    <w:rPr>
                      <w:rFonts w:ascii="Cambria Math" w:hAnsi="Cambria Math"/>
                      <w:sz w:val="16"/>
                      <w:szCs w:val="16"/>
                    </w:rPr>
                    <m:t>1</m:t>
                  </m:r>
                </m:sup>
              </m:sSubSup>
              <m:r>
                <m:rPr>
                  <m:sty m:val="bi"/>
                </m:rPr>
                <w:rPr>
                  <w:rFonts w:ascii="Cambria Math" w:hAnsi="Cambria Math"/>
                  <w:sz w:val="16"/>
                  <w:szCs w:val="16"/>
                </w:rPr>
                <m:t>)</m:t>
              </m:r>
            </m:oMath>
          </w:p>
        </w:tc>
        <w:tc>
          <w:tcPr>
            <w:tcW w:w="1024" w:type="dxa"/>
            <w:tcBorders>
              <w:top w:val="nil"/>
              <w:left w:val="nil"/>
              <w:bottom w:val="single" w:sz="4" w:space="0" w:color="auto"/>
              <w:right w:val="single" w:sz="4" w:space="0" w:color="auto"/>
            </w:tcBorders>
            <w:shd w:val="clear" w:color="000000" w:fill="DBE5F1"/>
            <w:vAlign w:val="center"/>
            <w:hideMark/>
          </w:tcPr>
          <w:p w:rsidR="00FB6B57" w:rsidRPr="00FB6B57" w:rsidRDefault="00553293" w:rsidP="00FB6B57">
            <w:pPr>
              <w:jc w:val="center"/>
              <w:rPr>
                <w:rFonts w:asciiTheme="minorHAnsi" w:hAnsiTheme="minorHAnsi"/>
                <w:b/>
                <w:bCs/>
                <w:color w:val="000000"/>
                <w:sz w:val="16"/>
                <w:szCs w:val="16"/>
              </w:rPr>
            </w:pPr>
            <w:r w:rsidRPr="00553293">
              <w:rPr>
                <w:rFonts w:asciiTheme="minorHAnsi" w:hAnsiTheme="minorHAnsi"/>
                <w:b/>
                <w:bCs/>
                <w:color w:val="000000"/>
                <w:sz w:val="16"/>
                <w:szCs w:val="16"/>
              </w:rPr>
              <w:t>Total Expenditure</w:t>
            </w:r>
          </w:p>
        </w:tc>
        <w:tc>
          <w:tcPr>
            <w:tcW w:w="956" w:type="dxa"/>
            <w:tcBorders>
              <w:top w:val="nil"/>
              <w:left w:val="nil"/>
              <w:bottom w:val="single" w:sz="4" w:space="0" w:color="auto"/>
              <w:right w:val="single" w:sz="4" w:space="0" w:color="auto"/>
            </w:tcBorders>
            <w:shd w:val="clear" w:color="000000" w:fill="DBE5F1"/>
            <w:vAlign w:val="center"/>
            <w:hideMark/>
          </w:tcPr>
          <w:p w:rsidR="00FB6B57" w:rsidRPr="00FB6B57" w:rsidRDefault="00553293" w:rsidP="00FB6B57">
            <w:pPr>
              <w:tabs>
                <w:tab w:val="center" w:pos="4320"/>
                <w:tab w:val="right" w:pos="8640"/>
              </w:tabs>
              <w:jc w:val="center"/>
              <w:rPr>
                <w:rFonts w:asciiTheme="minorHAnsi" w:hAnsiTheme="minorHAnsi"/>
                <w:b/>
                <w:bCs/>
                <w:color w:val="000000"/>
                <w:sz w:val="16"/>
                <w:szCs w:val="16"/>
              </w:rPr>
            </w:pPr>
            <w:r w:rsidRPr="00553293">
              <w:rPr>
                <w:rFonts w:asciiTheme="minorHAnsi" w:hAnsiTheme="minorHAnsi"/>
                <w:b/>
                <w:bCs/>
                <w:color w:val="000000"/>
                <w:sz w:val="16"/>
                <w:szCs w:val="16"/>
              </w:rPr>
              <w:t xml:space="preserve"> Total Quantity </w:t>
            </w:r>
          </w:p>
        </w:tc>
        <w:tc>
          <w:tcPr>
            <w:tcW w:w="990" w:type="dxa"/>
            <w:tcBorders>
              <w:top w:val="nil"/>
              <w:left w:val="nil"/>
              <w:bottom w:val="single" w:sz="4" w:space="0" w:color="auto"/>
              <w:right w:val="single" w:sz="4" w:space="0" w:color="auto"/>
            </w:tcBorders>
            <w:shd w:val="clear" w:color="000000" w:fill="DBE5F1"/>
            <w:vAlign w:val="center"/>
            <w:hideMark/>
          </w:tcPr>
          <w:p w:rsidR="00FB6B57" w:rsidRPr="00D6708F" w:rsidRDefault="00553293" w:rsidP="00FB6B57">
            <w:pPr>
              <w:tabs>
                <w:tab w:val="center" w:pos="4320"/>
                <w:tab w:val="right" w:pos="8640"/>
              </w:tabs>
              <w:jc w:val="center"/>
              <w:rPr>
                <w:rFonts w:asciiTheme="minorHAnsi" w:hAnsiTheme="minorHAnsi"/>
                <w:b/>
                <w:bCs/>
                <w:color w:val="000000"/>
                <w:sz w:val="16"/>
                <w:szCs w:val="16"/>
              </w:rPr>
            </w:pPr>
            <w:r w:rsidRPr="00553293">
              <w:rPr>
                <w:rFonts w:asciiTheme="minorHAnsi" w:hAnsiTheme="minorHAnsi"/>
                <w:b/>
                <w:bCs/>
                <w:color w:val="000000"/>
                <w:sz w:val="16"/>
                <w:szCs w:val="16"/>
              </w:rPr>
              <w:t xml:space="preserve">$/Unit </w:t>
            </w:r>
            <m:oMath>
              <m:sSubSup>
                <m:sSubSupPr>
                  <m:ctrlPr>
                    <w:rPr>
                      <w:rFonts w:ascii="Cambria Math" w:hAnsi="Cambria Math"/>
                      <w:b/>
                      <w:i/>
                      <w:sz w:val="16"/>
                      <w:szCs w:val="16"/>
                    </w:rPr>
                  </m:ctrlPr>
                </m:sSubSupPr>
                <m:e>
                  <m:r>
                    <m:rPr>
                      <m:sty m:val="bi"/>
                    </m:rPr>
                    <w:rPr>
                      <w:rFonts w:ascii="Cambria Math" w:hAnsi="Cambria Math"/>
                      <w:sz w:val="16"/>
                      <w:szCs w:val="16"/>
                    </w:rPr>
                    <m:t>(p</m:t>
                  </m:r>
                </m:e>
                <m:sub>
                  <m:r>
                    <m:rPr>
                      <m:sty m:val="bi"/>
                    </m:rPr>
                    <w:rPr>
                      <w:rFonts w:ascii="Cambria Math" w:hAnsi="Cambria Math"/>
                      <w:sz w:val="16"/>
                      <w:szCs w:val="16"/>
                    </w:rPr>
                    <m:t>ij</m:t>
                  </m:r>
                </m:sub>
                <m:sup>
                  <m:r>
                    <m:rPr>
                      <m:sty m:val="bi"/>
                    </m:rPr>
                    <w:rPr>
                      <w:rFonts w:ascii="Cambria Math" w:hAnsi="Cambria Math"/>
                      <w:sz w:val="16"/>
                      <w:szCs w:val="16"/>
                    </w:rPr>
                    <m:t>2</m:t>
                  </m:r>
                </m:sup>
              </m:sSubSup>
              <m:r>
                <m:rPr>
                  <m:sty m:val="bi"/>
                </m:rPr>
                <w:rPr>
                  <w:rFonts w:ascii="Cambria Math" w:hAnsi="Cambria Math"/>
                  <w:sz w:val="16"/>
                  <w:szCs w:val="16"/>
                </w:rPr>
                <m:t>)</m:t>
              </m:r>
            </m:oMath>
          </w:p>
        </w:tc>
        <w:tc>
          <w:tcPr>
            <w:tcW w:w="1890" w:type="dxa"/>
            <w:tcBorders>
              <w:top w:val="nil"/>
              <w:left w:val="nil"/>
              <w:bottom w:val="single" w:sz="4" w:space="0" w:color="auto"/>
              <w:right w:val="single" w:sz="4" w:space="0" w:color="auto"/>
            </w:tcBorders>
            <w:shd w:val="clear" w:color="000000" w:fill="DBE5F1"/>
            <w:vAlign w:val="center"/>
            <w:hideMark/>
          </w:tcPr>
          <w:p w:rsidR="00FB6B57" w:rsidRPr="00FB6B57" w:rsidRDefault="00553293" w:rsidP="00FB6B57">
            <w:pPr>
              <w:jc w:val="center"/>
              <w:rPr>
                <w:rFonts w:asciiTheme="minorHAnsi" w:hAnsiTheme="minorHAnsi"/>
                <w:b/>
                <w:bCs/>
                <w:color w:val="000000"/>
                <w:sz w:val="16"/>
                <w:szCs w:val="16"/>
              </w:rPr>
            </w:pPr>
            <w:r w:rsidRPr="00553293">
              <w:rPr>
                <w:rFonts w:asciiTheme="minorHAnsi" w:hAnsiTheme="minorHAnsi"/>
                <w:b/>
                <w:bCs/>
                <w:color w:val="000000"/>
                <w:sz w:val="16"/>
                <w:szCs w:val="16"/>
              </w:rPr>
              <w:t>Contract Level Price Index (</w:t>
            </w:r>
            <w:proofErr w:type="spellStart"/>
            <w:r w:rsidRPr="00553293">
              <w:rPr>
                <w:rFonts w:asciiTheme="minorHAnsi" w:hAnsiTheme="minorHAnsi"/>
                <w:b/>
                <w:bCs/>
                <w:i/>
                <w:color w:val="000000"/>
                <w:sz w:val="16"/>
                <w:szCs w:val="16"/>
              </w:rPr>
              <w:t>PDE</w:t>
            </w:r>
            <w:r w:rsidRPr="00553293">
              <w:rPr>
                <w:rFonts w:asciiTheme="minorHAnsi" w:hAnsiTheme="minorHAnsi"/>
                <w:b/>
                <w:bCs/>
                <w:i/>
                <w:color w:val="000000"/>
                <w:sz w:val="16"/>
                <w:szCs w:val="16"/>
                <w:vertAlign w:val="subscript"/>
              </w:rPr>
              <w:t>qij</w:t>
            </w:r>
            <w:proofErr w:type="spellEnd"/>
            <w:r w:rsidRPr="00553293">
              <w:rPr>
                <w:rFonts w:asciiTheme="minorHAnsi" w:hAnsiTheme="minorHAnsi"/>
                <w:b/>
                <w:bCs/>
                <w:color w:val="000000"/>
                <w:sz w:val="16"/>
                <w:szCs w:val="16"/>
              </w:rPr>
              <w:t xml:space="preserve">, </w:t>
            </w:r>
            <w:r w:rsidRPr="00553293">
              <w:rPr>
                <w:rFonts w:asciiTheme="minorHAnsi" w:hAnsiTheme="minorHAnsi"/>
                <w:b/>
                <w:bCs/>
                <w:i/>
                <w:color w:val="000000"/>
                <w:sz w:val="16"/>
                <w:szCs w:val="16"/>
              </w:rPr>
              <w:t>q</w:t>
            </w:r>
            <w:r w:rsidRPr="00553293">
              <w:rPr>
                <w:rFonts w:asciiTheme="minorHAnsi" w:hAnsiTheme="minorHAnsi"/>
                <w:b/>
                <w:bCs/>
                <w:color w:val="000000"/>
                <w:sz w:val="16"/>
                <w:szCs w:val="16"/>
              </w:rPr>
              <w:t xml:space="preserve"> = 2)</w:t>
            </w:r>
          </w:p>
        </w:tc>
      </w:tr>
      <w:tr w:rsidR="00FB6B57" w:rsidRPr="00FB6B57" w:rsidTr="00D6708F">
        <w:trPr>
          <w:trHeight w:val="170"/>
        </w:trPr>
        <w:tc>
          <w:tcPr>
            <w:tcW w:w="1901" w:type="dxa"/>
            <w:tcBorders>
              <w:top w:val="nil"/>
              <w:left w:val="single" w:sz="4" w:space="0" w:color="auto"/>
              <w:bottom w:val="single" w:sz="4" w:space="0" w:color="auto"/>
              <w:right w:val="single" w:sz="4" w:space="0" w:color="auto"/>
            </w:tcBorders>
            <w:shd w:val="clear" w:color="auto" w:fill="auto"/>
            <w:noWrap/>
            <w:vAlign w:val="bottom"/>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999999.B</w:t>
            </w:r>
          </w:p>
        </w:tc>
        <w:tc>
          <w:tcPr>
            <w:tcW w:w="117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jc w:val="right"/>
              <w:rPr>
                <w:rFonts w:asciiTheme="minorHAnsi" w:hAnsiTheme="minorHAnsi"/>
                <w:color w:val="000000"/>
                <w:sz w:val="16"/>
                <w:szCs w:val="16"/>
              </w:rPr>
            </w:pPr>
            <w:r w:rsidRPr="00553293">
              <w:rPr>
                <w:rFonts w:asciiTheme="minorHAnsi" w:hAnsiTheme="minorHAnsi"/>
                <w:color w:val="000000"/>
                <w:sz w:val="16"/>
                <w:szCs w:val="16"/>
              </w:rPr>
              <w:t>$1,000.00</w:t>
            </w:r>
          </w:p>
        </w:tc>
        <w:tc>
          <w:tcPr>
            <w:tcW w:w="81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jc w:val="right"/>
              <w:rPr>
                <w:rFonts w:asciiTheme="minorHAnsi" w:hAnsiTheme="minorHAnsi"/>
                <w:color w:val="000000"/>
                <w:sz w:val="16"/>
                <w:szCs w:val="16"/>
              </w:rPr>
            </w:pPr>
            <w:r w:rsidRPr="00553293">
              <w:rPr>
                <w:rFonts w:asciiTheme="minorHAnsi" w:hAnsiTheme="minorHAnsi"/>
                <w:color w:val="000000"/>
                <w:sz w:val="16"/>
                <w:szCs w:val="16"/>
              </w:rPr>
              <w:t>100</w:t>
            </w:r>
          </w:p>
        </w:tc>
        <w:tc>
          <w:tcPr>
            <w:tcW w:w="81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jc w:val="right"/>
              <w:rPr>
                <w:rFonts w:asciiTheme="minorHAnsi" w:hAnsiTheme="minorHAnsi"/>
                <w:color w:val="000000"/>
                <w:sz w:val="16"/>
                <w:szCs w:val="16"/>
              </w:rPr>
            </w:pPr>
            <w:r w:rsidRPr="00553293">
              <w:rPr>
                <w:rFonts w:asciiTheme="minorHAnsi" w:hAnsiTheme="minorHAnsi"/>
                <w:color w:val="000000"/>
                <w:sz w:val="16"/>
                <w:szCs w:val="16"/>
              </w:rPr>
              <w:t>$10.00</w:t>
            </w:r>
          </w:p>
        </w:tc>
        <w:tc>
          <w:tcPr>
            <w:tcW w:w="1024"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jc w:val="right"/>
              <w:rPr>
                <w:rFonts w:asciiTheme="minorHAnsi" w:hAnsiTheme="minorHAnsi"/>
                <w:color w:val="000000"/>
                <w:sz w:val="16"/>
                <w:szCs w:val="16"/>
              </w:rPr>
            </w:pPr>
            <w:r w:rsidRPr="00553293">
              <w:rPr>
                <w:rFonts w:asciiTheme="minorHAnsi" w:hAnsiTheme="minorHAnsi"/>
                <w:color w:val="000000"/>
                <w:sz w:val="16"/>
                <w:szCs w:val="16"/>
              </w:rPr>
              <w:t>$1,025.00</w:t>
            </w:r>
          </w:p>
        </w:tc>
        <w:tc>
          <w:tcPr>
            <w:tcW w:w="956"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 xml:space="preserve"> 100 </w:t>
            </w:r>
          </w:p>
        </w:tc>
        <w:tc>
          <w:tcPr>
            <w:tcW w:w="99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jc w:val="right"/>
              <w:rPr>
                <w:rFonts w:asciiTheme="minorHAnsi" w:hAnsiTheme="minorHAnsi"/>
                <w:color w:val="000000"/>
                <w:sz w:val="16"/>
                <w:szCs w:val="16"/>
              </w:rPr>
            </w:pPr>
            <w:r w:rsidRPr="00553293">
              <w:rPr>
                <w:rFonts w:asciiTheme="minorHAnsi" w:hAnsiTheme="minorHAnsi"/>
                <w:color w:val="000000"/>
                <w:sz w:val="16"/>
                <w:szCs w:val="16"/>
              </w:rPr>
              <w:t>$10.25</w:t>
            </w:r>
          </w:p>
        </w:tc>
        <w:tc>
          <w:tcPr>
            <w:tcW w:w="189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tabs>
                <w:tab w:val="center" w:pos="4320"/>
                <w:tab w:val="right" w:pos="8640"/>
              </w:tabs>
              <w:jc w:val="right"/>
              <w:rPr>
                <w:rFonts w:asciiTheme="minorHAnsi" w:hAnsiTheme="minorHAnsi"/>
                <w:color w:val="000000"/>
                <w:sz w:val="16"/>
                <w:szCs w:val="16"/>
              </w:rPr>
            </w:pPr>
            <w:r w:rsidRPr="00553293">
              <w:rPr>
                <w:rFonts w:asciiTheme="minorHAnsi" w:hAnsiTheme="minorHAnsi"/>
                <w:color w:val="000000"/>
                <w:sz w:val="16"/>
                <w:szCs w:val="16"/>
              </w:rPr>
              <w:t>$1,025.00</w:t>
            </w:r>
          </w:p>
        </w:tc>
      </w:tr>
      <w:tr w:rsidR="00FB6B57" w:rsidRPr="00FB6B57" w:rsidTr="00D6708F">
        <w:trPr>
          <w:trHeight w:val="143"/>
        </w:trPr>
        <w:tc>
          <w:tcPr>
            <w:tcW w:w="1901" w:type="dxa"/>
            <w:tcBorders>
              <w:top w:val="nil"/>
              <w:left w:val="single" w:sz="4" w:space="0" w:color="auto"/>
              <w:bottom w:val="single" w:sz="4" w:space="0" w:color="auto"/>
              <w:right w:val="single" w:sz="4" w:space="0" w:color="auto"/>
            </w:tcBorders>
            <w:shd w:val="clear" w:color="auto" w:fill="auto"/>
            <w:noWrap/>
            <w:vAlign w:val="bottom"/>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999999.G</w:t>
            </w:r>
          </w:p>
        </w:tc>
        <w:tc>
          <w:tcPr>
            <w:tcW w:w="117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jc w:val="right"/>
              <w:rPr>
                <w:rFonts w:asciiTheme="minorHAnsi" w:hAnsiTheme="minorHAnsi"/>
                <w:color w:val="000000"/>
                <w:sz w:val="16"/>
                <w:szCs w:val="16"/>
              </w:rPr>
            </w:pPr>
            <w:r w:rsidRPr="00553293">
              <w:rPr>
                <w:rFonts w:asciiTheme="minorHAnsi" w:hAnsiTheme="minorHAnsi"/>
                <w:color w:val="000000"/>
                <w:sz w:val="16"/>
                <w:szCs w:val="16"/>
              </w:rPr>
              <w:t>$5.00</w:t>
            </w:r>
          </w:p>
        </w:tc>
        <w:tc>
          <w:tcPr>
            <w:tcW w:w="81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jc w:val="right"/>
              <w:rPr>
                <w:rFonts w:asciiTheme="minorHAnsi" w:hAnsiTheme="minorHAnsi"/>
                <w:color w:val="000000"/>
                <w:sz w:val="16"/>
                <w:szCs w:val="16"/>
              </w:rPr>
            </w:pPr>
            <w:r w:rsidRPr="00553293">
              <w:rPr>
                <w:rFonts w:asciiTheme="minorHAnsi" w:hAnsiTheme="minorHAnsi"/>
                <w:color w:val="000000"/>
                <w:sz w:val="16"/>
                <w:szCs w:val="16"/>
              </w:rPr>
              <w:t>50</w:t>
            </w:r>
          </w:p>
        </w:tc>
        <w:tc>
          <w:tcPr>
            <w:tcW w:w="81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jc w:val="right"/>
              <w:rPr>
                <w:rFonts w:asciiTheme="minorHAnsi" w:hAnsiTheme="minorHAnsi"/>
                <w:color w:val="000000"/>
                <w:sz w:val="16"/>
                <w:szCs w:val="16"/>
              </w:rPr>
            </w:pPr>
            <w:r w:rsidRPr="00553293">
              <w:rPr>
                <w:rFonts w:asciiTheme="minorHAnsi" w:hAnsiTheme="minorHAnsi"/>
                <w:color w:val="000000"/>
                <w:sz w:val="16"/>
                <w:szCs w:val="16"/>
              </w:rPr>
              <w:t>$0.10</w:t>
            </w:r>
          </w:p>
        </w:tc>
        <w:tc>
          <w:tcPr>
            <w:tcW w:w="1024"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jc w:val="right"/>
              <w:rPr>
                <w:rFonts w:asciiTheme="minorHAnsi" w:hAnsiTheme="minorHAnsi"/>
                <w:color w:val="000000"/>
                <w:sz w:val="16"/>
                <w:szCs w:val="16"/>
              </w:rPr>
            </w:pPr>
            <w:r w:rsidRPr="00553293">
              <w:rPr>
                <w:rFonts w:asciiTheme="minorHAnsi" w:hAnsiTheme="minorHAnsi"/>
                <w:color w:val="000000"/>
                <w:sz w:val="16"/>
                <w:szCs w:val="16"/>
              </w:rPr>
              <w:t>$8.00</w:t>
            </w:r>
          </w:p>
        </w:tc>
        <w:tc>
          <w:tcPr>
            <w:tcW w:w="956" w:type="dxa"/>
            <w:tcBorders>
              <w:top w:val="nil"/>
              <w:left w:val="nil"/>
              <w:bottom w:val="single" w:sz="4" w:space="0" w:color="auto"/>
              <w:right w:val="single" w:sz="4" w:space="0" w:color="auto"/>
            </w:tcBorders>
            <w:shd w:val="clear" w:color="auto" w:fill="auto"/>
            <w:noWrap/>
            <w:vAlign w:val="center"/>
            <w:hideMark/>
          </w:tcPr>
          <w:p w:rsidR="00FB6B57" w:rsidRPr="00FB6B57" w:rsidRDefault="00FB6B57" w:rsidP="00FB6B57">
            <w:pPr>
              <w:rPr>
                <w:rFonts w:asciiTheme="minorHAnsi" w:hAnsiTheme="minorHAnsi"/>
                <w:color w:val="000000"/>
                <w:sz w:val="16"/>
                <w:szCs w:val="16"/>
              </w:rPr>
            </w:pPr>
            <w:r>
              <w:rPr>
                <w:rFonts w:asciiTheme="minorHAnsi" w:hAnsiTheme="minorHAnsi"/>
                <w:color w:val="000000"/>
                <w:sz w:val="16"/>
                <w:szCs w:val="16"/>
              </w:rPr>
              <w:t xml:space="preserve"> </w:t>
            </w:r>
            <w:r w:rsidR="00553293" w:rsidRPr="00553293">
              <w:rPr>
                <w:rFonts w:asciiTheme="minorHAnsi" w:hAnsiTheme="minorHAnsi"/>
                <w:color w:val="000000"/>
                <w:sz w:val="16"/>
                <w:szCs w:val="16"/>
              </w:rPr>
              <w:t xml:space="preserve">100 </w:t>
            </w:r>
          </w:p>
        </w:tc>
        <w:tc>
          <w:tcPr>
            <w:tcW w:w="99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jc w:val="right"/>
              <w:rPr>
                <w:rFonts w:asciiTheme="minorHAnsi" w:hAnsiTheme="minorHAnsi"/>
                <w:color w:val="000000"/>
                <w:sz w:val="16"/>
                <w:szCs w:val="16"/>
              </w:rPr>
            </w:pPr>
            <w:r w:rsidRPr="00553293">
              <w:rPr>
                <w:rFonts w:asciiTheme="minorHAnsi" w:hAnsiTheme="minorHAnsi"/>
                <w:color w:val="000000"/>
                <w:sz w:val="16"/>
                <w:szCs w:val="16"/>
              </w:rPr>
              <w:t>$0.08</w:t>
            </w:r>
          </w:p>
        </w:tc>
        <w:tc>
          <w:tcPr>
            <w:tcW w:w="189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jc w:val="right"/>
              <w:rPr>
                <w:rFonts w:asciiTheme="minorHAnsi" w:hAnsiTheme="minorHAnsi"/>
                <w:color w:val="000000"/>
                <w:sz w:val="16"/>
                <w:szCs w:val="16"/>
              </w:rPr>
            </w:pPr>
            <w:r w:rsidRPr="00553293">
              <w:rPr>
                <w:rFonts w:asciiTheme="minorHAnsi" w:hAnsiTheme="minorHAnsi"/>
                <w:color w:val="000000"/>
                <w:sz w:val="16"/>
                <w:szCs w:val="16"/>
              </w:rPr>
              <w:t>$4.00</w:t>
            </w:r>
          </w:p>
        </w:tc>
      </w:tr>
      <w:tr w:rsidR="00FB6B57" w:rsidRPr="00FB6B57" w:rsidTr="00D6708F">
        <w:trPr>
          <w:trHeight w:val="125"/>
        </w:trPr>
        <w:tc>
          <w:tcPr>
            <w:tcW w:w="1901" w:type="dxa"/>
            <w:tcBorders>
              <w:top w:val="nil"/>
              <w:left w:val="single" w:sz="4" w:space="0" w:color="auto"/>
              <w:bottom w:val="single" w:sz="4" w:space="0" w:color="auto"/>
              <w:right w:val="single" w:sz="4" w:space="0" w:color="auto"/>
            </w:tcBorders>
            <w:shd w:val="clear" w:color="auto" w:fill="auto"/>
            <w:noWrap/>
            <w:vAlign w:val="bottom"/>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 </w:t>
            </w:r>
          </w:p>
        </w:tc>
        <w:tc>
          <w:tcPr>
            <w:tcW w:w="1024"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 </w:t>
            </w:r>
          </w:p>
        </w:tc>
        <w:tc>
          <w:tcPr>
            <w:tcW w:w="956"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 </w:t>
            </w:r>
          </w:p>
        </w:tc>
        <w:tc>
          <w:tcPr>
            <w:tcW w:w="99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 </w:t>
            </w:r>
          </w:p>
        </w:tc>
        <w:tc>
          <w:tcPr>
            <w:tcW w:w="189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 </w:t>
            </w:r>
          </w:p>
        </w:tc>
      </w:tr>
      <w:tr w:rsidR="00FB6B57" w:rsidRPr="00FB6B57" w:rsidTr="00D6708F">
        <w:trPr>
          <w:trHeight w:val="188"/>
        </w:trPr>
        <w:tc>
          <w:tcPr>
            <w:tcW w:w="1901" w:type="dxa"/>
            <w:tcBorders>
              <w:top w:val="nil"/>
              <w:left w:val="single" w:sz="4" w:space="0" w:color="auto"/>
              <w:bottom w:val="single" w:sz="4" w:space="0" w:color="auto"/>
              <w:right w:val="single" w:sz="4" w:space="0" w:color="auto"/>
            </w:tcBorders>
            <w:shd w:val="clear" w:color="auto" w:fill="auto"/>
            <w:noWrap/>
            <w:vAlign w:val="bottom"/>
            <w:hideMark/>
          </w:tcPr>
          <w:p w:rsidR="00B05A8B" w:rsidRDefault="00553293">
            <w:pPr>
              <w:rPr>
                <w:rFonts w:asciiTheme="minorHAnsi" w:hAnsiTheme="minorHAnsi"/>
                <w:color w:val="000000"/>
                <w:sz w:val="16"/>
                <w:szCs w:val="16"/>
              </w:rPr>
            </w:pPr>
            <w:r w:rsidRPr="00553293">
              <w:rPr>
                <w:rFonts w:asciiTheme="minorHAnsi" w:hAnsiTheme="minorHAnsi"/>
                <w:color w:val="000000"/>
                <w:sz w:val="16"/>
                <w:szCs w:val="16"/>
              </w:rPr>
              <w:t>Total Basket (</w:t>
            </w:r>
            <w:proofErr w:type="spellStart"/>
            <w:r w:rsidR="0048700A">
              <w:rPr>
                <w:rFonts w:asciiTheme="minorHAnsi" w:hAnsiTheme="minorHAnsi"/>
                <w:i/>
                <w:color w:val="000000"/>
                <w:sz w:val="16"/>
                <w:szCs w:val="16"/>
              </w:rPr>
              <w:t>T</w:t>
            </w:r>
            <w:r w:rsidR="0048700A" w:rsidRPr="00553293">
              <w:rPr>
                <w:rFonts w:asciiTheme="minorHAnsi" w:hAnsiTheme="minorHAnsi"/>
                <w:i/>
                <w:color w:val="000000"/>
                <w:sz w:val="16"/>
                <w:szCs w:val="16"/>
              </w:rPr>
              <w:t>E</w:t>
            </w:r>
            <w:r w:rsidR="0048700A" w:rsidRPr="00553293">
              <w:rPr>
                <w:rFonts w:asciiTheme="minorHAnsi" w:hAnsiTheme="minorHAnsi"/>
                <w:i/>
                <w:color w:val="000000"/>
                <w:sz w:val="16"/>
                <w:szCs w:val="16"/>
                <w:vertAlign w:val="subscript"/>
              </w:rPr>
              <w:t>qj</w:t>
            </w:r>
            <w:proofErr w:type="spellEnd"/>
            <w:r w:rsidRPr="00553293">
              <w:rPr>
                <w:rFonts w:asciiTheme="minorHAnsi" w:hAnsiTheme="minorHAnsi"/>
                <w:color w:val="000000"/>
                <w:sz w:val="16"/>
                <w:szCs w:val="16"/>
              </w:rPr>
              <w:t xml:space="preserve">, </w:t>
            </w:r>
            <w:r w:rsidRPr="00553293">
              <w:rPr>
                <w:rFonts w:asciiTheme="minorHAnsi" w:hAnsiTheme="minorHAnsi"/>
                <w:i/>
                <w:color w:val="000000"/>
                <w:sz w:val="16"/>
                <w:szCs w:val="16"/>
              </w:rPr>
              <w:t>q</w:t>
            </w:r>
            <w:r w:rsidRPr="00553293">
              <w:rPr>
                <w:rFonts w:asciiTheme="minorHAnsi" w:hAnsiTheme="minorHAnsi"/>
                <w:color w:val="000000"/>
                <w:sz w:val="16"/>
                <w:szCs w:val="16"/>
              </w:rPr>
              <w:t>=1):</w:t>
            </w:r>
          </w:p>
        </w:tc>
        <w:tc>
          <w:tcPr>
            <w:tcW w:w="117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jc w:val="right"/>
              <w:rPr>
                <w:rFonts w:asciiTheme="minorHAnsi" w:hAnsiTheme="minorHAnsi"/>
                <w:color w:val="000000"/>
                <w:sz w:val="16"/>
                <w:szCs w:val="16"/>
              </w:rPr>
            </w:pPr>
            <w:r w:rsidRPr="00553293">
              <w:rPr>
                <w:rFonts w:asciiTheme="minorHAnsi" w:hAnsiTheme="minorHAnsi"/>
                <w:color w:val="000000"/>
                <w:sz w:val="16"/>
                <w:szCs w:val="16"/>
              </w:rPr>
              <w:t>$1,005.00</w:t>
            </w:r>
          </w:p>
        </w:tc>
        <w:tc>
          <w:tcPr>
            <w:tcW w:w="81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tabs>
                <w:tab w:val="center" w:pos="4320"/>
                <w:tab w:val="right" w:pos="8640"/>
              </w:tabs>
              <w:rPr>
                <w:rFonts w:asciiTheme="minorHAnsi" w:hAnsiTheme="minorHAnsi"/>
                <w:color w:val="000000"/>
                <w:sz w:val="16"/>
                <w:szCs w:val="16"/>
              </w:rPr>
            </w:pPr>
            <w:r w:rsidRPr="00553293">
              <w:rPr>
                <w:rFonts w:asciiTheme="minorHAnsi" w:hAnsiTheme="minorHAnsi"/>
                <w:color w:val="000000"/>
                <w:sz w:val="16"/>
                <w:szCs w:val="16"/>
              </w:rPr>
              <w:t> </w:t>
            </w:r>
          </w:p>
        </w:tc>
        <w:tc>
          <w:tcPr>
            <w:tcW w:w="1024"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tabs>
                <w:tab w:val="center" w:pos="4320"/>
                <w:tab w:val="right" w:pos="8640"/>
              </w:tabs>
              <w:rPr>
                <w:rFonts w:asciiTheme="minorHAnsi" w:hAnsiTheme="minorHAnsi"/>
                <w:color w:val="000000"/>
                <w:sz w:val="16"/>
                <w:szCs w:val="16"/>
              </w:rPr>
            </w:pPr>
            <w:r w:rsidRPr="00553293">
              <w:rPr>
                <w:rFonts w:asciiTheme="minorHAnsi" w:hAnsiTheme="minorHAnsi"/>
                <w:color w:val="000000"/>
                <w:sz w:val="16"/>
                <w:szCs w:val="16"/>
              </w:rPr>
              <w:t> </w:t>
            </w:r>
          </w:p>
        </w:tc>
        <w:tc>
          <w:tcPr>
            <w:tcW w:w="1946" w:type="dxa"/>
            <w:gridSpan w:val="2"/>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tabs>
                <w:tab w:val="center" w:pos="4320"/>
                <w:tab w:val="right" w:pos="8640"/>
              </w:tabs>
              <w:rPr>
                <w:rFonts w:asciiTheme="minorHAnsi" w:hAnsiTheme="minorHAnsi"/>
                <w:color w:val="000000"/>
                <w:sz w:val="16"/>
                <w:szCs w:val="16"/>
              </w:rPr>
            </w:pPr>
            <w:r w:rsidRPr="00553293">
              <w:rPr>
                <w:rFonts w:asciiTheme="minorHAnsi" w:hAnsiTheme="minorHAnsi"/>
                <w:color w:val="000000"/>
                <w:sz w:val="16"/>
                <w:szCs w:val="16"/>
              </w:rPr>
              <w:t>Total Basket (</w:t>
            </w:r>
            <w:proofErr w:type="spellStart"/>
            <w:r w:rsidRPr="00553293">
              <w:rPr>
                <w:rFonts w:asciiTheme="minorHAnsi" w:hAnsiTheme="minorHAnsi"/>
                <w:i/>
                <w:color w:val="000000"/>
                <w:sz w:val="16"/>
                <w:szCs w:val="16"/>
              </w:rPr>
              <w:t>PDE</w:t>
            </w:r>
            <w:r w:rsidRPr="00553293">
              <w:rPr>
                <w:rFonts w:asciiTheme="minorHAnsi" w:hAnsiTheme="minorHAnsi"/>
                <w:i/>
                <w:color w:val="000000"/>
                <w:sz w:val="16"/>
                <w:szCs w:val="16"/>
                <w:vertAlign w:val="subscript"/>
              </w:rPr>
              <w:t>qj</w:t>
            </w:r>
            <w:proofErr w:type="spellEnd"/>
            <w:r w:rsidRPr="00553293">
              <w:rPr>
                <w:rFonts w:asciiTheme="minorHAnsi" w:hAnsiTheme="minorHAnsi"/>
                <w:color w:val="000000"/>
                <w:sz w:val="16"/>
                <w:szCs w:val="16"/>
              </w:rPr>
              <w:t>,</w:t>
            </w:r>
            <w:r w:rsidRPr="00553293">
              <w:rPr>
                <w:rFonts w:asciiTheme="minorHAnsi" w:hAnsiTheme="minorHAnsi"/>
                <w:i/>
                <w:color w:val="000000"/>
                <w:sz w:val="16"/>
                <w:szCs w:val="16"/>
              </w:rPr>
              <w:t xml:space="preserve"> q</w:t>
            </w:r>
            <w:r w:rsidRPr="00553293">
              <w:rPr>
                <w:rFonts w:asciiTheme="minorHAnsi" w:hAnsiTheme="minorHAnsi"/>
                <w:color w:val="000000"/>
                <w:sz w:val="16"/>
                <w:szCs w:val="16"/>
              </w:rPr>
              <w:t>=2): </w:t>
            </w:r>
          </w:p>
        </w:tc>
        <w:tc>
          <w:tcPr>
            <w:tcW w:w="189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tabs>
                <w:tab w:val="center" w:pos="4320"/>
                <w:tab w:val="right" w:pos="8640"/>
              </w:tabs>
              <w:jc w:val="right"/>
              <w:rPr>
                <w:rFonts w:asciiTheme="minorHAnsi" w:hAnsiTheme="minorHAnsi"/>
                <w:color w:val="000000"/>
                <w:sz w:val="16"/>
                <w:szCs w:val="16"/>
              </w:rPr>
            </w:pPr>
            <w:r w:rsidRPr="00553293">
              <w:rPr>
                <w:rFonts w:asciiTheme="minorHAnsi" w:hAnsiTheme="minorHAnsi"/>
                <w:color w:val="000000"/>
                <w:sz w:val="16"/>
                <w:szCs w:val="16"/>
              </w:rPr>
              <w:t>$1,029.00</w:t>
            </w:r>
          </w:p>
        </w:tc>
      </w:tr>
      <w:tr w:rsidR="00FB6B57" w:rsidRPr="00FB6B57" w:rsidTr="00D6708F">
        <w:trPr>
          <w:trHeight w:val="161"/>
        </w:trPr>
        <w:tc>
          <w:tcPr>
            <w:tcW w:w="1901" w:type="dxa"/>
            <w:tcBorders>
              <w:top w:val="nil"/>
              <w:left w:val="single" w:sz="4" w:space="0" w:color="auto"/>
              <w:bottom w:val="single" w:sz="4" w:space="0" w:color="auto"/>
              <w:right w:val="single" w:sz="4" w:space="0" w:color="auto"/>
            </w:tcBorders>
            <w:shd w:val="clear" w:color="auto" w:fill="auto"/>
            <w:noWrap/>
            <w:vAlign w:val="bottom"/>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 </w:t>
            </w:r>
          </w:p>
        </w:tc>
        <w:tc>
          <w:tcPr>
            <w:tcW w:w="1024"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color w:val="000000"/>
                <w:sz w:val="16"/>
                <w:szCs w:val="16"/>
              </w:rPr>
              <w:t> </w:t>
            </w:r>
          </w:p>
        </w:tc>
        <w:tc>
          <w:tcPr>
            <w:tcW w:w="1946" w:type="dxa"/>
            <w:gridSpan w:val="2"/>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rPr>
                <w:rFonts w:asciiTheme="minorHAnsi" w:hAnsiTheme="minorHAnsi"/>
                <w:color w:val="000000"/>
                <w:sz w:val="16"/>
                <w:szCs w:val="16"/>
              </w:rPr>
            </w:pPr>
            <w:r w:rsidRPr="00553293">
              <w:rPr>
                <w:rFonts w:asciiTheme="minorHAnsi" w:hAnsiTheme="minorHAnsi"/>
                <w:b/>
                <w:color w:val="000000"/>
                <w:sz w:val="16"/>
                <w:szCs w:val="16"/>
              </w:rPr>
              <w:t>Stability Index (</w:t>
            </w:r>
            <w:proofErr w:type="spellStart"/>
            <w:r w:rsidRPr="00553293">
              <w:rPr>
                <w:rFonts w:asciiTheme="minorHAnsi" w:hAnsiTheme="minorHAnsi"/>
                <w:b/>
                <w:i/>
                <w:color w:val="000000"/>
                <w:sz w:val="16"/>
                <w:szCs w:val="16"/>
              </w:rPr>
              <w:t>S</w:t>
            </w:r>
            <w:r w:rsidRPr="00553293">
              <w:rPr>
                <w:rFonts w:asciiTheme="minorHAnsi" w:hAnsiTheme="minorHAnsi"/>
                <w:b/>
                <w:i/>
                <w:color w:val="000000"/>
                <w:sz w:val="16"/>
                <w:szCs w:val="16"/>
                <w:vertAlign w:val="subscript"/>
              </w:rPr>
              <w:t>j</w:t>
            </w:r>
            <w:proofErr w:type="spellEnd"/>
            <w:r w:rsidRPr="00553293">
              <w:rPr>
                <w:rFonts w:asciiTheme="minorHAnsi" w:hAnsiTheme="minorHAnsi"/>
                <w:b/>
                <w:color w:val="000000"/>
                <w:sz w:val="16"/>
                <w:szCs w:val="16"/>
              </w:rPr>
              <w:t>):</w:t>
            </w:r>
            <w:r w:rsidRPr="00553293">
              <w:rPr>
                <w:rFonts w:asciiTheme="minorHAnsi" w:hAnsiTheme="minorHAnsi"/>
                <w:color w:val="000000"/>
                <w:sz w:val="16"/>
                <w:szCs w:val="16"/>
              </w:rPr>
              <w:t> </w:t>
            </w:r>
          </w:p>
        </w:tc>
        <w:tc>
          <w:tcPr>
            <w:tcW w:w="1890" w:type="dxa"/>
            <w:tcBorders>
              <w:top w:val="nil"/>
              <w:left w:val="nil"/>
              <w:bottom w:val="single" w:sz="4" w:space="0" w:color="auto"/>
              <w:right w:val="single" w:sz="4" w:space="0" w:color="auto"/>
            </w:tcBorders>
            <w:shd w:val="clear" w:color="auto" w:fill="auto"/>
            <w:noWrap/>
            <w:vAlign w:val="center"/>
            <w:hideMark/>
          </w:tcPr>
          <w:p w:rsidR="00FB6B57" w:rsidRPr="00FB6B57" w:rsidRDefault="00553293" w:rsidP="00FB6B57">
            <w:pPr>
              <w:tabs>
                <w:tab w:val="center" w:pos="4320"/>
                <w:tab w:val="right" w:pos="8640"/>
              </w:tabs>
              <w:jc w:val="right"/>
              <w:rPr>
                <w:rFonts w:asciiTheme="minorHAnsi" w:hAnsiTheme="minorHAnsi"/>
                <w:color w:val="000000"/>
                <w:sz w:val="16"/>
                <w:szCs w:val="16"/>
              </w:rPr>
            </w:pPr>
            <w:r w:rsidRPr="00553293">
              <w:rPr>
                <w:rFonts w:asciiTheme="minorHAnsi" w:hAnsiTheme="minorHAnsi"/>
                <w:color w:val="000000"/>
                <w:sz w:val="16"/>
                <w:szCs w:val="16"/>
              </w:rPr>
              <w:t>1.02388</w:t>
            </w:r>
          </w:p>
        </w:tc>
      </w:tr>
    </w:tbl>
    <w:p w:rsidR="00553293" w:rsidRDefault="00553293" w:rsidP="00553293">
      <w:pPr>
        <w:jc w:val="both"/>
      </w:pPr>
    </w:p>
    <w:p w:rsidR="009A3C82" w:rsidRDefault="009A3C82"/>
    <w:p w:rsidR="00D6708F" w:rsidRDefault="00D6708F"/>
    <w:p w:rsidR="008412F8" w:rsidRDefault="00317A79">
      <w:pPr>
        <w:pStyle w:val="Heading2"/>
      </w:pPr>
      <w:r>
        <w:t xml:space="preserve">PF </w:t>
      </w:r>
      <w:r w:rsidRPr="0048173E">
        <w:t xml:space="preserve">Price </w:t>
      </w:r>
      <w:r>
        <w:t>Accuracy</w:t>
      </w:r>
      <w:r w:rsidR="00470846">
        <w:t xml:space="preserve"> Index</w:t>
      </w:r>
    </w:p>
    <w:p w:rsidR="00553293" w:rsidRDefault="00CD5CB0" w:rsidP="00553293">
      <w:pPr>
        <w:ind w:firstLine="720"/>
        <w:jc w:val="both"/>
      </w:pPr>
      <w:r>
        <w:t xml:space="preserve">To calculate the PF Price Accuracy </w:t>
      </w:r>
      <w:r w:rsidR="008D71DA">
        <w:t>index</w:t>
      </w:r>
      <w:r>
        <w:t xml:space="preserve">, </w:t>
      </w:r>
      <w:r w:rsidR="00E04737">
        <w:t>the point of sale reported o</w:t>
      </w:r>
      <w:r w:rsidR="00210B8D">
        <w:t xml:space="preserve">n </w:t>
      </w:r>
      <w:r>
        <w:t>e</w:t>
      </w:r>
      <w:r w:rsidR="00317A79" w:rsidRPr="00317A79">
        <w:t>ach PDE claim is compared to the</w:t>
      </w:r>
      <w:r w:rsidR="00210B8D">
        <w:t xml:space="preserve"> total cost resulting from using the unit</w:t>
      </w:r>
      <w:r w:rsidR="00E04737">
        <w:t xml:space="preserve"> price reported o</w:t>
      </w:r>
      <w:r w:rsidR="00317A79" w:rsidRPr="00317A79">
        <w:t>n Plan Finder</w:t>
      </w:r>
      <w:r w:rsidR="00ED1834">
        <w:rPr>
          <w:rStyle w:val="FootnoteReference"/>
        </w:rPr>
        <w:footnoteReference w:id="1"/>
      </w:r>
      <w:r w:rsidR="004503EC">
        <w:t>.</w:t>
      </w:r>
      <w:r w:rsidR="00ED1834">
        <w:t xml:space="preserve"> </w:t>
      </w:r>
      <w:r w:rsidR="00317A79" w:rsidRPr="00317A79">
        <w:t xml:space="preserve"> </w:t>
      </w:r>
      <w:r>
        <w:t xml:space="preserve">This comparison includes only PDEs for which a </w:t>
      </w:r>
      <w:r w:rsidR="00B249AA">
        <w:t xml:space="preserve">PF </w:t>
      </w:r>
      <w:r w:rsidR="00317A79" w:rsidRPr="00317A79">
        <w:t xml:space="preserve">cost </w:t>
      </w:r>
      <w:r>
        <w:t xml:space="preserve">can be </w:t>
      </w:r>
      <w:r w:rsidRPr="00A00BAF">
        <w:t>assigned.  In particular,</w:t>
      </w:r>
      <w:r w:rsidR="00B249AA" w:rsidRPr="00A00BAF">
        <w:t xml:space="preserve"> a PDE must meet </w:t>
      </w:r>
      <w:r w:rsidR="00541248">
        <w:t>five</w:t>
      </w:r>
      <w:r w:rsidR="00B249AA" w:rsidRPr="00A00BAF">
        <w:t xml:space="preserve"> conditions to be included in the analysis</w:t>
      </w:r>
      <w:r w:rsidR="00541248">
        <w:t>:</w:t>
      </w:r>
      <w:r w:rsidR="00B249AA" w:rsidRPr="00A00BAF">
        <w:t xml:space="preserve"> </w:t>
      </w:r>
    </w:p>
    <w:p w:rsidR="00553293" w:rsidRDefault="00553293" w:rsidP="00553293">
      <w:pPr>
        <w:ind w:firstLine="720"/>
        <w:jc w:val="both"/>
      </w:pPr>
    </w:p>
    <w:p w:rsidR="00553293" w:rsidRDefault="00541248" w:rsidP="00553293">
      <w:pPr>
        <w:pStyle w:val="ListParagraph"/>
        <w:numPr>
          <w:ilvl w:val="0"/>
          <w:numId w:val="12"/>
        </w:numPr>
        <w:jc w:val="both"/>
      </w:pPr>
      <w:r>
        <w:t>T</w:t>
      </w:r>
      <w:r w:rsidR="00CD5CB0">
        <w:t>he</w:t>
      </w:r>
      <w:r w:rsidR="00A00BAF">
        <w:t xml:space="preserve"> NCPDP number for the pharmacy o</w:t>
      </w:r>
      <w:r w:rsidR="00317A79" w:rsidRPr="00317A79">
        <w:t>n the PDE claim must appear in the pharmacy cost file</w:t>
      </w:r>
      <w:r w:rsidR="00B249AA">
        <w:t xml:space="preserve">. </w:t>
      </w:r>
    </w:p>
    <w:p w:rsidR="00553293" w:rsidRDefault="00541248" w:rsidP="00553293">
      <w:pPr>
        <w:pStyle w:val="ListParagraph"/>
        <w:numPr>
          <w:ilvl w:val="0"/>
          <w:numId w:val="12"/>
        </w:numPr>
        <w:jc w:val="both"/>
      </w:pPr>
      <w:r>
        <w:t>T</w:t>
      </w:r>
      <w:r w:rsidR="00CD5CB0">
        <w:t>he</w:t>
      </w:r>
      <w:r w:rsidR="00317A79" w:rsidRPr="00317A79">
        <w:t xml:space="preserve"> </w:t>
      </w:r>
      <w:r w:rsidR="00CD5CB0">
        <w:t>corresponding</w:t>
      </w:r>
      <w:r w:rsidR="00317A79" w:rsidRPr="00317A79">
        <w:t xml:space="preserve"> reference NDC must appear under the relevant price ID for the pharmacy in the pricing file.  </w:t>
      </w:r>
    </w:p>
    <w:p w:rsidR="00553293" w:rsidRDefault="00541248" w:rsidP="00553293">
      <w:pPr>
        <w:pStyle w:val="ListParagraph"/>
        <w:numPr>
          <w:ilvl w:val="0"/>
          <w:numId w:val="12"/>
        </w:numPr>
        <w:jc w:val="both"/>
      </w:pPr>
      <w:r>
        <w:t>B</w:t>
      </w:r>
      <w:r w:rsidR="00317A79" w:rsidRPr="00317A79">
        <w:t>ecause</w:t>
      </w:r>
      <w:r w:rsidR="00A00BAF">
        <w:t xml:space="preserve"> the retail unit cost reported o</w:t>
      </w:r>
      <w:r w:rsidR="00317A79" w:rsidRPr="00317A79">
        <w:t>n Plan Finder is intended to apply to a 30 day supply of a drug</w:t>
      </w:r>
      <w:r w:rsidR="00CD5CB0">
        <w:t xml:space="preserve">, </w:t>
      </w:r>
      <w:r w:rsidR="00CD5CB0" w:rsidRPr="00317A79">
        <w:t xml:space="preserve">only </w:t>
      </w:r>
      <w:r w:rsidR="00193B6E">
        <w:t xml:space="preserve">retail </w:t>
      </w:r>
      <w:r w:rsidR="00CD5CB0" w:rsidRPr="00317A79">
        <w:t>claims with a 30-day supply</w:t>
      </w:r>
      <w:r w:rsidR="0063772D" w:rsidRPr="0063772D">
        <w:t xml:space="preserve"> </w:t>
      </w:r>
      <w:r w:rsidR="0063772D">
        <w:t>are included</w:t>
      </w:r>
      <w:r w:rsidR="00CD5CB0" w:rsidRPr="00317A79">
        <w:t xml:space="preserve">.  </w:t>
      </w:r>
      <w:r w:rsidR="00193B6E">
        <w:t xml:space="preserve">Claims reporting a different day supply value and claims for different types of pharmacies (long term care, mail, specialty, or home infusion) are excluded.  </w:t>
      </w:r>
    </w:p>
    <w:p w:rsidR="00553293" w:rsidRDefault="00265D90" w:rsidP="00553293">
      <w:pPr>
        <w:pStyle w:val="ListParagraph"/>
        <w:numPr>
          <w:ilvl w:val="0"/>
          <w:numId w:val="12"/>
        </w:numPr>
        <w:jc w:val="both"/>
      </w:pPr>
      <w:r>
        <w:t xml:space="preserve">PDEs for dates of service </w:t>
      </w:r>
      <w:r w:rsidR="00FB0CB9">
        <w:t>during which</w:t>
      </w:r>
      <w:r>
        <w:t xml:space="preserve"> the plan </w:t>
      </w:r>
      <w:r w:rsidR="00FB0CB9">
        <w:t>w</w:t>
      </w:r>
      <w:r>
        <w:t xml:space="preserve">as suppressed </w:t>
      </w:r>
      <w:r w:rsidR="00FB0CB9">
        <w:t>from Plan Finder</w:t>
      </w:r>
      <w:r w:rsidR="002C1BFC">
        <w:t xml:space="preserve"> or where the relevant pharmacy or drug was not reported in Plan Finder</w:t>
      </w:r>
      <w:r w:rsidR="00FB0CB9">
        <w:t xml:space="preserve"> </w:t>
      </w:r>
      <w:r>
        <w:t xml:space="preserve">are not included since no </w:t>
      </w:r>
      <w:r w:rsidR="00FB0CB9">
        <w:t>Plan Finder cost</w:t>
      </w:r>
      <w:r>
        <w:t xml:space="preserve"> can be assigned.  </w:t>
      </w:r>
    </w:p>
    <w:p w:rsidR="00553293" w:rsidRDefault="00F26B2F" w:rsidP="00553293">
      <w:pPr>
        <w:pStyle w:val="ListParagraph"/>
        <w:numPr>
          <w:ilvl w:val="0"/>
          <w:numId w:val="12"/>
        </w:numPr>
        <w:jc w:val="both"/>
      </w:pPr>
      <w:r>
        <w:t xml:space="preserve">PDEs for compound claims </w:t>
      </w:r>
      <w:r w:rsidR="00CB0CC5">
        <w:t xml:space="preserve">and non-covered drugs </w:t>
      </w:r>
      <w:r>
        <w:t>are not included.</w:t>
      </w:r>
    </w:p>
    <w:p w:rsidR="00553293" w:rsidRDefault="00553293" w:rsidP="00553293">
      <w:pPr>
        <w:ind w:firstLine="720"/>
        <w:jc w:val="both"/>
      </w:pPr>
    </w:p>
    <w:p w:rsidR="00553293" w:rsidRDefault="00B249AA" w:rsidP="00553293">
      <w:pPr>
        <w:ind w:firstLine="720"/>
        <w:jc w:val="both"/>
      </w:pPr>
      <w:r>
        <w:t xml:space="preserve">Once PF unit costs </w:t>
      </w:r>
      <w:r w:rsidR="00CE7973">
        <w:t>are</w:t>
      </w:r>
      <w:r>
        <w:t xml:space="preserve"> assigned, the total PF ingredient cost is calculated by multiplying the unit co</w:t>
      </w:r>
      <w:r w:rsidR="00DE4B64">
        <w:t>s</w:t>
      </w:r>
      <w:r w:rsidR="00A00BAF">
        <w:t>ts reported o</w:t>
      </w:r>
      <w:r>
        <w:t xml:space="preserve">n PF by </w:t>
      </w:r>
      <w:r w:rsidR="00CE7973">
        <w:t>th</w:t>
      </w:r>
      <w:r w:rsidR="00046EAA">
        <w:t xml:space="preserve">e </w:t>
      </w:r>
      <w:r w:rsidR="00046EAA" w:rsidRPr="00515204">
        <w:t>quantity</w:t>
      </w:r>
      <w:r w:rsidR="00CE7973">
        <w:t xml:space="preserve"> </w:t>
      </w:r>
      <w:r w:rsidR="00515204">
        <w:t xml:space="preserve">listed on the PDE.  </w:t>
      </w:r>
      <w:r w:rsidR="00A03A9A">
        <w:t xml:space="preserve">The PDE total cost (TC) is </w:t>
      </w:r>
      <w:r w:rsidR="001946E9">
        <w:t>the sum of the</w:t>
      </w:r>
      <w:r w:rsidR="00A03A9A">
        <w:t xml:space="preserve"> </w:t>
      </w:r>
      <w:r w:rsidR="001946E9">
        <w:t xml:space="preserve">PDE </w:t>
      </w:r>
      <w:r w:rsidR="00A03A9A">
        <w:t xml:space="preserve">ingredient cost paid </w:t>
      </w:r>
      <w:r w:rsidR="001946E9">
        <w:t>and the</w:t>
      </w:r>
      <w:r w:rsidR="00A03A9A">
        <w:t xml:space="preserve"> </w:t>
      </w:r>
      <w:r w:rsidR="001946E9">
        <w:t xml:space="preserve">PDE </w:t>
      </w:r>
      <w:r w:rsidR="00A03A9A">
        <w:t xml:space="preserve">dispensing fee.  Likewise, the PF TC is the </w:t>
      </w:r>
      <w:r w:rsidR="001946E9">
        <w:t xml:space="preserve">sum of the </w:t>
      </w:r>
      <w:r w:rsidR="00A03A9A">
        <w:t xml:space="preserve">PF ingredient cost </w:t>
      </w:r>
      <w:r w:rsidR="001946E9">
        <w:t>and</w:t>
      </w:r>
      <w:r w:rsidR="00A03A9A">
        <w:t xml:space="preserve"> the PF dispensing fee.  </w:t>
      </w:r>
      <w:r w:rsidR="00CD5CB0">
        <w:t xml:space="preserve">Each claim </w:t>
      </w:r>
      <w:r>
        <w:t xml:space="preserve">is then </w:t>
      </w:r>
      <w:r w:rsidR="00CD5CB0">
        <w:t xml:space="preserve">given </w:t>
      </w:r>
      <w:r>
        <w:t>a</w:t>
      </w:r>
      <w:r w:rsidR="00CD5CB0">
        <w:t xml:space="preserve"> score equal to the</w:t>
      </w:r>
      <w:r w:rsidR="004503EC">
        <w:t xml:space="preserve"> </w:t>
      </w:r>
      <w:r w:rsidR="00CD5CB0">
        <w:t>difference bet</w:t>
      </w:r>
      <w:r>
        <w:t>we</w:t>
      </w:r>
      <w:r w:rsidR="00CD5CB0">
        <w:t>e</w:t>
      </w:r>
      <w:r>
        <w:t xml:space="preserve">n the </w:t>
      </w:r>
      <w:r w:rsidR="00A03A9A">
        <w:t>PDE TC</w:t>
      </w:r>
      <w:r>
        <w:t xml:space="preserve"> and the PF </w:t>
      </w:r>
      <w:r w:rsidR="00A03A9A">
        <w:t>TC</w:t>
      </w:r>
      <w:r w:rsidR="00A03A9A">
        <w:rPr>
          <w:rStyle w:val="FootnoteReference"/>
        </w:rPr>
        <w:footnoteReference w:id="2"/>
      </w:r>
      <w:r w:rsidR="00A03A9A">
        <w:t xml:space="preserve">.  </w:t>
      </w:r>
      <w:r w:rsidR="00631525">
        <w:t xml:space="preserve">The best possible PF Price Accuracy Index is 1.  </w:t>
      </w:r>
      <w:r>
        <w:t xml:space="preserve">The contract level PF Price Accuracy </w:t>
      </w:r>
      <w:r w:rsidR="00BB33DB">
        <w:t xml:space="preserve">Index </w:t>
      </w:r>
      <w:r>
        <w:t>is calculated as follows:</w:t>
      </w:r>
    </w:p>
    <w:p w:rsidR="00553293" w:rsidRDefault="00553293" w:rsidP="00553293">
      <w:pPr>
        <w:ind w:firstLine="720"/>
        <w:jc w:val="both"/>
      </w:pPr>
    </w:p>
    <w:p w:rsidR="00553293" w:rsidRDefault="00B05A8B" w:rsidP="00553293">
      <w:pPr>
        <w:ind w:firstLine="720"/>
        <w:jc w:val="both"/>
        <w:rPr>
          <w:i/>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rPr>
            <m:t xml:space="preserve">= </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i</m:t>
                  </m:r>
                </m:sub>
                <m:sup/>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TC</m:t>
                              </m:r>
                            </m:e>
                            <m:sub>
                              <m:r>
                                <w:rPr>
                                  <w:rFonts w:ascii="Cambria Math" w:hAnsi="Cambria Math"/>
                                </w:rPr>
                                <m:t>iPDE</m:t>
                              </m:r>
                            </m:sub>
                          </m:sSub>
                          <m:r>
                            <w:rPr>
                              <w:rFonts w:ascii="Cambria Math" w:hAnsi="Cambria Math"/>
                            </w:rPr>
                            <m:t>-</m:t>
                          </m:r>
                          <m:r>
                            <w:rPr>
                              <w:rFonts w:ascii="Cambria Math"/>
                            </w:rPr>
                            <m:t xml:space="preserve"> </m:t>
                          </m:r>
                          <m:sSub>
                            <m:sSubPr>
                              <m:ctrlPr>
                                <w:rPr>
                                  <w:rFonts w:ascii="Cambria Math" w:hAnsi="Cambria Math"/>
                                  <w:i/>
                                </w:rPr>
                              </m:ctrlPr>
                            </m:sSubPr>
                            <m:e>
                              <m:r>
                                <w:rPr>
                                  <w:rFonts w:ascii="Cambria Math" w:hAnsi="Cambria Math"/>
                                </w:rPr>
                                <m:t>TC</m:t>
                              </m:r>
                            </m:e>
                            <m:sub>
                              <m:r>
                                <w:rPr>
                                  <w:rFonts w:ascii="Cambria Math" w:hAnsi="Cambria Math"/>
                                </w:rPr>
                                <m:t>iPF</m:t>
                              </m:r>
                            </m:sub>
                          </m:sSub>
                          <m:r>
                            <w:rPr>
                              <w:rFonts w:ascii="Cambria Math"/>
                            </w:rPr>
                            <m:t>, 0</m:t>
                          </m:r>
                        </m:e>
                      </m:d>
                    </m:e>
                  </m:func>
                  <m:r>
                    <w:rPr>
                      <w:rFonts w:ascii="Cambria Math"/>
                    </w:rPr>
                    <m:t xml:space="preserve">+ </m:t>
                  </m:r>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TC</m:t>
                          </m:r>
                        </m:e>
                        <m:sub>
                          <m:r>
                            <w:rPr>
                              <w:rFonts w:ascii="Cambria Math" w:hAnsi="Cambria Math"/>
                            </w:rPr>
                            <m:t>iPDE</m:t>
                          </m:r>
                        </m:sub>
                      </m:sSub>
                    </m:e>
                  </m:nary>
                </m:e>
              </m:nary>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TC</m:t>
                      </m:r>
                    </m:e>
                    <m:sub>
                      <m:r>
                        <w:rPr>
                          <w:rFonts w:ascii="Cambria Math" w:hAnsi="Cambria Math"/>
                        </w:rPr>
                        <m:t>iPDE</m:t>
                      </m:r>
                    </m:sub>
                  </m:sSub>
                </m:e>
              </m:nary>
            </m:den>
          </m:f>
        </m:oMath>
      </m:oMathPara>
    </w:p>
    <w:p w:rsidR="00553293" w:rsidRDefault="00553293" w:rsidP="00553293">
      <w:pPr>
        <w:ind w:firstLine="720"/>
        <w:jc w:val="both"/>
      </w:pPr>
    </w:p>
    <w:p w:rsidR="00553293" w:rsidRDefault="00E175FA" w:rsidP="00553293">
      <w:pPr>
        <w:ind w:firstLine="720"/>
        <w:jc w:val="both"/>
      </w:pPr>
      <w:proofErr w:type="gramStart"/>
      <w:r>
        <w:t>w</w:t>
      </w:r>
      <w:r w:rsidR="00210B8D">
        <w:t>here</w:t>
      </w:r>
      <w:proofErr w:type="gramEnd"/>
    </w:p>
    <w:p w:rsidR="00553293" w:rsidRDefault="00460DE1" w:rsidP="00553293">
      <w:pPr>
        <w:ind w:firstLine="720"/>
        <w:jc w:val="both"/>
      </w:pPr>
      <w:proofErr w:type="spellStart"/>
      <w:r>
        <w:rPr>
          <w:i/>
        </w:rPr>
        <w:t>TC</w:t>
      </w:r>
      <w:r w:rsidRPr="00210B8D">
        <w:rPr>
          <w:vertAlign w:val="subscript"/>
        </w:rPr>
        <w:t>i</w:t>
      </w:r>
      <w:r w:rsidRPr="00CE7973">
        <w:rPr>
          <w:i/>
          <w:vertAlign w:val="subscript"/>
        </w:rPr>
        <w:t>PDE</w:t>
      </w:r>
      <w:proofErr w:type="spellEnd"/>
      <w:r>
        <w:t xml:space="preserve"> </w:t>
      </w:r>
      <w:r w:rsidR="00210B8D">
        <w:t>is the total ingredient</w:t>
      </w:r>
      <w:r w:rsidR="00A03A9A">
        <w:t xml:space="preserve"> cost plus</w:t>
      </w:r>
      <w:r w:rsidR="00CE7973">
        <w:t xml:space="preserve"> dispensing fee </w:t>
      </w:r>
      <w:r w:rsidR="00210B8D">
        <w:t>from PDE data</w:t>
      </w:r>
    </w:p>
    <w:p w:rsidR="00553293" w:rsidRDefault="00460DE1" w:rsidP="00553293">
      <w:pPr>
        <w:ind w:left="1440" w:hanging="720"/>
        <w:jc w:val="both"/>
      </w:pPr>
      <w:proofErr w:type="spellStart"/>
      <w:r>
        <w:rPr>
          <w:i/>
        </w:rPr>
        <w:t>TC</w:t>
      </w:r>
      <w:r w:rsidR="001B27AE">
        <w:rPr>
          <w:i/>
          <w:vertAlign w:val="subscript"/>
        </w:rPr>
        <w:t>i</w:t>
      </w:r>
      <w:r w:rsidRPr="00210B8D">
        <w:rPr>
          <w:i/>
          <w:vertAlign w:val="subscript"/>
        </w:rPr>
        <w:t>PF</w:t>
      </w:r>
      <w:proofErr w:type="spellEnd"/>
      <w:r>
        <w:t xml:space="preserve"> </w:t>
      </w:r>
      <w:r w:rsidR="00210B8D">
        <w:t>is the total ingredient</w:t>
      </w:r>
      <w:r w:rsidR="00A00BAF">
        <w:t xml:space="preserve"> cost</w:t>
      </w:r>
      <w:r w:rsidR="00210B8D">
        <w:t xml:space="preserve"> </w:t>
      </w:r>
      <w:r w:rsidR="00A03A9A">
        <w:t>plus dispensing fee from PF data</w:t>
      </w:r>
    </w:p>
    <w:p w:rsidR="00553293" w:rsidRDefault="00553293" w:rsidP="00553293">
      <w:pPr>
        <w:jc w:val="both"/>
      </w:pPr>
    </w:p>
    <w:p w:rsidR="00553293" w:rsidRDefault="008412F8">
      <w:pPr>
        <w:jc w:val="both"/>
        <w:rPr>
          <w:iCs/>
        </w:rPr>
      </w:pPr>
      <w:r>
        <w:rPr>
          <w:rStyle w:val="IntenseEmphasis"/>
        </w:rPr>
        <w:t>Example of Accuracy Index Calculation</w:t>
      </w:r>
    </w:p>
    <w:p w:rsidR="00553293" w:rsidRDefault="008412F8" w:rsidP="00553293">
      <w:pPr>
        <w:ind w:firstLine="720"/>
        <w:jc w:val="both"/>
      </w:pPr>
      <w:r>
        <w:t xml:space="preserve">Table 2 shows an example of the </w:t>
      </w:r>
      <w:r w:rsidR="00BB33DB">
        <w:t xml:space="preserve">Accuracy Index </w:t>
      </w:r>
      <w:r>
        <w:t xml:space="preserve">calculation.  </w:t>
      </w:r>
      <w:r w:rsidR="001409D6">
        <w:t xml:space="preserve">This contract has </w:t>
      </w:r>
      <w:r w:rsidR="006D0640">
        <w:t xml:space="preserve">4 </w:t>
      </w:r>
      <w:r w:rsidR="001409D6">
        <w:t xml:space="preserve">claims, for </w:t>
      </w:r>
      <w:r w:rsidR="006D0640">
        <w:t xml:space="preserve">4 </w:t>
      </w:r>
      <w:r w:rsidR="001409D6">
        <w:t xml:space="preserve">different NDCs and </w:t>
      </w:r>
      <w:r w:rsidR="006D0640">
        <w:t xml:space="preserve">4 </w:t>
      </w:r>
      <w:r w:rsidR="001409D6">
        <w:t xml:space="preserve">different pharmacies.  </w:t>
      </w:r>
      <w:r w:rsidR="009A6560">
        <w:t xml:space="preserve">This is an abbreviated example for illustrative purposes only; in the actual accuracy index, a contract must have 30 claims to be evaluated.  </w:t>
      </w:r>
    </w:p>
    <w:p w:rsidR="00553293" w:rsidRDefault="00553293" w:rsidP="00553293">
      <w:pPr>
        <w:ind w:firstLine="720"/>
        <w:jc w:val="both"/>
      </w:pPr>
    </w:p>
    <w:p w:rsidR="00553293" w:rsidRDefault="00666295" w:rsidP="00553293">
      <w:pPr>
        <w:ind w:firstLine="720"/>
        <w:jc w:val="both"/>
      </w:pPr>
      <w:r>
        <w:t>From each of the</w:t>
      </w:r>
      <w:r w:rsidR="006D0640">
        <w:t xml:space="preserve"> 4</w:t>
      </w:r>
      <w:r>
        <w:t xml:space="preserve"> claims, the PDE </w:t>
      </w:r>
      <w:r w:rsidR="001409D6">
        <w:t>ingredient cost, dispensing fee, and quantity dispensed are</w:t>
      </w:r>
      <w:r>
        <w:t xml:space="preserve"> obtained</w:t>
      </w:r>
      <w:r w:rsidR="001409D6">
        <w:t xml:space="preserve">.  </w:t>
      </w:r>
      <w:r>
        <w:t xml:space="preserve">Additionally, the plan ID, date of service and pharmacy number are collected from each PDE to identify the PF data that had been submitted by the contract and posted on medicare.gov on the PDE dates of service.   </w:t>
      </w:r>
      <w:r w:rsidR="000D6CFC">
        <w:t xml:space="preserve">The NDC on the claim is first assigned the appropriate reference NDC, based on the brand name, generic name, strength and dosage form.  </w:t>
      </w:r>
      <w:r>
        <w:t xml:space="preserve">Using the reference NDC, the following PF data are obtained:   </w:t>
      </w:r>
      <w:r w:rsidR="001409D6">
        <w:t>brand</w:t>
      </w:r>
      <w:r>
        <w:t>/generic</w:t>
      </w:r>
      <w:r w:rsidR="001409D6">
        <w:t xml:space="preserve"> dispensing fee</w:t>
      </w:r>
      <w:r w:rsidR="008D5AF9">
        <w:t xml:space="preserve"> </w:t>
      </w:r>
      <w:r>
        <w:t xml:space="preserve">(as </w:t>
      </w:r>
      <w:r w:rsidR="001409D6">
        <w:t xml:space="preserve">assigned </w:t>
      </w:r>
      <w:r>
        <w:t xml:space="preserve">by the </w:t>
      </w:r>
      <w:r w:rsidR="00FB7630">
        <w:t>pharmacy cost</w:t>
      </w:r>
      <w:r>
        <w:t xml:space="preserve"> file) and </w:t>
      </w:r>
      <w:r w:rsidR="001409D6">
        <w:t xml:space="preserve">30 day unit cost </w:t>
      </w:r>
      <w:r>
        <w:t xml:space="preserve">(as </w:t>
      </w:r>
      <w:r w:rsidR="001409D6">
        <w:t xml:space="preserve">assigned </w:t>
      </w:r>
      <w:r>
        <w:t xml:space="preserve">by the Price File corresponding to </w:t>
      </w:r>
      <w:r w:rsidR="001409D6">
        <w:t>that pharmacy on the date of service</w:t>
      </w:r>
      <w:r>
        <w:t>)</w:t>
      </w:r>
      <w:r w:rsidR="001409D6">
        <w:t xml:space="preserve">.  </w:t>
      </w:r>
      <w:r w:rsidR="005562C0">
        <w:t>T</w:t>
      </w:r>
      <w:r w:rsidR="001409D6">
        <w:t xml:space="preserve">he PDE total cost is </w:t>
      </w:r>
      <w:r>
        <w:t xml:space="preserve">the sum of </w:t>
      </w:r>
      <w:r w:rsidR="001409D6">
        <w:t xml:space="preserve">the </w:t>
      </w:r>
      <w:r>
        <w:t xml:space="preserve">PDE </w:t>
      </w:r>
      <w:r w:rsidR="001409D6">
        <w:t xml:space="preserve">ingredient cost </w:t>
      </w:r>
      <w:r>
        <w:t xml:space="preserve">and </w:t>
      </w:r>
      <w:r w:rsidR="001409D6">
        <w:t xml:space="preserve">dispensing fee.  The PF total cost is computed as the quantity dispensed from PDE </w:t>
      </w:r>
      <w:r w:rsidR="008D5AF9">
        <w:t xml:space="preserve">multiplied by </w:t>
      </w:r>
      <w:r w:rsidR="001409D6">
        <w:t xml:space="preserve">the PF unit cost </w:t>
      </w:r>
      <w:r w:rsidR="00C24437">
        <w:t xml:space="preserve">plus the </w:t>
      </w:r>
      <w:r w:rsidR="008D5AF9">
        <w:t xml:space="preserve">PF brand/generic </w:t>
      </w:r>
      <w:r w:rsidR="00C24437">
        <w:t>dispensing fee (</w:t>
      </w:r>
      <w:r w:rsidR="008D5AF9">
        <w:t xml:space="preserve">brand or generic status is </w:t>
      </w:r>
      <w:r w:rsidR="006921E6">
        <w:t>assigned based</w:t>
      </w:r>
      <w:r w:rsidR="008D5AF9">
        <w:t xml:space="preserve"> on the NDC).   </w:t>
      </w:r>
      <w:r w:rsidR="00C24437">
        <w:t xml:space="preserve">  </w:t>
      </w:r>
    </w:p>
    <w:p w:rsidR="00553293" w:rsidRDefault="00553293" w:rsidP="00553293">
      <w:pPr>
        <w:ind w:firstLine="720"/>
        <w:jc w:val="both"/>
      </w:pPr>
    </w:p>
    <w:p w:rsidR="00553293" w:rsidRDefault="00C24437" w:rsidP="00553293">
      <w:pPr>
        <w:ind w:firstLine="720"/>
        <w:jc w:val="both"/>
      </w:pPr>
      <w:r>
        <w:t xml:space="preserve">The last column shows the amount by which the PDE total cost is higher than the PF total cost.  When PDE total cost is less than PF total cost, this value is zero.  The accuracy index is the sum of the last column plus the sum of PDE total costs divided by the sum of PDE total costs.  </w:t>
      </w:r>
    </w:p>
    <w:p w:rsidR="009A3C82" w:rsidRDefault="009A3C82">
      <w:pPr>
        <w:ind w:firstLine="720"/>
      </w:pPr>
    </w:p>
    <w:p w:rsidR="009A3C82" w:rsidRDefault="005A654C" w:rsidP="008F369E">
      <w:pPr>
        <w:keepNext/>
        <w:ind w:left="-720" w:firstLine="720"/>
        <w:rPr>
          <w:bCs/>
          <w:color w:val="000000"/>
        </w:rPr>
      </w:pPr>
      <w:proofErr w:type="gramStart"/>
      <w:r w:rsidRPr="005A654C">
        <w:rPr>
          <w:b/>
          <w:bCs/>
          <w:color w:val="000000"/>
        </w:rPr>
        <w:t>Table 2.</w:t>
      </w:r>
      <w:proofErr w:type="gramEnd"/>
      <w:r w:rsidRPr="005A654C">
        <w:rPr>
          <w:b/>
          <w:bCs/>
          <w:color w:val="000000"/>
        </w:rPr>
        <w:t xml:space="preserve"> </w:t>
      </w:r>
      <w:r w:rsidRPr="005A654C">
        <w:rPr>
          <w:bCs/>
          <w:color w:val="000000"/>
        </w:rPr>
        <w:t>Example of Price Accuracy Index Calculation</w:t>
      </w:r>
    </w:p>
    <w:p w:rsidR="009A3C82" w:rsidRDefault="009A3C82">
      <w:pPr>
        <w:keepNext/>
        <w:ind w:left="-720"/>
        <w:jc w:val="center"/>
        <w:rPr>
          <w:bCs/>
          <w:color w:val="000000"/>
        </w:rPr>
      </w:pPr>
    </w:p>
    <w:tbl>
      <w:tblPr>
        <w:tblW w:w="10483" w:type="dxa"/>
        <w:tblInd w:w="-432" w:type="dxa"/>
        <w:tblLayout w:type="fixed"/>
        <w:tblLook w:val="04A0"/>
      </w:tblPr>
      <w:tblGrid>
        <w:gridCol w:w="990"/>
        <w:gridCol w:w="990"/>
        <w:gridCol w:w="1032"/>
        <w:gridCol w:w="1028"/>
        <w:gridCol w:w="989"/>
        <w:gridCol w:w="777"/>
        <w:gridCol w:w="663"/>
        <w:gridCol w:w="793"/>
        <w:gridCol w:w="1143"/>
        <w:gridCol w:w="627"/>
        <w:gridCol w:w="627"/>
        <w:gridCol w:w="824"/>
      </w:tblGrid>
      <w:tr w:rsidR="00B76D8D" w:rsidRPr="00B76D8D" w:rsidTr="008F369E">
        <w:trPr>
          <w:trHeight w:val="240"/>
        </w:trPr>
        <w:tc>
          <w:tcPr>
            <w:tcW w:w="5029" w:type="dxa"/>
            <w:gridSpan w:val="5"/>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9A3C82" w:rsidRDefault="00B76D8D">
            <w:pPr>
              <w:keepNext/>
              <w:jc w:val="center"/>
              <w:rPr>
                <w:rFonts w:ascii="Calibri" w:hAnsi="Calibri"/>
                <w:b/>
                <w:bCs/>
                <w:color w:val="000000"/>
                <w:sz w:val="18"/>
                <w:szCs w:val="18"/>
              </w:rPr>
            </w:pPr>
            <w:r w:rsidRPr="00B76D8D">
              <w:rPr>
                <w:rFonts w:ascii="Calibri" w:hAnsi="Calibri"/>
                <w:b/>
                <w:bCs/>
                <w:color w:val="000000"/>
                <w:sz w:val="18"/>
                <w:szCs w:val="18"/>
              </w:rPr>
              <w:t>PDE Data</w:t>
            </w:r>
          </w:p>
        </w:tc>
        <w:tc>
          <w:tcPr>
            <w:tcW w:w="2233" w:type="dxa"/>
            <w:gridSpan w:val="3"/>
            <w:tcBorders>
              <w:top w:val="single" w:sz="4" w:space="0" w:color="auto"/>
              <w:left w:val="nil"/>
              <w:bottom w:val="single" w:sz="4" w:space="0" w:color="auto"/>
              <w:right w:val="single" w:sz="4" w:space="0" w:color="auto"/>
            </w:tcBorders>
            <w:shd w:val="clear" w:color="000000" w:fill="DBE5F1"/>
            <w:noWrap/>
            <w:vAlign w:val="bottom"/>
            <w:hideMark/>
          </w:tcPr>
          <w:p w:rsidR="009A3C82" w:rsidRDefault="00B76D8D">
            <w:pPr>
              <w:keepNext/>
              <w:jc w:val="center"/>
              <w:rPr>
                <w:rFonts w:ascii="Calibri" w:hAnsi="Calibri"/>
                <w:b/>
                <w:bCs/>
                <w:color w:val="000000"/>
                <w:sz w:val="18"/>
                <w:szCs w:val="18"/>
              </w:rPr>
            </w:pPr>
            <w:r w:rsidRPr="00B76D8D">
              <w:rPr>
                <w:rFonts w:ascii="Calibri" w:hAnsi="Calibri"/>
                <w:b/>
                <w:bCs/>
                <w:color w:val="000000"/>
                <w:sz w:val="18"/>
                <w:szCs w:val="18"/>
              </w:rPr>
              <w:t>Plan Finder Data</w:t>
            </w:r>
          </w:p>
        </w:tc>
        <w:tc>
          <w:tcPr>
            <w:tcW w:w="3221" w:type="dxa"/>
            <w:gridSpan w:val="4"/>
            <w:tcBorders>
              <w:top w:val="single" w:sz="4" w:space="0" w:color="auto"/>
              <w:left w:val="nil"/>
              <w:bottom w:val="single" w:sz="4" w:space="0" w:color="auto"/>
              <w:right w:val="single" w:sz="4" w:space="0" w:color="000000"/>
            </w:tcBorders>
            <w:shd w:val="clear" w:color="000000" w:fill="DBE5F1"/>
            <w:noWrap/>
            <w:vAlign w:val="bottom"/>
            <w:hideMark/>
          </w:tcPr>
          <w:p w:rsidR="009A3C82" w:rsidRDefault="00B76D8D">
            <w:pPr>
              <w:keepNext/>
              <w:jc w:val="center"/>
              <w:rPr>
                <w:rFonts w:ascii="Calibri" w:hAnsi="Calibri"/>
                <w:b/>
                <w:bCs/>
                <w:color w:val="000000"/>
                <w:sz w:val="18"/>
                <w:szCs w:val="18"/>
              </w:rPr>
            </w:pPr>
            <w:r w:rsidRPr="00B76D8D">
              <w:rPr>
                <w:rFonts w:ascii="Calibri" w:hAnsi="Calibri"/>
                <w:b/>
                <w:bCs/>
                <w:color w:val="000000"/>
                <w:sz w:val="18"/>
                <w:szCs w:val="18"/>
              </w:rPr>
              <w:t>Calculated Values</w:t>
            </w:r>
          </w:p>
        </w:tc>
      </w:tr>
      <w:tr w:rsidR="00233DEC" w:rsidRPr="00B76D8D" w:rsidTr="008F369E">
        <w:trPr>
          <w:trHeight w:val="300"/>
        </w:trPr>
        <w:tc>
          <w:tcPr>
            <w:tcW w:w="990" w:type="dxa"/>
            <w:vMerge w:val="restart"/>
            <w:tcBorders>
              <w:top w:val="nil"/>
              <w:left w:val="single" w:sz="4" w:space="0" w:color="auto"/>
              <w:bottom w:val="single" w:sz="4" w:space="0" w:color="000000"/>
              <w:right w:val="single" w:sz="4" w:space="0" w:color="auto"/>
            </w:tcBorders>
            <w:shd w:val="clear" w:color="000000" w:fill="DBE5F1"/>
            <w:vAlign w:val="center"/>
            <w:hideMark/>
          </w:tcPr>
          <w:p w:rsidR="009A3C82" w:rsidRPr="00D03392" w:rsidRDefault="00B76D8D">
            <w:pPr>
              <w:keepNext/>
              <w:jc w:val="center"/>
              <w:rPr>
                <w:rFonts w:ascii="Calibri" w:hAnsi="Calibri"/>
                <w:b/>
                <w:bCs/>
                <w:color w:val="000000"/>
                <w:sz w:val="18"/>
                <w:szCs w:val="18"/>
              </w:rPr>
            </w:pPr>
            <w:r w:rsidRPr="00D03392">
              <w:rPr>
                <w:rFonts w:ascii="Calibri" w:hAnsi="Calibri"/>
                <w:b/>
                <w:bCs/>
                <w:color w:val="000000"/>
                <w:sz w:val="18"/>
                <w:szCs w:val="18"/>
              </w:rPr>
              <w:t>NDC</w:t>
            </w:r>
          </w:p>
        </w:tc>
        <w:tc>
          <w:tcPr>
            <w:tcW w:w="990" w:type="dxa"/>
            <w:vMerge w:val="restart"/>
            <w:tcBorders>
              <w:top w:val="nil"/>
              <w:left w:val="single" w:sz="4" w:space="0" w:color="auto"/>
              <w:bottom w:val="single" w:sz="4" w:space="0" w:color="000000"/>
              <w:right w:val="single" w:sz="4" w:space="0" w:color="auto"/>
            </w:tcBorders>
            <w:shd w:val="clear" w:color="000000" w:fill="DBE5F1"/>
            <w:vAlign w:val="center"/>
            <w:hideMark/>
          </w:tcPr>
          <w:p w:rsidR="009A3C82" w:rsidRPr="00D03392" w:rsidRDefault="00B76D8D">
            <w:pPr>
              <w:keepNext/>
              <w:jc w:val="center"/>
              <w:rPr>
                <w:rFonts w:ascii="Calibri" w:hAnsi="Calibri"/>
                <w:b/>
                <w:bCs/>
                <w:color w:val="000000"/>
                <w:sz w:val="18"/>
                <w:szCs w:val="18"/>
              </w:rPr>
            </w:pPr>
            <w:r w:rsidRPr="00D03392">
              <w:rPr>
                <w:rFonts w:ascii="Calibri" w:hAnsi="Calibri"/>
                <w:b/>
                <w:bCs/>
                <w:color w:val="000000"/>
                <w:sz w:val="18"/>
                <w:szCs w:val="18"/>
              </w:rPr>
              <w:t>Pharmacy Number</w:t>
            </w:r>
          </w:p>
        </w:tc>
        <w:tc>
          <w:tcPr>
            <w:tcW w:w="1032" w:type="dxa"/>
            <w:vMerge w:val="restart"/>
            <w:tcBorders>
              <w:top w:val="nil"/>
              <w:left w:val="single" w:sz="4" w:space="0" w:color="auto"/>
              <w:bottom w:val="single" w:sz="4" w:space="0" w:color="000000"/>
              <w:right w:val="single" w:sz="4" w:space="0" w:color="auto"/>
            </w:tcBorders>
            <w:shd w:val="clear" w:color="000000" w:fill="DBE5F1"/>
            <w:vAlign w:val="center"/>
            <w:hideMark/>
          </w:tcPr>
          <w:p w:rsidR="009A3C82" w:rsidRPr="00D03392" w:rsidRDefault="00B76D8D">
            <w:pPr>
              <w:keepNext/>
              <w:jc w:val="center"/>
              <w:rPr>
                <w:rFonts w:ascii="Calibri" w:hAnsi="Calibri"/>
                <w:b/>
                <w:bCs/>
                <w:color w:val="000000"/>
                <w:sz w:val="18"/>
                <w:szCs w:val="18"/>
              </w:rPr>
            </w:pPr>
            <w:r w:rsidRPr="00D03392">
              <w:rPr>
                <w:rFonts w:ascii="Calibri" w:hAnsi="Calibri"/>
                <w:b/>
                <w:bCs/>
                <w:color w:val="000000"/>
                <w:sz w:val="18"/>
                <w:szCs w:val="18"/>
              </w:rPr>
              <w:t>Ingredient Cost</w:t>
            </w:r>
          </w:p>
        </w:tc>
        <w:tc>
          <w:tcPr>
            <w:tcW w:w="1028" w:type="dxa"/>
            <w:vMerge w:val="restart"/>
            <w:tcBorders>
              <w:top w:val="nil"/>
              <w:left w:val="single" w:sz="4" w:space="0" w:color="auto"/>
              <w:bottom w:val="single" w:sz="4" w:space="0" w:color="000000"/>
              <w:right w:val="single" w:sz="4" w:space="0" w:color="auto"/>
            </w:tcBorders>
            <w:shd w:val="clear" w:color="000000" w:fill="DBE5F1"/>
            <w:vAlign w:val="center"/>
            <w:hideMark/>
          </w:tcPr>
          <w:p w:rsidR="009A3C82" w:rsidRPr="00D03392" w:rsidRDefault="00B76D8D">
            <w:pPr>
              <w:keepNext/>
              <w:jc w:val="center"/>
              <w:rPr>
                <w:rFonts w:ascii="Calibri" w:hAnsi="Calibri"/>
                <w:b/>
                <w:bCs/>
                <w:color w:val="000000"/>
                <w:sz w:val="18"/>
                <w:szCs w:val="18"/>
              </w:rPr>
            </w:pPr>
            <w:r w:rsidRPr="00D03392">
              <w:rPr>
                <w:rFonts w:ascii="Calibri" w:hAnsi="Calibri"/>
                <w:b/>
                <w:bCs/>
                <w:color w:val="000000"/>
                <w:sz w:val="18"/>
                <w:szCs w:val="18"/>
              </w:rPr>
              <w:t>Dispensing Fee</w:t>
            </w:r>
          </w:p>
        </w:tc>
        <w:tc>
          <w:tcPr>
            <w:tcW w:w="989" w:type="dxa"/>
            <w:vMerge w:val="restart"/>
            <w:tcBorders>
              <w:top w:val="nil"/>
              <w:left w:val="single" w:sz="4" w:space="0" w:color="auto"/>
              <w:bottom w:val="single" w:sz="4" w:space="0" w:color="000000"/>
              <w:right w:val="single" w:sz="4" w:space="0" w:color="auto"/>
            </w:tcBorders>
            <w:shd w:val="clear" w:color="000000" w:fill="DBE5F1"/>
            <w:vAlign w:val="center"/>
            <w:hideMark/>
          </w:tcPr>
          <w:p w:rsidR="009A3C82" w:rsidRPr="00D03392" w:rsidRDefault="00B76D8D">
            <w:pPr>
              <w:keepNext/>
              <w:jc w:val="center"/>
              <w:rPr>
                <w:rFonts w:ascii="Calibri" w:hAnsi="Calibri"/>
                <w:b/>
                <w:bCs/>
                <w:color w:val="000000"/>
                <w:sz w:val="18"/>
                <w:szCs w:val="18"/>
              </w:rPr>
            </w:pPr>
            <w:r w:rsidRPr="00D03392">
              <w:rPr>
                <w:rFonts w:ascii="Calibri" w:hAnsi="Calibri"/>
                <w:b/>
                <w:bCs/>
                <w:color w:val="000000"/>
                <w:sz w:val="18"/>
                <w:szCs w:val="18"/>
              </w:rPr>
              <w:t>Quantity Dispensed</w:t>
            </w:r>
          </w:p>
        </w:tc>
        <w:tc>
          <w:tcPr>
            <w:tcW w:w="777" w:type="dxa"/>
            <w:vMerge w:val="restart"/>
            <w:tcBorders>
              <w:top w:val="nil"/>
              <w:left w:val="single" w:sz="4" w:space="0" w:color="auto"/>
              <w:bottom w:val="single" w:sz="4" w:space="0" w:color="000000"/>
              <w:right w:val="single" w:sz="4" w:space="0" w:color="auto"/>
            </w:tcBorders>
            <w:shd w:val="clear" w:color="000000" w:fill="DBE5F1"/>
            <w:vAlign w:val="center"/>
            <w:hideMark/>
          </w:tcPr>
          <w:p w:rsidR="009A3C82" w:rsidRDefault="005562C0">
            <w:pPr>
              <w:keepNext/>
              <w:jc w:val="center"/>
              <w:rPr>
                <w:rFonts w:ascii="Calibri" w:hAnsi="Calibri"/>
                <w:b/>
                <w:bCs/>
                <w:color w:val="000000"/>
                <w:sz w:val="18"/>
                <w:szCs w:val="18"/>
              </w:rPr>
            </w:pPr>
            <w:r>
              <w:rPr>
                <w:rFonts w:ascii="Calibri" w:hAnsi="Calibri"/>
                <w:b/>
                <w:bCs/>
                <w:color w:val="000000"/>
                <w:sz w:val="18"/>
                <w:szCs w:val="18"/>
              </w:rPr>
              <w:t xml:space="preserve">Unit Cost for </w:t>
            </w:r>
            <w:r w:rsidR="00B76D8D" w:rsidRPr="00B76D8D">
              <w:rPr>
                <w:rFonts w:ascii="Calibri" w:hAnsi="Calibri"/>
                <w:b/>
                <w:bCs/>
                <w:color w:val="000000"/>
                <w:sz w:val="18"/>
                <w:szCs w:val="18"/>
              </w:rPr>
              <w:t>30 Day Supply</w:t>
            </w:r>
          </w:p>
        </w:tc>
        <w:tc>
          <w:tcPr>
            <w:tcW w:w="1456" w:type="dxa"/>
            <w:gridSpan w:val="2"/>
            <w:tcBorders>
              <w:top w:val="single" w:sz="4" w:space="0" w:color="auto"/>
              <w:left w:val="nil"/>
              <w:bottom w:val="single" w:sz="4" w:space="0" w:color="auto"/>
              <w:right w:val="single" w:sz="4" w:space="0" w:color="000000"/>
            </w:tcBorders>
            <w:shd w:val="clear" w:color="000000" w:fill="DBE5F1"/>
            <w:noWrap/>
            <w:vAlign w:val="center"/>
            <w:hideMark/>
          </w:tcPr>
          <w:p w:rsidR="009A3C82" w:rsidRDefault="00B76D8D">
            <w:pPr>
              <w:keepNext/>
              <w:jc w:val="center"/>
              <w:rPr>
                <w:rFonts w:ascii="Calibri" w:hAnsi="Calibri"/>
                <w:b/>
                <w:bCs/>
                <w:color w:val="000000"/>
                <w:sz w:val="18"/>
                <w:szCs w:val="18"/>
              </w:rPr>
            </w:pPr>
            <w:r w:rsidRPr="00B76D8D">
              <w:rPr>
                <w:rFonts w:ascii="Calibri" w:hAnsi="Calibri"/>
                <w:b/>
                <w:bCs/>
                <w:color w:val="000000"/>
                <w:sz w:val="18"/>
                <w:szCs w:val="18"/>
              </w:rPr>
              <w:t>Dispensing Fee</w:t>
            </w:r>
          </w:p>
        </w:tc>
        <w:tc>
          <w:tcPr>
            <w:tcW w:w="1143" w:type="dxa"/>
            <w:vMerge w:val="restart"/>
            <w:tcBorders>
              <w:top w:val="nil"/>
              <w:left w:val="single" w:sz="4" w:space="0" w:color="auto"/>
              <w:bottom w:val="single" w:sz="4" w:space="0" w:color="000000"/>
              <w:right w:val="nil"/>
            </w:tcBorders>
            <w:shd w:val="clear" w:color="000000" w:fill="DBE5F1"/>
            <w:vAlign w:val="center"/>
            <w:hideMark/>
          </w:tcPr>
          <w:p w:rsidR="009A3C82" w:rsidRDefault="00B76D8D">
            <w:pPr>
              <w:keepNext/>
              <w:jc w:val="center"/>
              <w:rPr>
                <w:rFonts w:ascii="Calibri" w:hAnsi="Calibri"/>
                <w:b/>
                <w:bCs/>
                <w:color w:val="000000"/>
                <w:sz w:val="18"/>
                <w:szCs w:val="18"/>
              </w:rPr>
            </w:pPr>
            <w:r w:rsidRPr="00B76D8D">
              <w:rPr>
                <w:rFonts w:ascii="Calibri" w:hAnsi="Calibri"/>
                <w:b/>
                <w:bCs/>
                <w:color w:val="000000"/>
                <w:sz w:val="18"/>
                <w:szCs w:val="18"/>
              </w:rPr>
              <w:t>Brand or Generic</w:t>
            </w:r>
            <w:r w:rsidR="00B01279">
              <w:rPr>
                <w:rFonts w:ascii="Calibri" w:hAnsi="Calibri"/>
                <w:b/>
                <w:bCs/>
                <w:color w:val="000000"/>
                <w:sz w:val="18"/>
                <w:szCs w:val="18"/>
              </w:rPr>
              <w:t xml:space="preserve"> Status  </w:t>
            </w:r>
          </w:p>
        </w:tc>
        <w:tc>
          <w:tcPr>
            <w:tcW w:w="1254" w:type="dxa"/>
            <w:gridSpan w:val="2"/>
            <w:tcBorders>
              <w:top w:val="single" w:sz="4" w:space="0" w:color="auto"/>
              <w:left w:val="single" w:sz="4" w:space="0" w:color="auto"/>
              <w:bottom w:val="single" w:sz="4" w:space="0" w:color="auto"/>
              <w:right w:val="single" w:sz="4" w:space="0" w:color="auto"/>
            </w:tcBorders>
            <w:shd w:val="clear" w:color="000000" w:fill="DBE5F1"/>
            <w:vAlign w:val="center"/>
            <w:hideMark/>
          </w:tcPr>
          <w:p w:rsidR="009A3C82" w:rsidRDefault="00B76D8D">
            <w:pPr>
              <w:keepNext/>
              <w:jc w:val="center"/>
              <w:rPr>
                <w:rFonts w:ascii="Calibri" w:hAnsi="Calibri"/>
                <w:b/>
                <w:bCs/>
                <w:color w:val="000000"/>
                <w:sz w:val="18"/>
                <w:szCs w:val="18"/>
              </w:rPr>
            </w:pPr>
            <w:r w:rsidRPr="00B76D8D">
              <w:rPr>
                <w:rFonts w:ascii="Calibri" w:hAnsi="Calibri"/>
                <w:b/>
                <w:bCs/>
                <w:color w:val="000000"/>
                <w:sz w:val="18"/>
                <w:szCs w:val="18"/>
              </w:rPr>
              <w:t>Total Cost</w:t>
            </w:r>
          </w:p>
        </w:tc>
        <w:tc>
          <w:tcPr>
            <w:tcW w:w="824" w:type="dxa"/>
            <w:vMerge w:val="restart"/>
            <w:tcBorders>
              <w:top w:val="nil"/>
              <w:left w:val="nil"/>
              <w:bottom w:val="single" w:sz="4" w:space="0" w:color="000000"/>
              <w:right w:val="single" w:sz="4" w:space="0" w:color="auto"/>
            </w:tcBorders>
            <w:shd w:val="clear" w:color="000000" w:fill="DBE5F1"/>
            <w:vAlign w:val="center"/>
            <w:hideMark/>
          </w:tcPr>
          <w:p w:rsidR="009A3C82" w:rsidRDefault="00B76D8D">
            <w:pPr>
              <w:keepNext/>
              <w:jc w:val="center"/>
              <w:rPr>
                <w:rFonts w:ascii="Calibri" w:hAnsi="Calibri"/>
                <w:b/>
                <w:bCs/>
                <w:color w:val="000000"/>
                <w:sz w:val="18"/>
                <w:szCs w:val="18"/>
              </w:rPr>
            </w:pPr>
            <w:r w:rsidRPr="00B76D8D">
              <w:rPr>
                <w:rFonts w:ascii="Calibri" w:hAnsi="Calibri"/>
                <w:b/>
                <w:bCs/>
                <w:color w:val="000000"/>
                <w:sz w:val="18"/>
                <w:szCs w:val="18"/>
              </w:rPr>
              <w:t>Amount that PDE is higher than PF</w:t>
            </w:r>
          </w:p>
        </w:tc>
      </w:tr>
      <w:tr w:rsidR="00B76D8D" w:rsidRPr="00B76D8D" w:rsidTr="008F369E">
        <w:trPr>
          <w:trHeight w:val="945"/>
        </w:trPr>
        <w:tc>
          <w:tcPr>
            <w:tcW w:w="990" w:type="dxa"/>
            <w:vMerge/>
            <w:tcBorders>
              <w:top w:val="nil"/>
              <w:left w:val="single" w:sz="4" w:space="0" w:color="auto"/>
              <w:bottom w:val="single" w:sz="4" w:space="0" w:color="000000"/>
              <w:right w:val="single" w:sz="4" w:space="0" w:color="auto"/>
            </w:tcBorders>
            <w:vAlign w:val="center"/>
            <w:hideMark/>
          </w:tcPr>
          <w:p w:rsidR="009A3C82" w:rsidRDefault="009A3C82">
            <w:pPr>
              <w:keepNext/>
              <w:rPr>
                <w:rFonts w:ascii="Calibri" w:hAnsi="Calibri"/>
                <w:b/>
                <w:bCs/>
                <w:color w:val="000000"/>
                <w:sz w:val="18"/>
                <w:szCs w:val="18"/>
              </w:rPr>
            </w:pPr>
          </w:p>
        </w:tc>
        <w:tc>
          <w:tcPr>
            <w:tcW w:w="990" w:type="dxa"/>
            <w:vMerge/>
            <w:tcBorders>
              <w:top w:val="nil"/>
              <w:left w:val="single" w:sz="4" w:space="0" w:color="auto"/>
              <w:bottom w:val="single" w:sz="4" w:space="0" w:color="000000"/>
              <w:right w:val="single" w:sz="4" w:space="0" w:color="auto"/>
            </w:tcBorders>
            <w:vAlign w:val="center"/>
            <w:hideMark/>
          </w:tcPr>
          <w:p w:rsidR="009A3C82" w:rsidRDefault="009A3C82">
            <w:pPr>
              <w:keepNext/>
              <w:rPr>
                <w:rFonts w:ascii="Calibri" w:hAnsi="Calibri"/>
                <w:b/>
                <w:bCs/>
                <w:color w:val="000000"/>
                <w:sz w:val="18"/>
                <w:szCs w:val="18"/>
              </w:rPr>
            </w:pPr>
          </w:p>
        </w:tc>
        <w:tc>
          <w:tcPr>
            <w:tcW w:w="1032" w:type="dxa"/>
            <w:vMerge/>
            <w:tcBorders>
              <w:top w:val="nil"/>
              <w:left w:val="single" w:sz="4" w:space="0" w:color="auto"/>
              <w:bottom w:val="single" w:sz="4" w:space="0" w:color="000000"/>
              <w:right w:val="single" w:sz="4" w:space="0" w:color="auto"/>
            </w:tcBorders>
            <w:vAlign w:val="center"/>
            <w:hideMark/>
          </w:tcPr>
          <w:p w:rsidR="009A3C82" w:rsidRDefault="009A3C82">
            <w:pPr>
              <w:keepNext/>
              <w:rPr>
                <w:rFonts w:ascii="Calibri" w:hAnsi="Calibri"/>
                <w:b/>
                <w:bCs/>
                <w:color w:val="000000"/>
                <w:sz w:val="18"/>
                <w:szCs w:val="18"/>
              </w:rPr>
            </w:pPr>
          </w:p>
        </w:tc>
        <w:tc>
          <w:tcPr>
            <w:tcW w:w="1028" w:type="dxa"/>
            <w:vMerge/>
            <w:tcBorders>
              <w:top w:val="nil"/>
              <w:left w:val="single" w:sz="4" w:space="0" w:color="auto"/>
              <w:bottom w:val="single" w:sz="4" w:space="0" w:color="000000"/>
              <w:right w:val="single" w:sz="4" w:space="0" w:color="auto"/>
            </w:tcBorders>
            <w:vAlign w:val="center"/>
            <w:hideMark/>
          </w:tcPr>
          <w:p w:rsidR="009A3C82" w:rsidRDefault="009A3C82">
            <w:pPr>
              <w:keepNext/>
              <w:rPr>
                <w:rFonts w:ascii="Calibri" w:hAnsi="Calibri"/>
                <w:b/>
                <w:bCs/>
                <w:color w:val="000000"/>
                <w:sz w:val="18"/>
                <w:szCs w:val="18"/>
              </w:rPr>
            </w:pPr>
          </w:p>
        </w:tc>
        <w:tc>
          <w:tcPr>
            <w:tcW w:w="989" w:type="dxa"/>
            <w:vMerge/>
            <w:tcBorders>
              <w:top w:val="nil"/>
              <w:left w:val="single" w:sz="4" w:space="0" w:color="auto"/>
              <w:bottom w:val="single" w:sz="4" w:space="0" w:color="000000"/>
              <w:right w:val="single" w:sz="4" w:space="0" w:color="auto"/>
            </w:tcBorders>
            <w:vAlign w:val="center"/>
            <w:hideMark/>
          </w:tcPr>
          <w:p w:rsidR="009A3C82" w:rsidRDefault="009A3C82">
            <w:pPr>
              <w:keepNext/>
              <w:rPr>
                <w:rFonts w:ascii="Calibri" w:hAnsi="Calibri"/>
                <w:b/>
                <w:bCs/>
                <w:color w:val="000000"/>
                <w:sz w:val="18"/>
                <w:szCs w:val="18"/>
              </w:rPr>
            </w:pPr>
          </w:p>
        </w:tc>
        <w:tc>
          <w:tcPr>
            <w:tcW w:w="777" w:type="dxa"/>
            <w:vMerge/>
            <w:tcBorders>
              <w:top w:val="nil"/>
              <w:left w:val="single" w:sz="4" w:space="0" w:color="auto"/>
              <w:bottom w:val="single" w:sz="4" w:space="0" w:color="000000"/>
              <w:right w:val="single" w:sz="4" w:space="0" w:color="auto"/>
            </w:tcBorders>
            <w:vAlign w:val="center"/>
            <w:hideMark/>
          </w:tcPr>
          <w:p w:rsidR="009A3C82" w:rsidRDefault="009A3C82">
            <w:pPr>
              <w:keepNext/>
              <w:rPr>
                <w:rFonts w:ascii="Calibri" w:hAnsi="Calibri"/>
                <w:b/>
                <w:bCs/>
                <w:color w:val="000000"/>
                <w:sz w:val="18"/>
                <w:szCs w:val="18"/>
              </w:rPr>
            </w:pPr>
          </w:p>
        </w:tc>
        <w:tc>
          <w:tcPr>
            <w:tcW w:w="663" w:type="dxa"/>
            <w:tcBorders>
              <w:top w:val="nil"/>
              <w:left w:val="nil"/>
              <w:bottom w:val="single" w:sz="4" w:space="0" w:color="auto"/>
              <w:right w:val="single" w:sz="4" w:space="0" w:color="auto"/>
            </w:tcBorders>
            <w:shd w:val="clear" w:color="000000" w:fill="DBE5F1"/>
            <w:vAlign w:val="center"/>
            <w:hideMark/>
          </w:tcPr>
          <w:p w:rsidR="009A3C82" w:rsidRDefault="00B76D8D">
            <w:pPr>
              <w:keepNext/>
              <w:jc w:val="center"/>
              <w:rPr>
                <w:rFonts w:ascii="Calibri" w:hAnsi="Calibri"/>
                <w:b/>
                <w:bCs/>
                <w:color w:val="000000"/>
                <w:sz w:val="18"/>
                <w:szCs w:val="18"/>
              </w:rPr>
            </w:pPr>
            <w:r w:rsidRPr="00B76D8D">
              <w:rPr>
                <w:rFonts w:ascii="Calibri" w:hAnsi="Calibri"/>
                <w:b/>
                <w:bCs/>
                <w:color w:val="000000"/>
                <w:sz w:val="18"/>
                <w:szCs w:val="18"/>
              </w:rPr>
              <w:t>Brand</w:t>
            </w:r>
          </w:p>
        </w:tc>
        <w:tc>
          <w:tcPr>
            <w:tcW w:w="793" w:type="dxa"/>
            <w:tcBorders>
              <w:top w:val="nil"/>
              <w:left w:val="nil"/>
              <w:bottom w:val="single" w:sz="4" w:space="0" w:color="auto"/>
              <w:right w:val="single" w:sz="4" w:space="0" w:color="auto"/>
            </w:tcBorders>
            <w:shd w:val="clear" w:color="000000" w:fill="DBE5F1"/>
            <w:vAlign w:val="center"/>
            <w:hideMark/>
          </w:tcPr>
          <w:p w:rsidR="009A3C82" w:rsidRDefault="00B76D8D">
            <w:pPr>
              <w:keepNext/>
              <w:jc w:val="center"/>
              <w:rPr>
                <w:rFonts w:ascii="Calibri" w:hAnsi="Calibri"/>
                <w:b/>
                <w:bCs/>
                <w:color w:val="000000"/>
                <w:sz w:val="18"/>
                <w:szCs w:val="18"/>
              </w:rPr>
            </w:pPr>
            <w:r w:rsidRPr="00B76D8D">
              <w:rPr>
                <w:rFonts w:ascii="Calibri" w:hAnsi="Calibri"/>
                <w:b/>
                <w:bCs/>
                <w:color w:val="000000"/>
                <w:sz w:val="18"/>
                <w:szCs w:val="18"/>
              </w:rPr>
              <w:t>Generic</w:t>
            </w:r>
          </w:p>
        </w:tc>
        <w:tc>
          <w:tcPr>
            <w:tcW w:w="1143" w:type="dxa"/>
            <w:vMerge/>
            <w:tcBorders>
              <w:top w:val="nil"/>
              <w:left w:val="single" w:sz="4" w:space="0" w:color="auto"/>
              <w:bottom w:val="single" w:sz="4" w:space="0" w:color="000000"/>
              <w:right w:val="nil"/>
            </w:tcBorders>
            <w:vAlign w:val="center"/>
            <w:hideMark/>
          </w:tcPr>
          <w:p w:rsidR="009A3C82" w:rsidRDefault="009A3C82">
            <w:pPr>
              <w:keepNext/>
              <w:rPr>
                <w:rFonts w:ascii="Calibri" w:hAnsi="Calibri"/>
                <w:b/>
                <w:bCs/>
                <w:color w:val="000000"/>
                <w:sz w:val="18"/>
                <w:szCs w:val="18"/>
              </w:rPr>
            </w:pPr>
          </w:p>
        </w:tc>
        <w:tc>
          <w:tcPr>
            <w:tcW w:w="627" w:type="dxa"/>
            <w:tcBorders>
              <w:top w:val="nil"/>
              <w:left w:val="single" w:sz="4" w:space="0" w:color="auto"/>
              <w:bottom w:val="single" w:sz="4" w:space="0" w:color="auto"/>
              <w:right w:val="single" w:sz="4" w:space="0" w:color="auto"/>
            </w:tcBorders>
            <w:shd w:val="clear" w:color="000000" w:fill="DBE5F1"/>
            <w:vAlign w:val="center"/>
            <w:hideMark/>
          </w:tcPr>
          <w:p w:rsidR="009A3C82" w:rsidRDefault="00B76D8D">
            <w:pPr>
              <w:keepNext/>
              <w:jc w:val="center"/>
              <w:rPr>
                <w:rFonts w:ascii="Calibri" w:hAnsi="Calibri"/>
                <w:b/>
                <w:bCs/>
                <w:color w:val="000000"/>
                <w:sz w:val="18"/>
                <w:szCs w:val="18"/>
              </w:rPr>
            </w:pPr>
            <w:r w:rsidRPr="00B76D8D">
              <w:rPr>
                <w:rFonts w:ascii="Calibri" w:hAnsi="Calibri"/>
                <w:b/>
                <w:bCs/>
                <w:color w:val="000000"/>
                <w:sz w:val="18"/>
                <w:szCs w:val="18"/>
              </w:rPr>
              <w:t>PDE</w:t>
            </w:r>
          </w:p>
        </w:tc>
        <w:tc>
          <w:tcPr>
            <w:tcW w:w="627" w:type="dxa"/>
            <w:tcBorders>
              <w:top w:val="nil"/>
              <w:left w:val="nil"/>
              <w:bottom w:val="single" w:sz="4" w:space="0" w:color="auto"/>
              <w:right w:val="single" w:sz="4" w:space="0" w:color="auto"/>
            </w:tcBorders>
            <w:shd w:val="clear" w:color="000000" w:fill="DBE5F1"/>
            <w:vAlign w:val="center"/>
            <w:hideMark/>
          </w:tcPr>
          <w:p w:rsidR="009A3C82" w:rsidRDefault="00B76D8D">
            <w:pPr>
              <w:keepNext/>
              <w:jc w:val="center"/>
              <w:rPr>
                <w:rFonts w:ascii="Calibri" w:hAnsi="Calibri"/>
                <w:b/>
                <w:bCs/>
                <w:color w:val="000000"/>
                <w:sz w:val="18"/>
                <w:szCs w:val="18"/>
              </w:rPr>
            </w:pPr>
            <w:r w:rsidRPr="00B76D8D">
              <w:rPr>
                <w:rFonts w:ascii="Calibri" w:hAnsi="Calibri"/>
                <w:b/>
                <w:bCs/>
                <w:color w:val="000000"/>
                <w:sz w:val="18"/>
                <w:szCs w:val="18"/>
              </w:rPr>
              <w:t>PF</w:t>
            </w:r>
          </w:p>
        </w:tc>
        <w:tc>
          <w:tcPr>
            <w:tcW w:w="824" w:type="dxa"/>
            <w:vMerge/>
            <w:tcBorders>
              <w:top w:val="nil"/>
              <w:left w:val="nil"/>
              <w:bottom w:val="single" w:sz="4" w:space="0" w:color="000000"/>
              <w:right w:val="single" w:sz="4" w:space="0" w:color="auto"/>
            </w:tcBorders>
            <w:vAlign w:val="center"/>
            <w:hideMark/>
          </w:tcPr>
          <w:p w:rsidR="009A3C82" w:rsidRDefault="009A3C82">
            <w:pPr>
              <w:keepNext/>
              <w:rPr>
                <w:rFonts w:ascii="Calibri" w:hAnsi="Calibri"/>
                <w:b/>
                <w:bCs/>
                <w:color w:val="000000"/>
                <w:sz w:val="18"/>
                <w:szCs w:val="18"/>
              </w:rPr>
            </w:pPr>
          </w:p>
        </w:tc>
      </w:tr>
      <w:tr w:rsidR="00B76D8D" w:rsidRPr="00B76D8D" w:rsidTr="008F369E">
        <w:trPr>
          <w:trHeight w:val="240"/>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A</w:t>
            </w:r>
          </w:p>
        </w:tc>
        <w:tc>
          <w:tcPr>
            <w:tcW w:w="990"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111</w:t>
            </w:r>
          </w:p>
        </w:tc>
        <w:tc>
          <w:tcPr>
            <w:tcW w:w="1032"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3.82</w:t>
            </w:r>
          </w:p>
        </w:tc>
        <w:tc>
          <w:tcPr>
            <w:tcW w:w="1028"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2</w:t>
            </w:r>
          </w:p>
        </w:tc>
        <w:tc>
          <w:tcPr>
            <w:tcW w:w="989"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60</w:t>
            </w:r>
          </w:p>
        </w:tc>
        <w:tc>
          <w:tcPr>
            <w:tcW w:w="777"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0.014</w:t>
            </w:r>
          </w:p>
        </w:tc>
        <w:tc>
          <w:tcPr>
            <w:tcW w:w="663"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2.25</w:t>
            </w:r>
          </w:p>
        </w:tc>
        <w:tc>
          <w:tcPr>
            <w:tcW w:w="793"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2.75</w:t>
            </w:r>
          </w:p>
        </w:tc>
        <w:tc>
          <w:tcPr>
            <w:tcW w:w="1143"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B</w:t>
            </w:r>
          </w:p>
        </w:tc>
        <w:tc>
          <w:tcPr>
            <w:tcW w:w="627"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5.82</w:t>
            </w:r>
          </w:p>
        </w:tc>
        <w:tc>
          <w:tcPr>
            <w:tcW w:w="627"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3.09</w:t>
            </w:r>
          </w:p>
        </w:tc>
        <w:tc>
          <w:tcPr>
            <w:tcW w:w="824"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2.73</w:t>
            </w:r>
          </w:p>
        </w:tc>
      </w:tr>
      <w:tr w:rsidR="00B76D8D" w:rsidRPr="00B76D8D" w:rsidTr="008F369E">
        <w:trPr>
          <w:trHeight w:val="240"/>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B</w:t>
            </w:r>
          </w:p>
        </w:tc>
        <w:tc>
          <w:tcPr>
            <w:tcW w:w="990"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222</w:t>
            </w:r>
          </w:p>
        </w:tc>
        <w:tc>
          <w:tcPr>
            <w:tcW w:w="1032"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0.98</w:t>
            </w:r>
          </w:p>
        </w:tc>
        <w:tc>
          <w:tcPr>
            <w:tcW w:w="1028"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2</w:t>
            </w:r>
          </w:p>
        </w:tc>
        <w:tc>
          <w:tcPr>
            <w:tcW w:w="989"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30</w:t>
            </w:r>
          </w:p>
        </w:tc>
        <w:tc>
          <w:tcPr>
            <w:tcW w:w="777"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0.83</w:t>
            </w:r>
          </w:p>
        </w:tc>
        <w:tc>
          <w:tcPr>
            <w:tcW w:w="663"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1.75</w:t>
            </w:r>
          </w:p>
        </w:tc>
        <w:tc>
          <w:tcPr>
            <w:tcW w:w="793"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2.5</w:t>
            </w:r>
          </w:p>
        </w:tc>
        <w:tc>
          <w:tcPr>
            <w:tcW w:w="1143"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G</w:t>
            </w:r>
          </w:p>
        </w:tc>
        <w:tc>
          <w:tcPr>
            <w:tcW w:w="627"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2.98</w:t>
            </w:r>
          </w:p>
        </w:tc>
        <w:tc>
          <w:tcPr>
            <w:tcW w:w="627"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27.4</w:t>
            </w:r>
          </w:p>
        </w:tc>
        <w:tc>
          <w:tcPr>
            <w:tcW w:w="824"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0</w:t>
            </w:r>
          </w:p>
        </w:tc>
      </w:tr>
      <w:tr w:rsidR="00B76D8D" w:rsidRPr="00B76D8D" w:rsidTr="008F369E">
        <w:trPr>
          <w:trHeight w:val="240"/>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C</w:t>
            </w:r>
          </w:p>
        </w:tc>
        <w:tc>
          <w:tcPr>
            <w:tcW w:w="990"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333</w:t>
            </w:r>
          </w:p>
        </w:tc>
        <w:tc>
          <w:tcPr>
            <w:tcW w:w="1032"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10.48</w:t>
            </w:r>
          </w:p>
        </w:tc>
        <w:tc>
          <w:tcPr>
            <w:tcW w:w="1028"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1.5</w:t>
            </w:r>
          </w:p>
        </w:tc>
        <w:tc>
          <w:tcPr>
            <w:tcW w:w="989"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24</w:t>
            </w:r>
          </w:p>
        </w:tc>
        <w:tc>
          <w:tcPr>
            <w:tcW w:w="777"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0.483</w:t>
            </w:r>
          </w:p>
        </w:tc>
        <w:tc>
          <w:tcPr>
            <w:tcW w:w="663"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2.5</w:t>
            </w:r>
          </w:p>
        </w:tc>
        <w:tc>
          <w:tcPr>
            <w:tcW w:w="793"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2.5</w:t>
            </w:r>
          </w:p>
        </w:tc>
        <w:tc>
          <w:tcPr>
            <w:tcW w:w="1143"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B</w:t>
            </w:r>
          </w:p>
        </w:tc>
        <w:tc>
          <w:tcPr>
            <w:tcW w:w="627"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11.98</w:t>
            </w:r>
          </w:p>
        </w:tc>
        <w:tc>
          <w:tcPr>
            <w:tcW w:w="627"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14.09</w:t>
            </w:r>
          </w:p>
        </w:tc>
        <w:tc>
          <w:tcPr>
            <w:tcW w:w="824"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0</w:t>
            </w:r>
          </w:p>
        </w:tc>
      </w:tr>
      <w:tr w:rsidR="00B76D8D" w:rsidRPr="00B76D8D" w:rsidTr="008F369E">
        <w:trPr>
          <w:trHeight w:val="240"/>
        </w:trPr>
        <w:tc>
          <w:tcPr>
            <w:tcW w:w="990" w:type="dxa"/>
            <w:tcBorders>
              <w:top w:val="nil"/>
              <w:left w:val="single" w:sz="4" w:space="0" w:color="auto"/>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D</w:t>
            </w:r>
          </w:p>
        </w:tc>
        <w:tc>
          <w:tcPr>
            <w:tcW w:w="990"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444</w:t>
            </w:r>
          </w:p>
        </w:tc>
        <w:tc>
          <w:tcPr>
            <w:tcW w:w="1032"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47</w:t>
            </w:r>
          </w:p>
        </w:tc>
        <w:tc>
          <w:tcPr>
            <w:tcW w:w="1028"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1.5</w:t>
            </w:r>
          </w:p>
        </w:tc>
        <w:tc>
          <w:tcPr>
            <w:tcW w:w="989"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90</w:t>
            </w:r>
          </w:p>
        </w:tc>
        <w:tc>
          <w:tcPr>
            <w:tcW w:w="777"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0.48</w:t>
            </w:r>
          </w:p>
        </w:tc>
        <w:tc>
          <w:tcPr>
            <w:tcW w:w="663"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1.5</w:t>
            </w:r>
          </w:p>
        </w:tc>
        <w:tc>
          <w:tcPr>
            <w:tcW w:w="793"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2.25</w:t>
            </w:r>
          </w:p>
        </w:tc>
        <w:tc>
          <w:tcPr>
            <w:tcW w:w="1143"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G</w:t>
            </w:r>
          </w:p>
        </w:tc>
        <w:tc>
          <w:tcPr>
            <w:tcW w:w="627"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48.5</w:t>
            </w:r>
          </w:p>
        </w:tc>
        <w:tc>
          <w:tcPr>
            <w:tcW w:w="627"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45.45</w:t>
            </w:r>
          </w:p>
        </w:tc>
        <w:tc>
          <w:tcPr>
            <w:tcW w:w="824"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3.05</w:t>
            </w:r>
          </w:p>
        </w:tc>
      </w:tr>
      <w:tr w:rsidR="00B76D8D" w:rsidRPr="00B76D8D" w:rsidTr="008F369E">
        <w:trPr>
          <w:trHeight w:val="24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A3C82" w:rsidRDefault="00B76D8D">
            <w:pPr>
              <w:keepNext/>
              <w:rPr>
                <w:rFonts w:ascii="Calibri" w:hAnsi="Calibri"/>
                <w:color w:val="000000"/>
                <w:sz w:val="18"/>
                <w:szCs w:val="18"/>
              </w:rPr>
            </w:pPr>
            <w:r w:rsidRPr="00B76D8D">
              <w:rPr>
                <w:rFonts w:ascii="Calibri" w:hAnsi="Calibri"/>
                <w:color w:val="000000"/>
                <w:sz w:val="18"/>
                <w:szCs w:val="18"/>
              </w:rPr>
              <w:t> </w:t>
            </w:r>
          </w:p>
        </w:tc>
        <w:tc>
          <w:tcPr>
            <w:tcW w:w="990" w:type="dxa"/>
            <w:tcBorders>
              <w:top w:val="nil"/>
              <w:left w:val="nil"/>
              <w:bottom w:val="single" w:sz="4" w:space="0" w:color="auto"/>
              <w:right w:val="single" w:sz="4" w:space="0" w:color="auto"/>
            </w:tcBorders>
            <w:shd w:val="clear" w:color="auto" w:fill="auto"/>
            <w:noWrap/>
            <w:vAlign w:val="center"/>
            <w:hideMark/>
          </w:tcPr>
          <w:p w:rsidR="009A3C82" w:rsidRDefault="00B76D8D">
            <w:pPr>
              <w:keepNext/>
              <w:rPr>
                <w:rFonts w:ascii="Calibri" w:hAnsi="Calibri"/>
                <w:color w:val="000000"/>
                <w:sz w:val="18"/>
                <w:szCs w:val="18"/>
              </w:rPr>
            </w:pPr>
            <w:r w:rsidRPr="00B76D8D">
              <w:rPr>
                <w:rFonts w:ascii="Calibri" w:hAnsi="Calibri"/>
                <w:color w:val="000000"/>
                <w:sz w:val="18"/>
                <w:szCs w:val="18"/>
              </w:rPr>
              <w:t> </w:t>
            </w:r>
          </w:p>
        </w:tc>
        <w:tc>
          <w:tcPr>
            <w:tcW w:w="1032" w:type="dxa"/>
            <w:tcBorders>
              <w:top w:val="nil"/>
              <w:left w:val="nil"/>
              <w:bottom w:val="single" w:sz="4" w:space="0" w:color="auto"/>
              <w:right w:val="single" w:sz="4" w:space="0" w:color="auto"/>
            </w:tcBorders>
            <w:shd w:val="clear" w:color="auto" w:fill="auto"/>
            <w:noWrap/>
            <w:vAlign w:val="center"/>
            <w:hideMark/>
          </w:tcPr>
          <w:p w:rsidR="009A3C82" w:rsidRDefault="00B76D8D">
            <w:pPr>
              <w:keepNext/>
              <w:rPr>
                <w:rFonts w:ascii="Calibri" w:hAnsi="Calibri"/>
                <w:color w:val="000000"/>
                <w:sz w:val="18"/>
                <w:szCs w:val="18"/>
              </w:rPr>
            </w:pPr>
            <w:r w:rsidRPr="00B76D8D">
              <w:rPr>
                <w:rFonts w:ascii="Calibri" w:hAnsi="Calibri"/>
                <w:color w:val="000000"/>
                <w:sz w:val="18"/>
                <w:szCs w:val="18"/>
              </w:rPr>
              <w:t> </w:t>
            </w:r>
          </w:p>
        </w:tc>
        <w:tc>
          <w:tcPr>
            <w:tcW w:w="1028" w:type="dxa"/>
            <w:tcBorders>
              <w:top w:val="nil"/>
              <w:left w:val="nil"/>
              <w:bottom w:val="single" w:sz="4" w:space="0" w:color="auto"/>
              <w:right w:val="single" w:sz="4" w:space="0" w:color="auto"/>
            </w:tcBorders>
            <w:shd w:val="clear" w:color="auto" w:fill="auto"/>
            <w:noWrap/>
            <w:vAlign w:val="center"/>
            <w:hideMark/>
          </w:tcPr>
          <w:p w:rsidR="009A3C82" w:rsidRDefault="00B76D8D">
            <w:pPr>
              <w:keepNext/>
              <w:rPr>
                <w:rFonts w:ascii="Calibri" w:hAnsi="Calibri"/>
                <w:color w:val="000000"/>
                <w:sz w:val="18"/>
                <w:szCs w:val="18"/>
              </w:rPr>
            </w:pPr>
            <w:r w:rsidRPr="00B76D8D">
              <w:rPr>
                <w:rFonts w:ascii="Calibri" w:hAnsi="Calibri"/>
                <w:color w:val="000000"/>
                <w:sz w:val="18"/>
                <w:szCs w:val="18"/>
              </w:rPr>
              <w:t> </w:t>
            </w:r>
          </w:p>
        </w:tc>
        <w:tc>
          <w:tcPr>
            <w:tcW w:w="989" w:type="dxa"/>
            <w:tcBorders>
              <w:top w:val="nil"/>
              <w:left w:val="nil"/>
              <w:bottom w:val="single" w:sz="4" w:space="0" w:color="auto"/>
              <w:right w:val="single" w:sz="4" w:space="0" w:color="auto"/>
            </w:tcBorders>
            <w:shd w:val="clear" w:color="auto" w:fill="auto"/>
            <w:noWrap/>
            <w:vAlign w:val="center"/>
            <w:hideMark/>
          </w:tcPr>
          <w:p w:rsidR="009A3C82" w:rsidRDefault="00B76D8D">
            <w:pPr>
              <w:keepNext/>
              <w:rPr>
                <w:rFonts w:ascii="Calibri" w:hAnsi="Calibri"/>
                <w:color w:val="000000"/>
                <w:sz w:val="18"/>
                <w:szCs w:val="18"/>
              </w:rPr>
            </w:pPr>
            <w:r w:rsidRPr="00B76D8D">
              <w:rPr>
                <w:rFonts w:ascii="Calibri" w:hAnsi="Calibri"/>
                <w:color w:val="000000"/>
                <w:sz w:val="18"/>
                <w:szCs w:val="18"/>
              </w:rPr>
              <w:t> </w:t>
            </w:r>
          </w:p>
        </w:tc>
        <w:tc>
          <w:tcPr>
            <w:tcW w:w="777"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 </w:t>
            </w:r>
          </w:p>
        </w:tc>
        <w:tc>
          <w:tcPr>
            <w:tcW w:w="663"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 </w:t>
            </w:r>
          </w:p>
        </w:tc>
        <w:tc>
          <w:tcPr>
            <w:tcW w:w="793" w:type="dxa"/>
            <w:tcBorders>
              <w:top w:val="nil"/>
              <w:left w:val="nil"/>
              <w:bottom w:val="single" w:sz="4" w:space="0" w:color="auto"/>
              <w:right w:val="single" w:sz="4" w:space="0" w:color="auto"/>
            </w:tcBorders>
            <w:shd w:val="clear" w:color="auto" w:fill="auto"/>
            <w:noWrap/>
            <w:vAlign w:val="bottom"/>
            <w:hideMark/>
          </w:tcPr>
          <w:p w:rsidR="009A3C82" w:rsidRDefault="00B76D8D">
            <w:pPr>
              <w:keepNext/>
              <w:rPr>
                <w:rFonts w:ascii="Calibri" w:hAnsi="Calibri"/>
                <w:color w:val="000000"/>
                <w:sz w:val="18"/>
                <w:szCs w:val="18"/>
              </w:rPr>
            </w:pPr>
            <w:r w:rsidRPr="00B76D8D">
              <w:rPr>
                <w:rFonts w:ascii="Calibri" w:hAnsi="Calibri"/>
                <w:color w:val="000000"/>
                <w:sz w:val="18"/>
                <w:szCs w:val="18"/>
              </w:rPr>
              <w:t> </w:t>
            </w:r>
          </w:p>
        </w:tc>
        <w:tc>
          <w:tcPr>
            <w:tcW w:w="1143" w:type="dxa"/>
            <w:tcBorders>
              <w:top w:val="nil"/>
              <w:left w:val="nil"/>
              <w:bottom w:val="single" w:sz="4" w:space="0" w:color="auto"/>
              <w:right w:val="single" w:sz="4" w:space="0" w:color="auto"/>
            </w:tcBorders>
            <w:shd w:val="clear" w:color="auto" w:fill="auto"/>
            <w:noWrap/>
            <w:vAlign w:val="center"/>
            <w:hideMark/>
          </w:tcPr>
          <w:p w:rsidR="009A3C82" w:rsidRDefault="00B76D8D">
            <w:pPr>
              <w:keepNext/>
              <w:rPr>
                <w:rFonts w:ascii="Calibri" w:hAnsi="Calibri"/>
                <w:b/>
                <w:bCs/>
                <w:color w:val="000000"/>
                <w:sz w:val="18"/>
                <w:szCs w:val="18"/>
              </w:rPr>
            </w:pPr>
            <w:r w:rsidRPr="00B76D8D">
              <w:rPr>
                <w:rFonts w:ascii="Calibri" w:hAnsi="Calibri"/>
                <w:b/>
                <w:bCs/>
                <w:color w:val="000000"/>
                <w:sz w:val="18"/>
                <w:szCs w:val="18"/>
              </w:rPr>
              <w:t>Totals</w:t>
            </w:r>
          </w:p>
        </w:tc>
        <w:tc>
          <w:tcPr>
            <w:tcW w:w="627"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69.28</w:t>
            </w:r>
          </w:p>
        </w:tc>
        <w:tc>
          <w:tcPr>
            <w:tcW w:w="627"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 </w:t>
            </w:r>
          </w:p>
        </w:tc>
        <w:tc>
          <w:tcPr>
            <w:tcW w:w="824" w:type="dxa"/>
            <w:tcBorders>
              <w:top w:val="nil"/>
              <w:left w:val="nil"/>
              <w:bottom w:val="single" w:sz="4" w:space="0" w:color="auto"/>
              <w:right w:val="single" w:sz="4" w:space="0" w:color="auto"/>
            </w:tcBorders>
            <w:shd w:val="clear" w:color="auto" w:fill="auto"/>
            <w:noWrap/>
            <w:vAlign w:val="center"/>
            <w:hideMark/>
          </w:tcPr>
          <w:p w:rsidR="009A3C82" w:rsidRDefault="00B76D8D">
            <w:pPr>
              <w:keepNext/>
              <w:jc w:val="center"/>
              <w:rPr>
                <w:rFonts w:ascii="Calibri" w:hAnsi="Calibri"/>
                <w:color w:val="000000"/>
                <w:sz w:val="18"/>
                <w:szCs w:val="18"/>
              </w:rPr>
            </w:pPr>
            <w:r w:rsidRPr="00B76D8D">
              <w:rPr>
                <w:rFonts w:ascii="Calibri" w:hAnsi="Calibri"/>
                <w:color w:val="000000"/>
                <w:sz w:val="18"/>
                <w:szCs w:val="18"/>
              </w:rPr>
              <w:t>5.78</w:t>
            </w:r>
          </w:p>
        </w:tc>
      </w:tr>
      <w:tr w:rsidR="005562C0" w:rsidRPr="00B76D8D" w:rsidTr="008F369E">
        <w:trPr>
          <w:trHeight w:val="24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5562C0" w:rsidRPr="00B76D8D" w:rsidRDefault="005562C0" w:rsidP="00B76D8D">
            <w:pPr>
              <w:rPr>
                <w:rFonts w:ascii="Calibri" w:hAnsi="Calibri"/>
                <w:color w:val="000000"/>
                <w:sz w:val="18"/>
                <w:szCs w:val="18"/>
              </w:rPr>
            </w:pPr>
            <w:r w:rsidRPr="00B76D8D">
              <w:rPr>
                <w:rFonts w:ascii="Calibri" w:hAnsi="Calibri"/>
                <w:color w:val="000000"/>
                <w:sz w:val="18"/>
                <w:szCs w:val="18"/>
              </w:rPr>
              <w:t> </w:t>
            </w:r>
          </w:p>
        </w:tc>
        <w:tc>
          <w:tcPr>
            <w:tcW w:w="990" w:type="dxa"/>
            <w:tcBorders>
              <w:top w:val="nil"/>
              <w:left w:val="nil"/>
              <w:bottom w:val="single" w:sz="4" w:space="0" w:color="auto"/>
              <w:right w:val="single" w:sz="4" w:space="0" w:color="auto"/>
            </w:tcBorders>
            <w:shd w:val="clear" w:color="auto" w:fill="auto"/>
            <w:noWrap/>
            <w:vAlign w:val="center"/>
            <w:hideMark/>
          </w:tcPr>
          <w:p w:rsidR="005562C0" w:rsidRPr="00B76D8D" w:rsidRDefault="005562C0" w:rsidP="00B76D8D">
            <w:pPr>
              <w:rPr>
                <w:rFonts w:ascii="Calibri" w:hAnsi="Calibri"/>
                <w:color w:val="000000"/>
                <w:sz w:val="18"/>
                <w:szCs w:val="18"/>
              </w:rPr>
            </w:pPr>
            <w:r w:rsidRPr="00B76D8D">
              <w:rPr>
                <w:rFonts w:ascii="Calibri" w:hAnsi="Calibri"/>
                <w:color w:val="000000"/>
                <w:sz w:val="18"/>
                <w:szCs w:val="18"/>
              </w:rPr>
              <w:t> </w:t>
            </w:r>
          </w:p>
        </w:tc>
        <w:tc>
          <w:tcPr>
            <w:tcW w:w="1032" w:type="dxa"/>
            <w:tcBorders>
              <w:top w:val="nil"/>
              <w:left w:val="nil"/>
              <w:bottom w:val="single" w:sz="4" w:space="0" w:color="auto"/>
              <w:right w:val="single" w:sz="4" w:space="0" w:color="auto"/>
            </w:tcBorders>
            <w:shd w:val="clear" w:color="auto" w:fill="auto"/>
            <w:noWrap/>
            <w:vAlign w:val="center"/>
            <w:hideMark/>
          </w:tcPr>
          <w:p w:rsidR="005562C0" w:rsidRPr="00B76D8D" w:rsidRDefault="005562C0" w:rsidP="00B76D8D">
            <w:pPr>
              <w:rPr>
                <w:rFonts w:ascii="Calibri" w:hAnsi="Calibri"/>
                <w:color w:val="000000"/>
                <w:sz w:val="18"/>
                <w:szCs w:val="18"/>
              </w:rPr>
            </w:pPr>
            <w:r w:rsidRPr="00B76D8D">
              <w:rPr>
                <w:rFonts w:ascii="Calibri" w:hAnsi="Calibri"/>
                <w:color w:val="000000"/>
                <w:sz w:val="18"/>
                <w:szCs w:val="18"/>
              </w:rPr>
              <w:t> </w:t>
            </w:r>
          </w:p>
        </w:tc>
        <w:tc>
          <w:tcPr>
            <w:tcW w:w="1028" w:type="dxa"/>
            <w:tcBorders>
              <w:top w:val="nil"/>
              <w:left w:val="nil"/>
              <w:bottom w:val="single" w:sz="4" w:space="0" w:color="auto"/>
              <w:right w:val="single" w:sz="4" w:space="0" w:color="auto"/>
            </w:tcBorders>
            <w:shd w:val="clear" w:color="auto" w:fill="auto"/>
            <w:noWrap/>
            <w:vAlign w:val="center"/>
            <w:hideMark/>
          </w:tcPr>
          <w:p w:rsidR="005562C0" w:rsidRPr="00B76D8D" w:rsidRDefault="005562C0" w:rsidP="00B76D8D">
            <w:pPr>
              <w:rPr>
                <w:rFonts w:ascii="Calibri" w:hAnsi="Calibri"/>
                <w:color w:val="000000"/>
                <w:sz w:val="18"/>
                <w:szCs w:val="18"/>
              </w:rPr>
            </w:pPr>
            <w:r w:rsidRPr="00B76D8D">
              <w:rPr>
                <w:rFonts w:ascii="Calibri" w:hAnsi="Calibri"/>
                <w:color w:val="000000"/>
                <w:sz w:val="18"/>
                <w:szCs w:val="18"/>
              </w:rPr>
              <w:t> </w:t>
            </w:r>
          </w:p>
        </w:tc>
        <w:tc>
          <w:tcPr>
            <w:tcW w:w="989" w:type="dxa"/>
            <w:tcBorders>
              <w:top w:val="nil"/>
              <w:left w:val="nil"/>
              <w:bottom w:val="single" w:sz="4" w:space="0" w:color="auto"/>
              <w:right w:val="single" w:sz="4" w:space="0" w:color="auto"/>
            </w:tcBorders>
            <w:shd w:val="clear" w:color="auto" w:fill="auto"/>
            <w:noWrap/>
            <w:vAlign w:val="center"/>
            <w:hideMark/>
          </w:tcPr>
          <w:p w:rsidR="005562C0" w:rsidRPr="00B76D8D" w:rsidRDefault="005562C0" w:rsidP="00B76D8D">
            <w:pPr>
              <w:rPr>
                <w:rFonts w:ascii="Calibri" w:hAnsi="Calibri"/>
                <w:color w:val="000000"/>
                <w:sz w:val="18"/>
                <w:szCs w:val="18"/>
              </w:rPr>
            </w:pPr>
            <w:r w:rsidRPr="00B76D8D">
              <w:rPr>
                <w:rFonts w:ascii="Calibri" w:hAnsi="Calibri"/>
                <w:color w:val="000000"/>
                <w:sz w:val="18"/>
                <w:szCs w:val="18"/>
              </w:rPr>
              <w:t> </w:t>
            </w:r>
          </w:p>
        </w:tc>
        <w:tc>
          <w:tcPr>
            <w:tcW w:w="777" w:type="dxa"/>
            <w:tcBorders>
              <w:top w:val="nil"/>
              <w:left w:val="nil"/>
              <w:bottom w:val="single" w:sz="4" w:space="0" w:color="auto"/>
              <w:right w:val="single" w:sz="4" w:space="0" w:color="auto"/>
            </w:tcBorders>
            <w:shd w:val="clear" w:color="auto" w:fill="auto"/>
            <w:noWrap/>
            <w:vAlign w:val="center"/>
            <w:hideMark/>
          </w:tcPr>
          <w:p w:rsidR="005562C0" w:rsidRPr="00B76D8D" w:rsidRDefault="005562C0" w:rsidP="00B76D8D">
            <w:pPr>
              <w:jc w:val="center"/>
              <w:rPr>
                <w:rFonts w:ascii="Calibri" w:hAnsi="Calibri"/>
                <w:color w:val="000000"/>
                <w:sz w:val="18"/>
                <w:szCs w:val="18"/>
              </w:rPr>
            </w:pPr>
            <w:r w:rsidRPr="00B76D8D">
              <w:rPr>
                <w:rFonts w:ascii="Calibri" w:hAnsi="Calibri"/>
                <w:color w:val="000000"/>
                <w:sz w:val="18"/>
                <w:szCs w:val="18"/>
              </w:rPr>
              <w:t> </w:t>
            </w:r>
          </w:p>
        </w:tc>
        <w:tc>
          <w:tcPr>
            <w:tcW w:w="663" w:type="dxa"/>
            <w:tcBorders>
              <w:top w:val="nil"/>
              <w:left w:val="nil"/>
              <w:bottom w:val="single" w:sz="4" w:space="0" w:color="auto"/>
              <w:right w:val="single" w:sz="4" w:space="0" w:color="auto"/>
            </w:tcBorders>
            <w:shd w:val="clear" w:color="auto" w:fill="auto"/>
            <w:noWrap/>
            <w:vAlign w:val="center"/>
            <w:hideMark/>
          </w:tcPr>
          <w:p w:rsidR="005562C0" w:rsidRPr="00B76D8D" w:rsidRDefault="005562C0" w:rsidP="00B76D8D">
            <w:pPr>
              <w:jc w:val="center"/>
              <w:rPr>
                <w:rFonts w:ascii="Calibri" w:hAnsi="Calibri"/>
                <w:color w:val="000000"/>
                <w:sz w:val="18"/>
                <w:szCs w:val="18"/>
              </w:rPr>
            </w:pPr>
            <w:r w:rsidRPr="00B76D8D">
              <w:rPr>
                <w:rFonts w:ascii="Calibri" w:hAnsi="Calibri"/>
                <w:color w:val="000000"/>
                <w:sz w:val="18"/>
                <w:szCs w:val="18"/>
              </w:rPr>
              <w:t> </w:t>
            </w:r>
          </w:p>
        </w:tc>
        <w:tc>
          <w:tcPr>
            <w:tcW w:w="793" w:type="dxa"/>
            <w:tcBorders>
              <w:top w:val="nil"/>
              <w:left w:val="nil"/>
              <w:bottom w:val="single" w:sz="4" w:space="0" w:color="auto"/>
              <w:right w:val="single" w:sz="4" w:space="0" w:color="auto"/>
            </w:tcBorders>
            <w:shd w:val="clear" w:color="auto" w:fill="auto"/>
            <w:noWrap/>
            <w:vAlign w:val="bottom"/>
            <w:hideMark/>
          </w:tcPr>
          <w:p w:rsidR="005562C0" w:rsidRPr="00B76D8D" w:rsidRDefault="005562C0" w:rsidP="00B76D8D">
            <w:pPr>
              <w:rPr>
                <w:rFonts w:ascii="Calibri" w:hAnsi="Calibri"/>
                <w:color w:val="000000"/>
                <w:sz w:val="18"/>
                <w:szCs w:val="18"/>
              </w:rPr>
            </w:pPr>
            <w:r w:rsidRPr="00B76D8D">
              <w:rPr>
                <w:rFonts w:ascii="Calibri" w:hAnsi="Calibri"/>
                <w:color w:val="000000"/>
                <w:sz w:val="18"/>
                <w:szCs w:val="18"/>
              </w:rPr>
              <w:t> </w:t>
            </w:r>
          </w:p>
        </w:tc>
        <w:tc>
          <w:tcPr>
            <w:tcW w:w="1770" w:type="dxa"/>
            <w:gridSpan w:val="2"/>
            <w:tcBorders>
              <w:top w:val="nil"/>
              <w:left w:val="nil"/>
              <w:bottom w:val="single" w:sz="4" w:space="0" w:color="auto"/>
              <w:right w:val="single" w:sz="4" w:space="0" w:color="auto"/>
            </w:tcBorders>
            <w:shd w:val="clear" w:color="auto" w:fill="auto"/>
            <w:noWrap/>
            <w:vAlign w:val="center"/>
            <w:hideMark/>
          </w:tcPr>
          <w:p w:rsidR="002368CF" w:rsidRDefault="005562C0">
            <w:pPr>
              <w:rPr>
                <w:rFonts w:ascii="Calibri" w:hAnsi="Calibri"/>
                <w:color w:val="000000"/>
                <w:sz w:val="18"/>
                <w:szCs w:val="18"/>
              </w:rPr>
            </w:pPr>
            <w:r w:rsidRPr="00B76D8D">
              <w:rPr>
                <w:rFonts w:ascii="Calibri" w:hAnsi="Calibri"/>
                <w:b/>
                <w:bCs/>
                <w:color w:val="000000"/>
                <w:sz w:val="18"/>
                <w:szCs w:val="18"/>
              </w:rPr>
              <w:t xml:space="preserve">Accuracy </w:t>
            </w:r>
            <w:r>
              <w:rPr>
                <w:rFonts w:ascii="Calibri" w:hAnsi="Calibri"/>
                <w:b/>
                <w:bCs/>
                <w:color w:val="000000"/>
                <w:sz w:val="18"/>
                <w:szCs w:val="18"/>
              </w:rPr>
              <w:t>Index</w:t>
            </w:r>
            <w:r w:rsidRPr="00B76D8D">
              <w:rPr>
                <w:rFonts w:ascii="Calibri" w:hAnsi="Calibri"/>
                <w:color w:val="000000"/>
                <w:sz w:val="18"/>
                <w:szCs w:val="18"/>
              </w:rPr>
              <w:t> </w:t>
            </w:r>
          </w:p>
        </w:tc>
        <w:tc>
          <w:tcPr>
            <w:tcW w:w="627" w:type="dxa"/>
            <w:tcBorders>
              <w:top w:val="nil"/>
              <w:left w:val="nil"/>
              <w:bottom w:val="single" w:sz="4" w:space="0" w:color="auto"/>
              <w:right w:val="single" w:sz="4" w:space="0" w:color="auto"/>
            </w:tcBorders>
            <w:shd w:val="clear" w:color="auto" w:fill="auto"/>
            <w:noWrap/>
            <w:vAlign w:val="center"/>
            <w:hideMark/>
          </w:tcPr>
          <w:p w:rsidR="005562C0" w:rsidRPr="00B76D8D" w:rsidRDefault="005562C0" w:rsidP="00B76D8D">
            <w:pPr>
              <w:jc w:val="center"/>
              <w:rPr>
                <w:rFonts w:ascii="Calibri" w:hAnsi="Calibri"/>
                <w:color w:val="000000"/>
                <w:sz w:val="18"/>
                <w:szCs w:val="18"/>
              </w:rPr>
            </w:pPr>
            <w:r w:rsidRPr="00B76D8D">
              <w:rPr>
                <w:rFonts w:ascii="Calibri" w:hAnsi="Calibri"/>
                <w:color w:val="000000"/>
                <w:sz w:val="18"/>
                <w:szCs w:val="18"/>
              </w:rPr>
              <w:t> </w:t>
            </w:r>
          </w:p>
        </w:tc>
        <w:tc>
          <w:tcPr>
            <w:tcW w:w="824" w:type="dxa"/>
            <w:tcBorders>
              <w:top w:val="nil"/>
              <w:left w:val="nil"/>
              <w:bottom w:val="single" w:sz="4" w:space="0" w:color="auto"/>
              <w:right w:val="single" w:sz="4" w:space="0" w:color="auto"/>
            </w:tcBorders>
            <w:shd w:val="clear" w:color="auto" w:fill="auto"/>
            <w:noWrap/>
            <w:vAlign w:val="center"/>
            <w:hideMark/>
          </w:tcPr>
          <w:p w:rsidR="005562C0" w:rsidRPr="00B76D8D" w:rsidRDefault="005562C0" w:rsidP="00B76D8D">
            <w:pPr>
              <w:jc w:val="center"/>
              <w:rPr>
                <w:rFonts w:ascii="Calibri" w:hAnsi="Calibri"/>
                <w:color w:val="000000"/>
                <w:sz w:val="18"/>
                <w:szCs w:val="18"/>
              </w:rPr>
            </w:pPr>
            <w:r w:rsidRPr="00B76D8D">
              <w:rPr>
                <w:rFonts w:ascii="Calibri" w:hAnsi="Calibri"/>
                <w:color w:val="000000"/>
                <w:sz w:val="18"/>
                <w:szCs w:val="18"/>
              </w:rPr>
              <w:t>1.08343</w:t>
            </w:r>
          </w:p>
        </w:tc>
      </w:tr>
    </w:tbl>
    <w:p w:rsidR="000D6BCB" w:rsidRDefault="000D6BCB" w:rsidP="00317A79"/>
    <w:p w:rsidR="008412F8" w:rsidRDefault="00317A79">
      <w:pPr>
        <w:pStyle w:val="Heading2"/>
      </w:pPr>
      <w:r>
        <w:t xml:space="preserve">Composite </w:t>
      </w:r>
      <w:r w:rsidR="00CC1C5B">
        <w:t>Score</w:t>
      </w:r>
    </w:p>
    <w:bookmarkEnd w:id="0"/>
    <w:bookmarkEnd w:id="1"/>
    <w:p w:rsidR="009925FC" w:rsidRDefault="005D106E" w:rsidP="009925FC">
      <w:pPr>
        <w:ind w:firstLine="720"/>
        <w:jc w:val="both"/>
      </w:pPr>
      <w:r>
        <w:t xml:space="preserve">The </w:t>
      </w:r>
      <w:r w:rsidR="008D26FD">
        <w:t>P</w:t>
      </w:r>
      <w:r>
        <w:t xml:space="preserve">DE Stability and the PF </w:t>
      </w:r>
      <w:r w:rsidR="008D26FD">
        <w:t>Accuracy</w:t>
      </w:r>
      <w:r w:rsidR="00515204">
        <w:t xml:space="preserve"> Indice</w:t>
      </w:r>
      <w:r>
        <w:t xml:space="preserve">s are summarized in </w:t>
      </w:r>
      <w:r w:rsidR="006C28BC">
        <w:t>one</w:t>
      </w:r>
      <w:r>
        <w:t xml:space="preserve"> composite </w:t>
      </w:r>
      <w:r w:rsidR="00470846">
        <w:t>score</w:t>
      </w:r>
      <w:r>
        <w:t xml:space="preserve">. </w:t>
      </w:r>
      <w:r w:rsidR="0022711C">
        <w:t>The</w:t>
      </w:r>
      <w:r w:rsidR="00C42C96">
        <w:t xml:space="preserve"> first step to determine the</w:t>
      </w:r>
      <w:r w:rsidR="0022711C">
        <w:t xml:space="preserve"> </w:t>
      </w:r>
      <w:r w:rsidR="008D26FD">
        <w:t xml:space="preserve">composite </w:t>
      </w:r>
      <w:r w:rsidR="00470846">
        <w:t xml:space="preserve">score </w:t>
      </w:r>
      <w:r w:rsidR="0022711C">
        <w:t>is</w:t>
      </w:r>
      <w:r w:rsidR="00C42C96">
        <w:t xml:space="preserve"> to </w:t>
      </w:r>
      <w:r w:rsidR="0022711C">
        <w:t xml:space="preserve">sum the stability and accuracy </w:t>
      </w:r>
      <w:r w:rsidR="00515204">
        <w:t>indices</w:t>
      </w:r>
      <w:r w:rsidR="0022711C">
        <w:t>,</w:t>
      </w:r>
      <w:r w:rsidR="00C42C96">
        <w:t xml:space="preserve"> and subtract</w:t>
      </w:r>
      <w:r w:rsidR="0022711C">
        <w:t xml:space="preserve"> two</w:t>
      </w:r>
      <w:r w:rsidR="00C42C96">
        <w:t>.  This number is then multiplied by 100.  This value</w:t>
      </w:r>
      <w:r w:rsidR="00DE4B64">
        <w:t xml:space="preserve"> measures </w:t>
      </w:r>
      <w:r w:rsidR="006C28BC">
        <w:t xml:space="preserve">price </w:t>
      </w:r>
      <w:r w:rsidR="00EA41FF">
        <w:t xml:space="preserve">changes </w:t>
      </w:r>
      <w:r w:rsidR="0022711C">
        <w:t xml:space="preserve">(the </w:t>
      </w:r>
      <w:r w:rsidR="002A71F9">
        <w:t>PDE S</w:t>
      </w:r>
      <w:r w:rsidR="0022711C">
        <w:t>tability index</w:t>
      </w:r>
      <w:r w:rsidR="00EA41FF">
        <w:t>) and</w:t>
      </w:r>
      <w:r w:rsidR="00846EE9">
        <w:t xml:space="preserve"> </w:t>
      </w:r>
      <w:r w:rsidR="009925FC">
        <w:t>excess</w:t>
      </w:r>
      <w:r w:rsidR="006C28BC">
        <w:t xml:space="preserve"> drug costs due to point of sale prices be</w:t>
      </w:r>
      <w:r w:rsidR="00E04737">
        <w:t>ing higher than those reported o</w:t>
      </w:r>
      <w:r w:rsidR="006C28BC">
        <w:t xml:space="preserve">n Plan Finder </w:t>
      </w:r>
      <w:r w:rsidR="002A71F9">
        <w:t>(the PF A</w:t>
      </w:r>
      <w:r w:rsidR="0022711C">
        <w:t>ccuracy index)</w:t>
      </w:r>
      <w:r w:rsidR="000B65D6">
        <w:t>.</w:t>
      </w:r>
      <w:r w:rsidR="001A2B31">
        <w:t xml:space="preserve">  </w:t>
      </w:r>
      <w:r w:rsidR="00C42C96">
        <w:t xml:space="preserve">To create a measure where a high value represents good performance, the composite score is calculated as 100 minus this value.  </w:t>
      </w:r>
      <w:r w:rsidR="00EA41FF">
        <w:t xml:space="preserve">The best scores are achieved </w:t>
      </w:r>
      <w:r w:rsidR="002A71F9">
        <w:t xml:space="preserve">when </w:t>
      </w:r>
      <w:r w:rsidR="006C28BC">
        <w:t xml:space="preserve">point of sale drug prices for a given contract </w:t>
      </w:r>
      <w:r w:rsidR="00EA41FF">
        <w:t xml:space="preserve">have a lower inflation rate than other contracts </w:t>
      </w:r>
      <w:r w:rsidR="006C28BC">
        <w:t xml:space="preserve">and when point of sale prices do </w:t>
      </w:r>
      <w:r w:rsidR="00515204">
        <w:t>not exceed the amount reported o</w:t>
      </w:r>
      <w:r w:rsidR="006C28BC">
        <w:t xml:space="preserve">n the PF website. </w:t>
      </w:r>
    </w:p>
    <w:p w:rsidR="0067472C" w:rsidRDefault="0067472C" w:rsidP="009925FC">
      <w:pPr>
        <w:ind w:firstLine="720"/>
        <w:jc w:val="both"/>
      </w:pPr>
    </w:p>
    <w:p w:rsidR="008F369E" w:rsidRDefault="00B01279" w:rsidP="009925FC">
      <w:pPr>
        <w:ind w:firstLine="720"/>
        <w:jc w:val="both"/>
      </w:pPr>
      <w:r>
        <w:t xml:space="preserve">Table 3 </w:t>
      </w:r>
      <w:r w:rsidR="00F051D8">
        <w:t xml:space="preserve">shows </w:t>
      </w:r>
      <w:r>
        <w:t xml:space="preserve">example calculations of </w:t>
      </w:r>
      <w:r w:rsidR="0038634C">
        <w:t xml:space="preserve">4 contracts’ </w:t>
      </w:r>
      <w:r>
        <w:t xml:space="preserve">composite scores, and </w:t>
      </w:r>
      <w:r w:rsidR="0038634C">
        <w:t>illustrate</w:t>
      </w:r>
      <w:r w:rsidR="00F051D8">
        <w:t>s</w:t>
      </w:r>
      <w:r w:rsidR="0038634C">
        <w:t xml:space="preserve"> projection</w:t>
      </w:r>
      <w:r w:rsidR="00F051D8">
        <w:t>s</w:t>
      </w:r>
      <w:r w:rsidR="0038634C">
        <w:t xml:space="preserve"> of potential </w:t>
      </w:r>
      <w:r w:rsidR="00F051D8">
        <w:t>excess gross drug costs (GDC).</w:t>
      </w:r>
      <w:r w:rsidR="0038634C">
        <w:t xml:space="preserve"> </w:t>
      </w:r>
      <w:r w:rsidR="008F369E">
        <w:t xml:space="preserve">  </w:t>
      </w:r>
      <w:r w:rsidR="0063772D">
        <w:t xml:space="preserve">The New York PDP region was selected for this example.  </w:t>
      </w:r>
      <w:r w:rsidR="00A67527">
        <w:t xml:space="preserve">The average used in this table is the 2008 average </w:t>
      </w:r>
      <w:r w:rsidR="00C76005">
        <w:t>gross drug cost (</w:t>
      </w:r>
      <w:r w:rsidR="00A67527">
        <w:t>GDC</w:t>
      </w:r>
      <w:r w:rsidR="00C76005">
        <w:t>)</w:t>
      </w:r>
      <w:r w:rsidR="00A67527">
        <w:t xml:space="preserve"> cost for beneficiaries in the New York PDP region, which was $3,603. </w:t>
      </w:r>
    </w:p>
    <w:p w:rsidR="0067472C" w:rsidRDefault="0067472C" w:rsidP="009925FC">
      <w:pPr>
        <w:ind w:firstLine="720"/>
        <w:jc w:val="both"/>
      </w:pPr>
    </w:p>
    <w:p w:rsidR="009A3C82" w:rsidRDefault="005E6153" w:rsidP="009A3C82">
      <w:pPr>
        <w:ind w:firstLine="720"/>
        <w:jc w:val="both"/>
      </w:pPr>
      <w:r>
        <w:t xml:space="preserve">The conversion </w:t>
      </w:r>
      <w:r w:rsidR="00DB31CD">
        <w:t>starts by</w:t>
      </w:r>
      <w:r>
        <w:t xml:space="preserve"> multiplying each index by the average beneficiary </w:t>
      </w:r>
      <w:r w:rsidR="009925FC">
        <w:t>GDC</w:t>
      </w:r>
      <w:r>
        <w:t xml:space="preserve"> cost.  </w:t>
      </w:r>
      <w:r w:rsidR="00262A06">
        <w:t>T</w:t>
      </w:r>
      <w:r w:rsidR="00DB31CD">
        <w:t xml:space="preserve">he average </w:t>
      </w:r>
      <w:r w:rsidR="005D19F2">
        <w:t xml:space="preserve">GDC </w:t>
      </w:r>
      <w:r w:rsidR="00DB31CD">
        <w:t xml:space="preserve">cost is </w:t>
      </w:r>
      <w:r w:rsidR="005D19F2">
        <w:t xml:space="preserve">then </w:t>
      </w:r>
      <w:r w:rsidR="00DB31CD">
        <w:t>subtracted</w:t>
      </w:r>
      <w:r w:rsidR="00262A06">
        <w:t xml:space="preserve"> from this value</w:t>
      </w:r>
      <w:r w:rsidR="00DB31CD">
        <w:t xml:space="preserve">, leaving the excess beneficiary cost </w:t>
      </w:r>
      <w:r w:rsidR="004E46F0">
        <w:t xml:space="preserve">due to inflation (poor price stability) or misreported Plan Finder prices (poor price accuracy).  </w:t>
      </w:r>
      <w:r w:rsidR="00A67321">
        <w:t xml:space="preserve">  </w:t>
      </w:r>
      <w:r w:rsidR="007002CB">
        <w:t xml:space="preserve">  </w:t>
      </w:r>
    </w:p>
    <w:p w:rsidR="009A3C82" w:rsidRDefault="009A3C82" w:rsidP="009A3C82">
      <w:pPr>
        <w:ind w:firstLine="720"/>
        <w:jc w:val="both"/>
      </w:pPr>
    </w:p>
    <w:p w:rsidR="009A3C82" w:rsidRDefault="00FA51D6" w:rsidP="002F4EB0">
      <w:pPr>
        <w:jc w:val="both"/>
        <w:rPr>
          <w:b/>
        </w:rPr>
      </w:pPr>
      <w:r w:rsidRPr="009A3C82">
        <w:rPr>
          <w:b/>
        </w:rPr>
        <w:t xml:space="preserve">Table </w:t>
      </w:r>
      <w:r w:rsidR="00B01279" w:rsidRPr="009A3C82">
        <w:rPr>
          <w:b/>
        </w:rPr>
        <w:t>3</w:t>
      </w:r>
      <w:r w:rsidRPr="009A3C82">
        <w:rPr>
          <w:b/>
        </w:rPr>
        <w:t>:</w:t>
      </w:r>
      <w:r>
        <w:t xml:space="preserve"> </w:t>
      </w:r>
      <w:r w:rsidR="00B01279">
        <w:t xml:space="preserve">Example Calculations of </w:t>
      </w:r>
      <w:r w:rsidR="00E330FD" w:rsidRPr="00E330FD">
        <w:t>Composite Score</w:t>
      </w:r>
      <w:r w:rsidR="00B01279">
        <w:t>s</w:t>
      </w:r>
      <w:r w:rsidR="00E330FD" w:rsidRPr="00E330FD">
        <w:t xml:space="preserve"> </w:t>
      </w:r>
      <w:r w:rsidR="00B01279">
        <w:t>and Conversion to</w:t>
      </w:r>
      <w:r w:rsidR="00B01279" w:rsidRPr="00E330FD">
        <w:t xml:space="preserve"> </w:t>
      </w:r>
      <w:r w:rsidR="00E330FD" w:rsidRPr="00E330FD">
        <w:t>Potential Excess GDC Cost</w:t>
      </w:r>
      <w:r w:rsidR="00B01279">
        <w:t>s</w:t>
      </w:r>
    </w:p>
    <w:tbl>
      <w:tblPr>
        <w:tblW w:w="5000" w:type="pct"/>
        <w:tblLook w:val="04A0"/>
      </w:tblPr>
      <w:tblGrid>
        <w:gridCol w:w="1044"/>
        <w:gridCol w:w="1351"/>
        <w:gridCol w:w="992"/>
        <w:gridCol w:w="1308"/>
        <w:gridCol w:w="1077"/>
        <w:gridCol w:w="1541"/>
        <w:gridCol w:w="1243"/>
        <w:gridCol w:w="1308"/>
      </w:tblGrid>
      <w:tr w:rsidR="005D19F2" w:rsidRPr="00A03A9A" w:rsidTr="00A03A9A">
        <w:trPr>
          <w:trHeight w:val="1575"/>
        </w:trPr>
        <w:tc>
          <w:tcPr>
            <w:tcW w:w="529" w:type="pct"/>
            <w:tcBorders>
              <w:top w:val="single" w:sz="8" w:space="0" w:color="auto"/>
              <w:left w:val="single" w:sz="8" w:space="0" w:color="auto"/>
              <w:bottom w:val="single" w:sz="4" w:space="0" w:color="auto"/>
              <w:right w:val="single" w:sz="4" w:space="0" w:color="auto"/>
            </w:tcBorders>
            <w:shd w:val="clear" w:color="000000" w:fill="DBE5F1"/>
            <w:vAlign w:val="center"/>
            <w:hideMark/>
          </w:tcPr>
          <w:p w:rsidR="009A3C82" w:rsidRDefault="00860936">
            <w:pPr>
              <w:keepNext/>
              <w:jc w:val="center"/>
              <w:rPr>
                <w:rFonts w:ascii="Calibri" w:hAnsi="Calibri"/>
                <w:b/>
                <w:color w:val="000000"/>
                <w:sz w:val="22"/>
                <w:szCs w:val="22"/>
              </w:rPr>
            </w:pPr>
            <w:r w:rsidRPr="00860936">
              <w:rPr>
                <w:rFonts w:ascii="Calibri" w:hAnsi="Calibri"/>
                <w:b/>
                <w:color w:val="000000"/>
                <w:sz w:val="22"/>
                <w:szCs w:val="22"/>
              </w:rPr>
              <w:t>Contract</w:t>
            </w:r>
          </w:p>
        </w:tc>
        <w:tc>
          <w:tcPr>
            <w:tcW w:w="685" w:type="pct"/>
            <w:tcBorders>
              <w:top w:val="single" w:sz="8" w:space="0" w:color="auto"/>
              <w:left w:val="nil"/>
              <w:bottom w:val="single" w:sz="4" w:space="0" w:color="auto"/>
              <w:right w:val="single" w:sz="4" w:space="0" w:color="auto"/>
            </w:tcBorders>
            <w:shd w:val="clear" w:color="000000" w:fill="DBE5F1"/>
            <w:vAlign w:val="center"/>
            <w:hideMark/>
          </w:tcPr>
          <w:p w:rsidR="009A3C82" w:rsidRDefault="00860936">
            <w:pPr>
              <w:keepNext/>
              <w:jc w:val="center"/>
              <w:rPr>
                <w:rFonts w:ascii="Calibri" w:hAnsi="Calibri"/>
                <w:b/>
                <w:color w:val="000000"/>
                <w:sz w:val="22"/>
                <w:szCs w:val="22"/>
              </w:rPr>
            </w:pPr>
            <w:r w:rsidRPr="00860936">
              <w:rPr>
                <w:rFonts w:ascii="Calibri" w:hAnsi="Calibri"/>
                <w:b/>
                <w:color w:val="000000"/>
                <w:sz w:val="22"/>
                <w:szCs w:val="22"/>
              </w:rPr>
              <w:t>Average GDC Cost</w:t>
            </w:r>
          </w:p>
        </w:tc>
        <w:tc>
          <w:tcPr>
            <w:tcW w:w="503" w:type="pct"/>
            <w:tcBorders>
              <w:top w:val="single" w:sz="8" w:space="0" w:color="auto"/>
              <w:left w:val="nil"/>
              <w:bottom w:val="single" w:sz="4" w:space="0" w:color="auto"/>
              <w:right w:val="single" w:sz="4" w:space="0" w:color="auto"/>
            </w:tcBorders>
            <w:shd w:val="clear" w:color="000000" w:fill="DBE5F1"/>
            <w:vAlign w:val="center"/>
            <w:hideMark/>
          </w:tcPr>
          <w:p w:rsidR="009A3C82" w:rsidRDefault="005A654C">
            <w:pPr>
              <w:keepNext/>
              <w:jc w:val="center"/>
              <w:rPr>
                <w:rFonts w:ascii="Calibri" w:hAnsi="Calibri"/>
                <w:b/>
                <w:color w:val="000000"/>
                <w:sz w:val="22"/>
                <w:szCs w:val="22"/>
              </w:rPr>
            </w:pPr>
            <w:r w:rsidRPr="005A654C">
              <w:rPr>
                <w:rFonts w:ascii="Calibri" w:hAnsi="Calibri"/>
                <w:b/>
                <w:color w:val="000000"/>
                <w:sz w:val="22"/>
                <w:szCs w:val="22"/>
              </w:rPr>
              <w:t>PDE Stability Index</w:t>
            </w:r>
          </w:p>
        </w:tc>
        <w:tc>
          <w:tcPr>
            <w:tcW w:w="663" w:type="pct"/>
            <w:tcBorders>
              <w:top w:val="single" w:sz="8" w:space="0" w:color="auto"/>
              <w:left w:val="nil"/>
              <w:bottom w:val="single" w:sz="4" w:space="0" w:color="auto"/>
              <w:right w:val="single" w:sz="4" w:space="0" w:color="auto"/>
            </w:tcBorders>
            <w:shd w:val="clear" w:color="000000" w:fill="DBE5F1"/>
            <w:vAlign w:val="center"/>
            <w:hideMark/>
          </w:tcPr>
          <w:p w:rsidR="009A3C82" w:rsidRDefault="005A654C" w:rsidP="004E46F0">
            <w:pPr>
              <w:keepNext/>
              <w:jc w:val="center"/>
              <w:rPr>
                <w:rFonts w:ascii="Calibri" w:hAnsi="Calibri"/>
                <w:b/>
                <w:color w:val="000000"/>
                <w:sz w:val="22"/>
                <w:szCs w:val="22"/>
              </w:rPr>
            </w:pPr>
            <w:r w:rsidRPr="005A654C">
              <w:rPr>
                <w:rFonts w:ascii="Calibri" w:hAnsi="Calibri"/>
                <w:b/>
                <w:color w:val="000000"/>
                <w:sz w:val="22"/>
                <w:szCs w:val="22"/>
              </w:rPr>
              <w:t>Excess GDC Cost due to Inflation</w:t>
            </w:r>
          </w:p>
        </w:tc>
        <w:tc>
          <w:tcPr>
            <w:tcW w:w="546" w:type="pct"/>
            <w:tcBorders>
              <w:top w:val="single" w:sz="8" w:space="0" w:color="auto"/>
              <w:left w:val="nil"/>
              <w:bottom w:val="single" w:sz="4" w:space="0" w:color="auto"/>
              <w:right w:val="single" w:sz="4" w:space="0" w:color="auto"/>
            </w:tcBorders>
            <w:shd w:val="clear" w:color="000000" w:fill="DBE5F1"/>
            <w:vAlign w:val="center"/>
            <w:hideMark/>
          </w:tcPr>
          <w:p w:rsidR="009A3C82" w:rsidRDefault="005A654C">
            <w:pPr>
              <w:keepNext/>
              <w:jc w:val="center"/>
              <w:rPr>
                <w:rFonts w:ascii="Calibri" w:hAnsi="Calibri"/>
                <w:b/>
                <w:color w:val="000000"/>
                <w:sz w:val="22"/>
                <w:szCs w:val="22"/>
              </w:rPr>
            </w:pPr>
            <w:r w:rsidRPr="005A654C">
              <w:rPr>
                <w:rFonts w:ascii="Calibri" w:hAnsi="Calibri"/>
                <w:b/>
                <w:color w:val="000000"/>
                <w:sz w:val="22"/>
                <w:szCs w:val="22"/>
              </w:rPr>
              <w:t>PF Accuracy Index</w:t>
            </w:r>
          </w:p>
        </w:tc>
        <w:tc>
          <w:tcPr>
            <w:tcW w:w="781" w:type="pct"/>
            <w:tcBorders>
              <w:top w:val="single" w:sz="8" w:space="0" w:color="auto"/>
              <w:left w:val="nil"/>
              <w:bottom w:val="single" w:sz="4" w:space="0" w:color="auto"/>
              <w:right w:val="single" w:sz="4" w:space="0" w:color="auto"/>
            </w:tcBorders>
            <w:shd w:val="clear" w:color="000000" w:fill="DBE5F1"/>
            <w:vAlign w:val="center"/>
            <w:hideMark/>
          </w:tcPr>
          <w:p w:rsidR="009A3C82" w:rsidRDefault="005A654C">
            <w:pPr>
              <w:keepNext/>
              <w:jc w:val="center"/>
              <w:rPr>
                <w:rFonts w:ascii="Calibri" w:hAnsi="Calibri"/>
                <w:b/>
                <w:color w:val="000000"/>
                <w:sz w:val="22"/>
                <w:szCs w:val="22"/>
              </w:rPr>
            </w:pPr>
            <w:r w:rsidRPr="005A654C">
              <w:rPr>
                <w:rFonts w:ascii="Calibri" w:hAnsi="Calibri"/>
                <w:b/>
                <w:color w:val="000000"/>
                <w:sz w:val="22"/>
                <w:szCs w:val="22"/>
              </w:rPr>
              <w:t>Excess GDC Cost due to Prices Higher than Displayed on PF</w:t>
            </w:r>
          </w:p>
        </w:tc>
        <w:tc>
          <w:tcPr>
            <w:tcW w:w="630" w:type="pct"/>
            <w:tcBorders>
              <w:top w:val="single" w:sz="8" w:space="0" w:color="auto"/>
              <w:left w:val="nil"/>
              <w:bottom w:val="single" w:sz="4" w:space="0" w:color="auto"/>
              <w:right w:val="single" w:sz="4" w:space="0" w:color="auto"/>
            </w:tcBorders>
            <w:shd w:val="clear" w:color="000000" w:fill="DBE5F1"/>
            <w:vAlign w:val="center"/>
            <w:hideMark/>
          </w:tcPr>
          <w:p w:rsidR="009A3C82" w:rsidRDefault="005A654C">
            <w:pPr>
              <w:keepNext/>
              <w:jc w:val="center"/>
              <w:rPr>
                <w:rFonts w:ascii="Calibri" w:hAnsi="Calibri"/>
                <w:b/>
                <w:color w:val="000000"/>
                <w:sz w:val="22"/>
                <w:szCs w:val="22"/>
              </w:rPr>
            </w:pPr>
            <w:r w:rsidRPr="005A654C">
              <w:rPr>
                <w:rFonts w:ascii="Calibri" w:hAnsi="Calibri"/>
                <w:b/>
                <w:color w:val="000000"/>
                <w:sz w:val="22"/>
                <w:szCs w:val="22"/>
              </w:rPr>
              <w:t>Composite Score</w:t>
            </w:r>
          </w:p>
        </w:tc>
        <w:tc>
          <w:tcPr>
            <w:tcW w:w="663" w:type="pct"/>
            <w:tcBorders>
              <w:top w:val="single" w:sz="8" w:space="0" w:color="auto"/>
              <w:left w:val="nil"/>
              <w:bottom w:val="single" w:sz="4" w:space="0" w:color="auto"/>
              <w:right w:val="single" w:sz="8" w:space="0" w:color="auto"/>
            </w:tcBorders>
            <w:shd w:val="clear" w:color="000000" w:fill="DBE5F1"/>
            <w:vAlign w:val="center"/>
            <w:hideMark/>
          </w:tcPr>
          <w:p w:rsidR="009A3C82" w:rsidRDefault="005A654C">
            <w:pPr>
              <w:keepNext/>
              <w:jc w:val="center"/>
              <w:rPr>
                <w:rFonts w:ascii="Calibri" w:hAnsi="Calibri"/>
                <w:b/>
                <w:color w:val="000000"/>
                <w:sz w:val="22"/>
                <w:szCs w:val="22"/>
              </w:rPr>
            </w:pPr>
            <w:r w:rsidRPr="005A654C">
              <w:rPr>
                <w:rFonts w:ascii="Calibri" w:hAnsi="Calibri"/>
                <w:b/>
                <w:color w:val="000000"/>
                <w:sz w:val="22"/>
                <w:szCs w:val="22"/>
              </w:rPr>
              <w:t>Total Excess GDC Cost</w:t>
            </w:r>
          </w:p>
        </w:tc>
      </w:tr>
      <w:tr w:rsidR="005D19F2" w:rsidRPr="005D19F2" w:rsidTr="005D19F2">
        <w:trPr>
          <w:trHeight w:val="300"/>
        </w:trPr>
        <w:tc>
          <w:tcPr>
            <w:tcW w:w="529" w:type="pct"/>
            <w:tcBorders>
              <w:top w:val="nil"/>
              <w:left w:val="single" w:sz="8" w:space="0" w:color="auto"/>
              <w:bottom w:val="single" w:sz="4" w:space="0" w:color="BFBFBF"/>
              <w:right w:val="single" w:sz="4" w:space="0" w:color="BFBFBF"/>
            </w:tcBorders>
            <w:shd w:val="clear" w:color="auto" w:fill="auto"/>
            <w:noWrap/>
            <w:vAlign w:val="bottom"/>
            <w:hideMark/>
          </w:tcPr>
          <w:p w:rsidR="009A3C82" w:rsidRDefault="005D19F2">
            <w:pPr>
              <w:keepNext/>
              <w:rPr>
                <w:rFonts w:ascii="Calibri" w:hAnsi="Calibri"/>
                <w:color w:val="000000"/>
                <w:sz w:val="22"/>
                <w:szCs w:val="22"/>
              </w:rPr>
            </w:pPr>
            <w:r w:rsidRPr="005D19F2">
              <w:rPr>
                <w:rFonts w:ascii="Calibri" w:hAnsi="Calibri"/>
                <w:color w:val="000000"/>
                <w:sz w:val="22"/>
                <w:szCs w:val="22"/>
              </w:rPr>
              <w:t>T0001</w:t>
            </w:r>
          </w:p>
        </w:tc>
        <w:tc>
          <w:tcPr>
            <w:tcW w:w="685" w:type="pct"/>
            <w:tcBorders>
              <w:top w:val="nil"/>
              <w:left w:val="nil"/>
              <w:bottom w:val="single" w:sz="4" w:space="0" w:color="BFBFBF"/>
              <w:right w:val="single" w:sz="4" w:space="0" w:color="BFBFBF"/>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$3,603.31</w:t>
            </w:r>
          </w:p>
        </w:tc>
        <w:tc>
          <w:tcPr>
            <w:tcW w:w="503" w:type="pct"/>
            <w:tcBorders>
              <w:top w:val="nil"/>
              <w:left w:val="nil"/>
              <w:bottom w:val="single" w:sz="4" w:space="0" w:color="BFBFBF"/>
              <w:right w:val="single" w:sz="4" w:space="0" w:color="BFBFBF"/>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 xml:space="preserve">1.02 </w:t>
            </w:r>
          </w:p>
        </w:tc>
        <w:tc>
          <w:tcPr>
            <w:tcW w:w="663" w:type="pct"/>
            <w:tcBorders>
              <w:top w:val="nil"/>
              <w:left w:val="nil"/>
              <w:bottom w:val="single" w:sz="4" w:space="0" w:color="BFBFBF"/>
              <w:right w:val="single" w:sz="4" w:space="0" w:color="BFBFBF"/>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$72.07</w:t>
            </w:r>
          </w:p>
        </w:tc>
        <w:tc>
          <w:tcPr>
            <w:tcW w:w="546" w:type="pct"/>
            <w:tcBorders>
              <w:top w:val="nil"/>
              <w:left w:val="nil"/>
              <w:bottom w:val="single" w:sz="4" w:space="0" w:color="BFBFBF"/>
              <w:right w:val="single" w:sz="4" w:space="0" w:color="BFBFBF"/>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 xml:space="preserve">1.02 </w:t>
            </w:r>
          </w:p>
        </w:tc>
        <w:tc>
          <w:tcPr>
            <w:tcW w:w="781" w:type="pct"/>
            <w:tcBorders>
              <w:top w:val="nil"/>
              <w:left w:val="nil"/>
              <w:bottom w:val="single" w:sz="4" w:space="0" w:color="BFBFBF"/>
              <w:right w:val="single" w:sz="4" w:space="0" w:color="BFBFBF"/>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$72.07</w:t>
            </w:r>
          </w:p>
        </w:tc>
        <w:tc>
          <w:tcPr>
            <w:tcW w:w="630" w:type="pct"/>
            <w:tcBorders>
              <w:top w:val="nil"/>
              <w:left w:val="nil"/>
              <w:bottom w:val="single" w:sz="4" w:space="0" w:color="BFBFBF"/>
              <w:right w:val="single" w:sz="4" w:space="0" w:color="BFBFBF"/>
            </w:tcBorders>
            <w:shd w:val="clear" w:color="auto" w:fill="auto"/>
            <w:noWrap/>
            <w:vAlign w:val="bottom"/>
            <w:hideMark/>
          </w:tcPr>
          <w:p w:rsidR="009A3C82" w:rsidRDefault="00C42C96" w:rsidP="00870A4A">
            <w:pPr>
              <w:keepNext/>
              <w:jc w:val="right"/>
              <w:rPr>
                <w:rFonts w:ascii="Calibri" w:hAnsi="Calibri"/>
                <w:color w:val="000000"/>
                <w:sz w:val="22"/>
                <w:szCs w:val="22"/>
              </w:rPr>
            </w:pPr>
            <w:r>
              <w:rPr>
                <w:rFonts w:ascii="Calibri" w:hAnsi="Calibri"/>
                <w:color w:val="000000"/>
                <w:sz w:val="22"/>
                <w:szCs w:val="22"/>
              </w:rPr>
              <w:t>96</w:t>
            </w:r>
            <w:r w:rsidR="005D19F2" w:rsidRPr="005D19F2">
              <w:rPr>
                <w:rFonts w:ascii="Calibri" w:hAnsi="Calibri"/>
                <w:color w:val="000000"/>
                <w:sz w:val="22"/>
                <w:szCs w:val="22"/>
              </w:rPr>
              <w:t xml:space="preserve"> </w:t>
            </w:r>
          </w:p>
        </w:tc>
        <w:tc>
          <w:tcPr>
            <w:tcW w:w="663" w:type="pct"/>
            <w:tcBorders>
              <w:top w:val="nil"/>
              <w:left w:val="nil"/>
              <w:bottom w:val="single" w:sz="4" w:space="0" w:color="BFBFBF"/>
              <w:right w:val="single" w:sz="8" w:space="0" w:color="auto"/>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 xml:space="preserve">$144.13 </w:t>
            </w:r>
          </w:p>
        </w:tc>
      </w:tr>
      <w:tr w:rsidR="005D19F2" w:rsidRPr="005D19F2" w:rsidTr="005D19F2">
        <w:trPr>
          <w:trHeight w:val="300"/>
        </w:trPr>
        <w:tc>
          <w:tcPr>
            <w:tcW w:w="529" w:type="pct"/>
            <w:tcBorders>
              <w:top w:val="nil"/>
              <w:left w:val="single" w:sz="8" w:space="0" w:color="auto"/>
              <w:bottom w:val="single" w:sz="4" w:space="0" w:color="BFBFBF"/>
              <w:right w:val="single" w:sz="4" w:space="0" w:color="BFBFBF"/>
            </w:tcBorders>
            <w:shd w:val="clear" w:color="auto" w:fill="auto"/>
            <w:noWrap/>
            <w:vAlign w:val="bottom"/>
            <w:hideMark/>
          </w:tcPr>
          <w:p w:rsidR="009A3C82" w:rsidRDefault="005D19F2">
            <w:pPr>
              <w:keepNext/>
              <w:rPr>
                <w:rFonts w:ascii="Calibri" w:hAnsi="Calibri"/>
                <w:color w:val="000000"/>
                <w:sz w:val="22"/>
                <w:szCs w:val="22"/>
              </w:rPr>
            </w:pPr>
            <w:r w:rsidRPr="005D19F2">
              <w:rPr>
                <w:rFonts w:ascii="Calibri" w:hAnsi="Calibri"/>
                <w:color w:val="000000"/>
                <w:sz w:val="22"/>
                <w:szCs w:val="22"/>
              </w:rPr>
              <w:t>T000</w:t>
            </w:r>
            <w:r w:rsidR="002C4679">
              <w:rPr>
                <w:rFonts w:ascii="Calibri" w:hAnsi="Calibri"/>
                <w:color w:val="000000"/>
                <w:sz w:val="22"/>
                <w:szCs w:val="22"/>
              </w:rPr>
              <w:t>2</w:t>
            </w:r>
          </w:p>
        </w:tc>
        <w:tc>
          <w:tcPr>
            <w:tcW w:w="685" w:type="pct"/>
            <w:tcBorders>
              <w:top w:val="nil"/>
              <w:left w:val="nil"/>
              <w:bottom w:val="single" w:sz="4" w:space="0" w:color="BFBFBF"/>
              <w:right w:val="single" w:sz="4" w:space="0" w:color="BFBFBF"/>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$3,603.31</w:t>
            </w:r>
          </w:p>
        </w:tc>
        <w:tc>
          <w:tcPr>
            <w:tcW w:w="503" w:type="pct"/>
            <w:tcBorders>
              <w:top w:val="nil"/>
              <w:left w:val="nil"/>
              <w:bottom w:val="single" w:sz="4" w:space="0" w:color="BFBFBF"/>
              <w:right w:val="single" w:sz="4" w:space="0" w:color="BFBFBF"/>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 xml:space="preserve">1.01 </w:t>
            </w:r>
          </w:p>
        </w:tc>
        <w:tc>
          <w:tcPr>
            <w:tcW w:w="663" w:type="pct"/>
            <w:tcBorders>
              <w:top w:val="nil"/>
              <w:left w:val="nil"/>
              <w:bottom w:val="single" w:sz="4" w:space="0" w:color="BFBFBF"/>
              <w:right w:val="single" w:sz="4" w:space="0" w:color="BFBFBF"/>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$36.03</w:t>
            </w:r>
          </w:p>
        </w:tc>
        <w:tc>
          <w:tcPr>
            <w:tcW w:w="546" w:type="pct"/>
            <w:tcBorders>
              <w:top w:val="nil"/>
              <w:left w:val="nil"/>
              <w:bottom w:val="single" w:sz="4" w:space="0" w:color="BFBFBF"/>
              <w:right w:val="single" w:sz="4" w:space="0" w:color="BFBFBF"/>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 xml:space="preserve">1.01 </w:t>
            </w:r>
          </w:p>
        </w:tc>
        <w:tc>
          <w:tcPr>
            <w:tcW w:w="781" w:type="pct"/>
            <w:tcBorders>
              <w:top w:val="nil"/>
              <w:left w:val="nil"/>
              <w:bottom w:val="single" w:sz="4" w:space="0" w:color="BFBFBF"/>
              <w:right w:val="single" w:sz="4" w:space="0" w:color="BFBFBF"/>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$36.03</w:t>
            </w:r>
          </w:p>
        </w:tc>
        <w:tc>
          <w:tcPr>
            <w:tcW w:w="630" w:type="pct"/>
            <w:tcBorders>
              <w:top w:val="nil"/>
              <w:left w:val="nil"/>
              <w:bottom w:val="single" w:sz="4" w:space="0" w:color="BFBFBF"/>
              <w:right w:val="single" w:sz="4" w:space="0" w:color="BFBFBF"/>
            </w:tcBorders>
            <w:shd w:val="clear" w:color="auto" w:fill="auto"/>
            <w:noWrap/>
            <w:vAlign w:val="bottom"/>
            <w:hideMark/>
          </w:tcPr>
          <w:p w:rsidR="009A3C82" w:rsidRDefault="00C42C96">
            <w:pPr>
              <w:keepNext/>
              <w:jc w:val="right"/>
              <w:rPr>
                <w:rFonts w:ascii="Calibri" w:hAnsi="Calibri"/>
                <w:color w:val="000000"/>
                <w:sz w:val="22"/>
                <w:szCs w:val="22"/>
              </w:rPr>
            </w:pPr>
            <w:r>
              <w:rPr>
                <w:rFonts w:ascii="Calibri" w:hAnsi="Calibri"/>
                <w:color w:val="000000"/>
                <w:sz w:val="22"/>
                <w:szCs w:val="22"/>
              </w:rPr>
              <w:t>98</w:t>
            </w:r>
            <w:r w:rsidR="005D19F2" w:rsidRPr="005D19F2">
              <w:rPr>
                <w:rFonts w:ascii="Calibri" w:hAnsi="Calibri"/>
                <w:color w:val="000000"/>
                <w:sz w:val="22"/>
                <w:szCs w:val="22"/>
              </w:rPr>
              <w:t xml:space="preserve"> </w:t>
            </w:r>
          </w:p>
        </w:tc>
        <w:tc>
          <w:tcPr>
            <w:tcW w:w="663" w:type="pct"/>
            <w:tcBorders>
              <w:top w:val="nil"/>
              <w:left w:val="nil"/>
              <w:bottom w:val="single" w:sz="4" w:space="0" w:color="BFBFBF"/>
              <w:right w:val="single" w:sz="8" w:space="0" w:color="auto"/>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 xml:space="preserve">$72.07 </w:t>
            </w:r>
          </w:p>
        </w:tc>
      </w:tr>
      <w:tr w:rsidR="005D19F2" w:rsidRPr="005D19F2" w:rsidTr="005D19F2">
        <w:trPr>
          <w:trHeight w:val="300"/>
        </w:trPr>
        <w:tc>
          <w:tcPr>
            <w:tcW w:w="529" w:type="pct"/>
            <w:tcBorders>
              <w:top w:val="nil"/>
              <w:left w:val="single" w:sz="8" w:space="0" w:color="auto"/>
              <w:bottom w:val="single" w:sz="4" w:space="0" w:color="BFBFBF"/>
              <w:right w:val="single" w:sz="4" w:space="0" w:color="BFBFBF"/>
            </w:tcBorders>
            <w:shd w:val="clear" w:color="auto" w:fill="auto"/>
            <w:noWrap/>
            <w:vAlign w:val="bottom"/>
            <w:hideMark/>
          </w:tcPr>
          <w:p w:rsidR="009A3C82" w:rsidRDefault="005D19F2">
            <w:pPr>
              <w:keepNext/>
              <w:rPr>
                <w:rFonts w:ascii="Calibri" w:hAnsi="Calibri"/>
                <w:color w:val="000000"/>
                <w:sz w:val="22"/>
                <w:szCs w:val="22"/>
              </w:rPr>
            </w:pPr>
            <w:r w:rsidRPr="005D19F2">
              <w:rPr>
                <w:rFonts w:ascii="Calibri" w:hAnsi="Calibri"/>
                <w:color w:val="000000"/>
                <w:sz w:val="22"/>
                <w:szCs w:val="22"/>
              </w:rPr>
              <w:t>T000</w:t>
            </w:r>
            <w:r w:rsidR="002C4679">
              <w:rPr>
                <w:rFonts w:ascii="Calibri" w:hAnsi="Calibri"/>
                <w:color w:val="000000"/>
                <w:sz w:val="22"/>
                <w:szCs w:val="22"/>
              </w:rPr>
              <w:t>3</w:t>
            </w:r>
          </w:p>
        </w:tc>
        <w:tc>
          <w:tcPr>
            <w:tcW w:w="685" w:type="pct"/>
            <w:tcBorders>
              <w:top w:val="nil"/>
              <w:left w:val="nil"/>
              <w:bottom w:val="single" w:sz="4" w:space="0" w:color="BFBFBF"/>
              <w:right w:val="single" w:sz="4" w:space="0" w:color="BFBFBF"/>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$3,603.31</w:t>
            </w:r>
          </w:p>
        </w:tc>
        <w:tc>
          <w:tcPr>
            <w:tcW w:w="503" w:type="pct"/>
            <w:tcBorders>
              <w:top w:val="nil"/>
              <w:left w:val="nil"/>
              <w:bottom w:val="single" w:sz="4" w:space="0" w:color="BFBFBF"/>
              <w:right w:val="single" w:sz="4" w:space="0" w:color="BFBFBF"/>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 xml:space="preserve">1.12 </w:t>
            </w:r>
          </w:p>
        </w:tc>
        <w:tc>
          <w:tcPr>
            <w:tcW w:w="663" w:type="pct"/>
            <w:tcBorders>
              <w:top w:val="nil"/>
              <w:left w:val="nil"/>
              <w:bottom w:val="single" w:sz="4" w:space="0" w:color="BFBFBF"/>
              <w:right w:val="single" w:sz="4" w:space="0" w:color="BFBFBF"/>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$432.40</w:t>
            </w:r>
          </w:p>
        </w:tc>
        <w:tc>
          <w:tcPr>
            <w:tcW w:w="546" w:type="pct"/>
            <w:tcBorders>
              <w:top w:val="nil"/>
              <w:left w:val="nil"/>
              <w:bottom w:val="single" w:sz="4" w:space="0" w:color="BFBFBF"/>
              <w:right w:val="single" w:sz="4" w:space="0" w:color="BFBFBF"/>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 xml:space="preserve">1.02 </w:t>
            </w:r>
          </w:p>
        </w:tc>
        <w:tc>
          <w:tcPr>
            <w:tcW w:w="781" w:type="pct"/>
            <w:tcBorders>
              <w:top w:val="nil"/>
              <w:left w:val="nil"/>
              <w:bottom w:val="single" w:sz="4" w:space="0" w:color="BFBFBF"/>
              <w:right w:val="single" w:sz="4" w:space="0" w:color="BFBFBF"/>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$72.07</w:t>
            </w:r>
          </w:p>
        </w:tc>
        <w:tc>
          <w:tcPr>
            <w:tcW w:w="630" w:type="pct"/>
            <w:tcBorders>
              <w:top w:val="nil"/>
              <w:left w:val="nil"/>
              <w:bottom w:val="single" w:sz="4" w:space="0" w:color="BFBFBF"/>
              <w:right w:val="single" w:sz="4" w:space="0" w:color="BFBFBF"/>
            </w:tcBorders>
            <w:shd w:val="clear" w:color="auto" w:fill="auto"/>
            <w:noWrap/>
            <w:vAlign w:val="bottom"/>
            <w:hideMark/>
          </w:tcPr>
          <w:p w:rsidR="009A3C82" w:rsidRDefault="00C42C96">
            <w:pPr>
              <w:keepNext/>
              <w:jc w:val="right"/>
              <w:rPr>
                <w:rFonts w:ascii="Calibri" w:hAnsi="Calibri"/>
                <w:color w:val="000000"/>
                <w:sz w:val="22"/>
                <w:szCs w:val="22"/>
              </w:rPr>
            </w:pPr>
            <w:r>
              <w:rPr>
                <w:rFonts w:ascii="Calibri" w:hAnsi="Calibri"/>
                <w:color w:val="000000"/>
                <w:sz w:val="22"/>
                <w:szCs w:val="22"/>
              </w:rPr>
              <w:t>86</w:t>
            </w:r>
            <w:r w:rsidR="005D19F2" w:rsidRPr="005D19F2">
              <w:rPr>
                <w:rFonts w:ascii="Calibri" w:hAnsi="Calibri"/>
                <w:color w:val="000000"/>
                <w:sz w:val="22"/>
                <w:szCs w:val="22"/>
              </w:rPr>
              <w:t xml:space="preserve"> </w:t>
            </w:r>
          </w:p>
        </w:tc>
        <w:tc>
          <w:tcPr>
            <w:tcW w:w="663" w:type="pct"/>
            <w:tcBorders>
              <w:top w:val="nil"/>
              <w:left w:val="nil"/>
              <w:bottom w:val="single" w:sz="4" w:space="0" w:color="BFBFBF"/>
              <w:right w:val="single" w:sz="8" w:space="0" w:color="auto"/>
            </w:tcBorders>
            <w:shd w:val="clear" w:color="auto" w:fill="auto"/>
            <w:noWrap/>
            <w:vAlign w:val="bottom"/>
            <w:hideMark/>
          </w:tcPr>
          <w:p w:rsidR="009A3C82" w:rsidRDefault="005D19F2">
            <w:pPr>
              <w:keepNext/>
              <w:jc w:val="right"/>
              <w:rPr>
                <w:rFonts w:ascii="Calibri" w:hAnsi="Calibri"/>
                <w:color w:val="000000"/>
                <w:sz w:val="22"/>
                <w:szCs w:val="22"/>
              </w:rPr>
            </w:pPr>
            <w:r w:rsidRPr="005D19F2">
              <w:rPr>
                <w:rFonts w:ascii="Calibri" w:hAnsi="Calibri"/>
                <w:color w:val="000000"/>
                <w:sz w:val="22"/>
                <w:szCs w:val="22"/>
              </w:rPr>
              <w:t xml:space="preserve">$504.46 </w:t>
            </w:r>
          </w:p>
        </w:tc>
      </w:tr>
      <w:tr w:rsidR="005D19F2" w:rsidRPr="005D19F2" w:rsidTr="005D19F2">
        <w:trPr>
          <w:trHeight w:val="315"/>
        </w:trPr>
        <w:tc>
          <w:tcPr>
            <w:tcW w:w="529" w:type="pct"/>
            <w:tcBorders>
              <w:top w:val="nil"/>
              <w:left w:val="single" w:sz="8" w:space="0" w:color="auto"/>
              <w:bottom w:val="single" w:sz="8" w:space="0" w:color="auto"/>
              <w:right w:val="single" w:sz="4" w:space="0" w:color="BFBFBF"/>
            </w:tcBorders>
            <w:shd w:val="clear" w:color="auto" w:fill="auto"/>
            <w:noWrap/>
            <w:vAlign w:val="bottom"/>
            <w:hideMark/>
          </w:tcPr>
          <w:p w:rsidR="005D19F2" w:rsidRPr="005D19F2" w:rsidRDefault="005D19F2" w:rsidP="005D19F2">
            <w:pPr>
              <w:rPr>
                <w:rFonts w:ascii="Calibri" w:hAnsi="Calibri"/>
                <w:color w:val="000000"/>
                <w:sz w:val="22"/>
                <w:szCs w:val="22"/>
              </w:rPr>
            </w:pPr>
            <w:r w:rsidRPr="005D19F2">
              <w:rPr>
                <w:rFonts w:ascii="Calibri" w:hAnsi="Calibri"/>
                <w:color w:val="000000"/>
                <w:sz w:val="22"/>
                <w:szCs w:val="22"/>
              </w:rPr>
              <w:t>T000</w:t>
            </w:r>
            <w:r w:rsidR="002C4679">
              <w:rPr>
                <w:rFonts w:ascii="Calibri" w:hAnsi="Calibri"/>
                <w:color w:val="000000"/>
                <w:sz w:val="22"/>
                <w:szCs w:val="22"/>
              </w:rPr>
              <w:t>4</w:t>
            </w:r>
          </w:p>
        </w:tc>
        <w:tc>
          <w:tcPr>
            <w:tcW w:w="685" w:type="pct"/>
            <w:tcBorders>
              <w:top w:val="nil"/>
              <w:left w:val="nil"/>
              <w:bottom w:val="single" w:sz="8" w:space="0" w:color="auto"/>
              <w:right w:val="single" w:sz="4" w:space="0" w:color="BFBFBF"/>
            </w:tcBorders>
            <w:shd w:val="clear" w:color="auto" w:fill="auto"/>
            <w:noWrap/>
            <w:vAlign w:val="bottom"/>
            <w:hideMark/>
          </w:tcPr>
          <w:p w:rsidR="005D19F2" w:rsidRPr="005D19F2" w:rsidRDefault="005D19F2" w:rsidP="005D19F2">
            <w:pPr>
              <w:jc w:val="right"/>
              <w:rPr>
                <w:rFonts w:ascii="Calibri" w:hAnsi="Calibri"/>
                <w:color w:val="000000"/>
                <w:sz w:val="22"/>
                <w:szCs w:val="22"/>
              </w:rPr>
            </w:pPr>
            <w:r w:rsidRPr="005D19F2">
              <w:rPr>
                <w:rFonts w:ascii="Calibri" w:hAnsi="Calibri"/>
                <w:color w:val="000000"/>
                <w:sz w:val="22"/>
                <w:szCs w:val="22"/>
              </w:rPr>
              <w:t>$3,603.31</w:t>
            </w:r>
          </w:p>
        </w:tc>
        <w:tc>
          <w:tcPr>
            <w:tcW w:w="503" w:type="pct"/>
            <w:tcBorders>
              <w:top w:val="nil"/>
              <w:left w:val="nil"/>
              <w:bottom w:val="single" w:sz="8" w:space="0" w:color="auto"/>
              <w:right w:val="single" w:sz="4" w:space="0" w:color="BFBFBF"/>
            </w:tcBorders>
            <w:shd w:val="clear" w:color="auto" w:fill="auto"/>
            <w:noWrap/>
            <w:vAlign w:val="bottom"/>
            <w:hideMark/>
          </w:tcPr>
          <w:p w:rsidR="005D19F2" w:rsidRPr="005D19F2" w:rsidRDefault="005D19F2" w:rsidP="005D19F2">
            <w:pPr>
              <w:jc w:val="right"/>
              <w:rPr>
                <w:rFonts w:ascii="Calibri" w:hAnsi="Calibri"/>
                <w:color w:val="000000"/>
                <w:sz w:val="22"/>
                <w:szCs w:val="22"/>
              </w:rPr>
            </w:pPr>
            <w:r w:rsidRPr="005D19F2">
              <w:rPr>
                <w:rFonts w:ascii="Calibri" w:hAnsi="Calibri"/>
                <w:color w:val="000000"/>
                <w:sz w:val="22"/>
                <w:szCs w:val="22"/>
              </w:rPr>
              <w:t xml:space="preserve">1.09 </w:t>
            </w:r>
          </w:p>
        </w:tc>
        <w:tc>
          <w:tcPr>
            <w:tcW w:w="663" w:type="pct"/>
            <w:tcBorders>
              <w:top w:val="nil"/>
              <w:left w:val="nil"/>
              <w:bottom w:val="single" w:sz="8" w:space="0" w:color="auto"/>
              <w:right w:val="single" w:sz="4" w:space="0" w:color="BFBFBF"/>
            </w:tcBorders>
            <w:shd w:val="clear" w:color="auto" w:fill="auto"/>
            <w:noWrap/>
            <w:vAlign w:val="bottom"/>
            <w:hideMark/>
          </w:tcPr>
          <w:p w:rsidR="005D19F2" w:rsidRPr="005D19F2" w:rsidRDefault="005D19F2" w:rsidP="005D19F2">
            <w:pPr>
              <w:jc w:val="right"/>
              <w:rPr>
                <w:rFonts w:ascii="Calibri" w:hAnsi="Calibri"/>
                <w:color w:val="000000"/>
                <w:sz w:val="22"/>
                <w:szCs w:val="22"/>
              </w:rPr>
            </w:pPr>
            <w:r w:rsidRPr="005D19F2">
              <w:rPr>
                <w:rFonts w:ascii="Calibri" w:hAnsi="Calibri"/>
                <w:color w:val="000000"/>
                <w:sz w:val="22"/>
                <w:szCs w:val="22"/>
              </w:rPr>
              <w:t>$324.30</w:t>
            </w:r>
          </w:p>
        </w:tc>
        <w:tc>
          <w:tcPr>
            <w:tcW w:w="546" w:type="pct"/>
            <w:tcBorders>
              <w:top w:val="nil"/>
              <w:left w:val="nil"/>
              <w:bottom w:val="single" w:sz="8" w:space="0" w:color="auto"/>
              <w:right w:val="single" w:sz="4" w:space="0" w:color="BFBFBF"/>
            </w:tcBorders>
            <w:shd w:val="clear" w:color="auto" w:fill="auto"/>
            <w:noWrap/>
            <w:vAlign w:val="bottom"/>
            <w:hideMark/>
          </w:tcPr>
          <w:p w:rsidR="005D19F2" w:rsidRPr="005D19F2" w:rsidRDefault="005D19F2" w:rsidP="005D19F2">
            <w:pPr>
              <w:jc w:val="right"/>
              <w:rPr>
                <w:rFonts w:ascii="Calibri" w:hAnsi="Calibri"/>
                <w:color w:val="000000"/>
                <w:sz w:val="22"/>
                <w:szCs w:val="22"/>
              </w:rPr>
            </w:pPr>
            <w:r w:rsidRPr="005D19F2">
              <w:rPr>
                <w:rFonts w:ascii="Calibri" w:hAnsi="Calibri"/>
                <w:color w:val="000000"/>
                <w:sz w:val="22"/>
                <w:szCs w:val="22"/>
              </w:rPr>
              <w:t xml:space="preserve">1.12 </w:t>
            </w:r>
          </w:p>
        </w:tc>
        <w:tc>
          <w:tcPr>
            <w:tcW w:w="781" w:type="pct"/>
            <w:tcBorders>
              <w:top w:val="nil"/>
              <w:left w:val="nil"/>
              <w:bottom w:val="single" w:sz="8" w:space="0" w:color="auto"/>
              <w:right w:val="single" w:sz="4" w:space="0" w:color="BFBFBF"/>
            </w:tcBorders>
            <w:shd w:val="clear" w:color="auto" w:fill="auto"/>
            <w:noWrap/>
            <w:vAlign w:val="bottom"/>
            <w:hideMark/>
          </w:tcPr>
          <w:p w:rsidR="005D19F2" w:rsidRPr="005D19F2" w:rsidRDefault="005D19F2" w:rsidP="005D19F2">
            <w:pPr>
              <w:jc w:val="right"/>
              <w:rPr>
                <w:rFonts w:ascii="Calibri" w:hAnsi="Calibri"/>
                <w:color w:val="000000"/>
                <w:sz w:val="22"/>
                <w:szCs w:val="22"/>
              </w:rPr>
            </w:pPr>
            <w:r w:rsidRPr="005D19F2">
              <w:rPr>
                <w:rFonts w:ascii="Calibri" w:hAnsi="Calibri"/>
                <w:color w:val="000000"/>
                <w:sz w:val="22"/>
                <w:szCs w:val="22"/>
              </w:rPr>
              <w:t>$432.40</w:t>
            </w:r>
          </w:p>
        </w:tc>
        <w:tc>
          <w:tcPr>
            <w:tcW w:w="630" w:type="pct"/>
            <w:tcBorders>
              <w:top w:val="nil"/>
              <w:left w:val="nil"/>
              <w:bottom w:val="single" w:sz="8" w:space="0" w:color="auto"/>
              <w:right w:val="single" w:sz="4" w:space="0" w:color="BFBFBF"/>
            </w:tcBorders>
            <w:shd w:val="clear" w:color="auto" w:fill="auto"/>
            <w:noWrap/>
            <w:vAlign w:val="bottom"/>
            <w:hideMark/>
          </w:tcPr>
          <w:p w:rsidR="005D19F2" w:rsidRPr="005D19F2" w:rsidRDefault="00C42C96" w:rsidP="005D19F2">
            <w:pPr>
              <w:jc w:val="right"/>
              <w:rPr>
                <w:rFonts w:ascii="Calibri" w:hAnsi="Calibri"/>
                <w:color w:val="000000"/>
                <w:sz w:val="22"/>
                <w:szCs w:val="22"/>
              </w:rPr>
            </w:pPr>
            <w:r>
              <w:rPr>
                <w:rFonts w:ascii="Calibri" w:hAnsi="Calibri"/>
                <w:color w:val="000000"/>
                <w:sz w:val="22"/>
                <w:szCs w:val="22"/>
              </w:rPr>
              <w:t>79</w:t>
            </w:r>
          </w:p>
        </w:tc>
        <w:tc>
          <w:tcPr>
            <w:tcW w:w="663" w:type="pct"/>
            <w:tcBorders>
              <w:top w:val="nil"/>
              <w:left w:val="nil"/>
              <w:bottom w:val="single" w:sz="8" w:space="0" w:color="auto"/>
              <w:right w:val="single" w:sz="8" w:space="0" w:color="auto"/>
            </w:tcBorders>
            <w:shd w:val="clear" w:color="auto" w:fill="auto"/>
            <w:noWrap/>
            <w:vAlign w:val="bottom"/>
            <w:hideMark/>
          </w:tcPr>
          <w:p w:rsidR="005D19F2" w:rsidRPr="005D19F2" w:rsidRDefault="005D19F2" w:rsidP="005D19F2">
            <w:pPr>
              <w:jc w:val="right"/>
              <w:rPr>
                <w:rFonts w:ascii="Calibri" w:hAnsi="Calibri"/>
                <w:color w:val="000000"/>
                <w:sz w:val="22"/>
                <w:szCs w:val="22"/>
              </w:rPr>
            </w:pPr>
            <w:r w:rsidRPr="005D19F2">
              <w:rPr>
                <w:rFonts w:ascii="Calibri" w:hAnsi="Calibri"/>
                <w:color w:val="000000"/>
                <w:sz w:val="22"/>
                <w:szCs w:val="22"/>
              </w:rPr>
              <w:t xml:space="preserve">$756.70 </w:t>
            </w:r>
          </w:p>
        </w:tc>
      </w:tr>
    </w:tbl>
    <w:p w:rsidR="00D3101C" w:rsidRDefault="00D3101C" w:rsidP="009A3C82">
      <w:pPr>
        <w:jc w:val="both"/>
      </w:pPr>
    </w:p>
    <w:sectPr w:rsidR="00D3101C" w:rsidSect="008B4647">
      <w:footerReference w:type="default" r:id="rId8"/>
      <w:pgSz w:w="12240" w:h="15840"/>
      <w:pgMar w:top="1296" w:right="1296" w:bottom="1296" w:left="129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5AB" w:rsidRDefault="008675AB">
      <w:r>
        <w:separator/>
      </w:r>
    </w:p>
  </w:endnote>
  <w:endnote w:type="continuationSeparator" w:id="0">
    <w:p w:rsidR="008675AB" w:rsidRDefault="008675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old">
    <w:altName w:val="Arial"/>
    <w:panose1 w:val="020B0704020202020204"/>
    <w:charset w:val="00"/>
    <w:family w:val="auto"/>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95876"/>
      <w:docPartObj>
        <w:docPartGallery w:val="Page Numbers (Bottom of Page)"/>
        <w:docPartUnique/>
      </w:docPartObj>
    </w:sdtPr>
    <w:sdtContent>
      <w:p w:rsidR="008675AB" w:rsidRDefault="00B05A8B">
        <w:pPr>
          <w:pStyle w:val="Footer"/>
          <w:jc w:val="center"/>
        </w:pPr>
        <w:fldSimple w:instr=" PAGE   \* MERGEFORMAT ">
          <w:r w:rsidR="00BB16B1">
            <w:rPr>
              <w:noProof/>
            </w:rPr>
            <w:t>5</w:t>
          </w:r>
        </w:fldSimple>
      </w:p>
    </w:sdtContent>
  </w:sdt>
  <w:p w:rsidR="008675AB" w:rsidRDefault="008675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5AB" w:rsidRDefault="008675AB">
      <w:r>
        <w:separator/>
      </w:r>
    </w:p>
  </w:footnote>
  <w:footnote w:type="continuationSeparator" w:id="0">
    <w:p w:rsidR="008675AB" w:rsidRDefault="008675AB">
      <w:r>
        <w:continuationSeparator/>
      </w:r>
    </w:p>
  </w:footnote>
  <w:footnote w:id="1">
    <w:p w:rsidR="008675AB" w:rsidRPr="00C42C96" w:rsidRDefault="008675AB">
      <w:pPr>
        <w:pStyle w:val="FootnoteText"/>
      </w:pPr>
      <w:r>
        <w:rPr>
          <w:rStyle w:val="FootnoteReference"/>
        </w:rPr>
        <w:footnoteRef/>
      </w:r>
      <w:r>
        <w:t xml:space="preserve"> Plan Finder unit costs are reported by plan, drug, and pharmacy.  The plan, drug, and pharmacy from the PDE are used to assign the corresponding Plan Finder </w:t>
      </w:r>
      <w:r w:rsidRPr="005A654C">
        <w:t>unit cost</w:t>
      </w:r>
      <w:r>
        <w:t xml:space="preserve"> posted on medicare.gov on the date of the PDE</w:t>
      </w:r>
      <w:r w:rsidRPr="005A654C">
        <w:t xml:space="preserve">.  </w:t>
      </w:r>
    </w:p>
  </w:footnote>
  <w:footnote w:id="2">
    <w:p w:rsidR="008675AB" w:rsidRDefault="008675AB" w:rsidP="00A03A9A">
      <w:pPr>
        <w:pStyle w:val="FootnoteText"/>
      </w:pPr>
      <w:r w:rsidRPr="005A654C">
        <w:rPr>
          <w:rStyle w:val="FootnoteReference"/>
        </w:rPr>
        <w:footnoteRef/>
      </w:r>
      <w:r w:rsidRPr="005A654C">
        <w:t xml:space="preserve"> To compare values in PF and PDE with the same degree of precision, the PDE unit cost is rounded to the nearest 1/10,000</w:t>
      </w:r>
      <w:r w:rsidRPr="005A654C">
        <w:rPr>
          <w:vertAlign w:val="superscript"/>
        </w:rPr>
        <w:t>th</w:t>
      </w:r>
      <w:r w:rsidRPr="005A654C">
        <w:t xml:space="preserve"> of a dollar and the total PDE ingredient cost is calculated.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75696"/>
    <w:multiLevelType w:val="multilevel"/>
    <w:tmpl w:val="8A126740"/>
    <w:lvl w:ilvl="0">
      <w:start w:val="1"/>
      <w:numFmt w:val="upperRoman"/>
      <w:lvlText w:val="%1."/>
      <w:lvlJc w:val="left"/>
      <w:pPr>
        <w:tabs>
          <w:tab w:val="num" w:pos="720"/>
        </w:tabs>
        <w:ind w:left="720" w:hanging="720"/>
      </w:pPr>
      <w:rPr>
        <w:rFonts w:hint="default"/>
        <w:i w:val="0"/>
      </w:rPr>
    </w:lvl>
    <w:lvl w:ilvl="1">
      <w:start w:val="1"/>
      <w:numFmt w:val="lowerLetter"/>
      <w:lvlText w:val="%2)"/>
      <w:lvlJc w:val="left"/>
      <w:pPr>
        <w:tabs>
          <w:tab w:val="num" w:pos="1080"/>
        </w:tabs>
        <w:ind w:left="1080" w:hanging="360"/>
      </w:pPr>
      <w:rPr>
        <w:rFonts w:hint="default"/>
        <w:i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52B6061"/>
    <w:multiLevelType w:val="hybridMultilevel"/>
    <w:tmpl w:val="33B89CBE"/>
    <w:lvl w:ilvl="0" w:tplc="88F6D1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AC62A1"/>
    <w:multiLevelType w:val="hybridMultilevel"/>
    <w:tmpl w:val="FA622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E50350"/>
    <w:multiLevelType w:val="hybridMultilevel"/>
    <w:tmpl w:val="A8D0C9DC"/>
    <w:lvl w:ilvl="0" w:tplc="0409000F">
      <w:start w:val="1"/>
      <w:numFmt w:val="decimal"/>
      <w:lvlText w:val="%1."/>
      <w:lvlJc w:val="left"/>
      <w:pPr>
        <w:tabs>
          <w:tab w:val="num" w:pos="360"/>
        </w:tabs>
        <w:ind w:left="360" w:hanging="360"/>
      </w:pPr>
    </w:lvl>
    <w:lvl w:ilvl="1" w:tplc="04090011">
      <w:start w:val="1"/>
      <w:numFmt w:val="decimal"/>
      <w:lvlText w:val="%2)"/>
      <w:lvlJc w:val="left"/>
      <w:pPr>
        <w:tabs>
          <w:tab w:val="num" w:pos="1080"/>
        </w:tabs>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A3E5164"/>
    <w:multiLevelType w:val="hybridMultilevel"/>
    <w:tmpl w:val="3D80DB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FCC4F81"/>
    <w:multiLevelType w:val="hybridMultilevel"/>
    <w:tmpl w:val="AE58F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B920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3AB027C1"/>
    <w:multiLevelType w:val="multilevel"/>
    <w:tmpl w:val="A4F61DA0"/>
    <w:lvl w:ilvl="0">
      <w:start w:val="1"/>
      <w:numFmt w:val="decimal"/>
      <w:pStyle w:val="HeadingNew"/>
      <w:lvlText w:val="%1"/>
      <w:lvlJc w:val="left"/>
      <w:pPr>
        <w:tabs>
          <w:tab w:val="num" w:pos="400"/>
        </w:tabs>
        <w:ind w:left="400" w:hanging="400"/>
      </w:pPr>
      <w:rPr>
        <w:rFonts w:ascii="Arial" w:hAnsi="Arial" w:cs="Arial" w:hint="default"/>
        <w:b/>
        <w:i w:val="0"/>
        <w:sz w:val="28"/>
        <w:u w:val="none"/>
      </w:rPr>
    </w:lvl>
    <w:lvl w:ilvl="1">
      <w:start w:val="1"/>
      <w:numFmt w:val="decimal"/>
      <w:pStyle w:val="Heading2"/>
      <w:lvlText w:val="%1.%2"/>
      <w:lvlJc w:val="left"/>
      <w:pPr>
        <w:tabs>
          <w:tab w:val="num" w:pos="720"/>
        </w:tabs>
        <w:ind w:left="720" w:hanging="720"/>
      </w:pPr>
      <w:rPr>
        <w:rFonts w:ascii="Arial" w:hAnsi="Arial" w:cs="Arial" w:hint="default"/>
        <w:b/>
        <w:i w:val="0"/>
        <w:sz w:val="24"/>
        <w:szCs w:val="24"/>
      </w:rPr>
    </w:lvl>
    <w:lvl w:ilvl="2">
      <w:start w:val="1"/>
      <w:numFmt w:val="decimal"/>
      <w:pStyle w:val="Heading3"/>
      <w:lvlText w:val="%1.%2.%3"/>
      <w:lvlJc w:val="left"/>
      <w:pPr>
        <w:tabs>
          <w:tab w:val="num" w:pos="1440"/>
        </w:tabs>
        <w:ind w:left="720" w:firstLine="0"/>
      </w:pPr>
      <w:rPr>
        <w:rFonts w:cs="Lucida Console" w:hint="default"/>
      </w:rPr>
    </w:lvl>
    <w:lvl w:ilvl="3">
      <w:start w:val="1"/>
      <w:numFmt w:val="decimal"/>
      <w:lvlText w:val="%1.%2.%3.%4."/>
      <w:lvlJc w:val="left"/>
      <w:pPr>
        <w:tabs>
          <w:tab w:val="num" w:pos="1800"/>
        </w:tabs>
        <w:ind w:left="1728" w:hanging="648"/>
      </w:pPr>
      <w:rPr>
        <w:rFonts w:cs="Lucida Console" w:hint="default"/>
      </w:rPr>
    </w:lvl>
    <w:lvl w:ilvl="4">
      <w:start w:val="1"/>
      <w:numFmt w:val="decimal"/>
      <w:lvlText w:val="%1.%2.%3.%4.%5."/>
      <w:lvlJc w:val="left"/>
      <w:pPr>
        <w:tabs>
          <w:tab w:val="num" w:pos="2520"/>
        </w:tabs>
        <w:ind w:left="2232" w:hanging="792"/>
      </w:pPr>
      <w:rPr>
        <w:rFonts w:cs="Lucida Console" w:hint="default"/>
      </w:rPr>
    </w:lvl>
    <w:lvl w:ilvl="5">
      <w:start w:val="1"/>
      <w:numFmt w:val="decimal"/>
      <w:lvlText w:val="%1.%2.%3.%4.%5.%6."/>
      <w:lvlJc w:val="left"/>
      <w:pPr>
        <w:tabs>
          <w:tab w:val="num" w:pos="2880"/>
        </w:tabs>
        <w:ind w:left="2736" w:hanging="936"/>
      </w:pPr>
      <w:rPr>
        <w:rFonts w:cs="Lucida Console" w:hint="default"/>
      </w:rPr>
    </w:lvl>
    <w:lvl w:ilvl="6">
      <w:start w:val="1"/>
      <w:numFmt w:val="decimal"/>
      <w:lvlText w:val="%1.%2.%3.%4.%5.%6.%7."/>
      <w:lvlJc w:val="left"/>
      <w:pPr>
        <w:tabs>
          <w:tab w:val="num" w:pos="3600"/>
        </w:tabs>
        <w:ind w:left="3240" w:hanging="1080"/>
      </w:pPr>
      <w:rPr>
        <w:rFonts w:cs="Lucida Console" w:hint="default"/>
      </w:rPr>
    </w:lvl>
    <w:lvl w:ilvl="7">
      <w:start w:val="1"/>
      <w:numFmt w:val="decimal"/>
      <w:lvlText w:val="%1.%2.%3.%4.%5.%6.%7.%8."/>
      <w:lvlJc w:val="left"/>
      <w:pPr>
        <w:tabs>
          <w:tab w:val="num" w:pos="3960"/>
        </w:tabs>
        <w:ind w:left="3744" w:hanging="1224"/>
      </w:pPr>
      <w:rPr>
        <w:rFonts w:cs="Lucida Console" w:hint="default"/>
      </w:rPr>
    </w:lvl>
    <w:lvl w:ilvl="8">
      <w:start w:val="1"/>
      <w:numFmt w:val="decimal"/>
      <w:lvlText w:val="%1.%2.%3.%4.%5.%6.%7.%8.%9."/>
      <w:lvlJc w:val="left"/>
      <w:pPr>
        <w:tabs>
          <w:tab w:val="num" w:pos="4680"/>
        </w:tabs>
        <w:ind w:left="4320" w:hanging="1440"/>
      </w:pPr>
      <w:rPr>
        <w:rFonts w:cs="Lucida Console" w:hint="default"/>
      </w:rPr>
    </w:lvl>
  </w:abstractNum>
  <w:abstractNum w:abstractNumId="8">
    <w:nsid w:val="583C43B7"/>
    <w:multiLevelType w:val="hybridMultilevel"/>
    <w:tmpl w:val="20B2C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DBA65DE"/>
    <w:multiLevelType w:val="multilevel"/>
    <w:tmpl w:val="E67A5C06"/>
    <w:lvl w:ilvl="0">
      <w:start w:val="1"/>
      <w:numFmt w:val="upperRoman"/>
      <w:lvlText w:val="%1."/>
      <w:lvlJc w:val="left"/>
      <w:pPr>
        <w:tabs>
          <w:tab w:val="num" w:pos="720"/>
        </w:tabs>
        <w:ind w:left="720" w:hanging="720"/>
      </w:pPr>
      <w:rPr>
        <w:rFonts w:hint="default"/>
        <w:i w:val="0"/>
      </w:rPr>
    </w:lvl>
    <w:lvl w:ilvl="1">
      <w:start w:val="1"/>
      <w:numFmt w:val="decimal"/>
      <w:lvlText w:val="%2)"/>
      <w:lvlJc w:val="left"/>
      <w:pPr>
        <w:tabs>
          <w:tab w:val="num" w:pos="1080"/>
        </w:tabs>
        <w:ind w:left="1080" w:hanging="360"/>
      </w:pPr>
      <w:rPr>
        <w:rFonts w:hint="default"/>
        <w:i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6BD6447C"/>
    <w:multiLevelType w:val="multilevel"/>
    <w:tmpl w:val="0409001D"/>
    <w:lvl w:ilvl="0">
      <w:start w:val="1"/>
      <w:numFmt w:val="decimal"/>
      <w:lvlText w:val="%1)"/>
      <w:lvlJc w:val="left"/>
      <w:pPr>
        <w:tabs>
          <w:tab w:val="num" w:pos="360"/>
        </w:tabs>
        <w:ind w:left="360" w:hanging="360"/>
      </w:pPr>
      <w:rPr>
        <w:rFonts w:hint="default"/>
        <w:i w:val="0"/>
      </w:rPr>
    </w:lvl>
    <w:lvl w:ilvl="1">
      <w:start w:val="1"/>
      <w:numFmt w:val="lowerLetter"/>
      <w:lvlText w:val="%2)"/>
      <w:lvlJc w:val="left"/>
      <w:pPr>
        <w:tabs>
          <w:tab w:val="num" w:pos="720"/>
        </w:tabs>
        <w:ind w:left="720" w:hanging="360"/>
      </w:pPr>
      <w:rPr>
        <w:rFonts w:hint="default"/>
        <w:i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7EEA2EF9"/>
    <w:multiLevelType w:val="hybridMultilevel"/>
    <w:tmpl w:val="AA82C8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8"/>
  </w:num>
  <w:num w:numId="3">
    <w:abstractNumId w:val="10"/>
  </w:num>
  <w:num w:numId="4">
    <w:abstractNumId w:val="9"/>
  </w:num>
  <w:num w:numId="5">
    <w:abstractNumId w:val="0"/>
  </w:num>
  <w:num w:numId="6">
    <w:abstractNumId w:val="6"/>
  </w:num>
  <w:num w:numId="7">
    <w:abstractNumId w:val="11"/>
  </w:num>
  <w:num w:numId="8">
    <w:abstractNumId w:val="7"/>
  </w:num>
  <w:num w:numId="9">
    <w:abstractNumId w:val="3"/>
  </w:num>
  <w:num w:numId="10">
    <w:abstractNumId w:val="1"/>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trackRevisions/>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60113E"/>
    <w:rsid w:val="000001C2"/>
    <w:rsid w:val="0000529E"/>
    <w:rsid w:val="00021AF7"/>
    <w:rsid w:val="00023267"/>
    <w:rsid w:val="00023980"/>
    <w:rsid w:val="000304D2"/>
    <w:rsid w:val="00037A45"/>
    <w:rsid w:val="0004412A"/>
    <w:rsid w:val="00045B7E"/>
    <w:rsid w:val="00046EAA"/>
    <w:rsid w:val="000620DD"/>
    <w:rsid w:val="00063398"/>
    <w:rsid w:val="0007390E"/>
    <w:rsid w:val="000756E6"/>
    <w:rsid w:val="00080B51"/>
    <w:rsid w:val="00080E3A"/>
    <w:rsid w:val="00081A98"/>
    <w:rsid w:val="0008222B"/>
    <w:rsid w:val="00087A84"/>
    <w:rsid w:val="00091DA3"/>
    <w:rsid w:val="00091DF2"/>
    <w:rsid w:val="000A13E1"/>
    <w:rsid w:val="000A3F71"/>
    <w:rsid w:val="000B49E0"/>
    <w:rsid w:val="000B65D6"/>
    <w:rsid w:val="000C0759"/>
    <w:rsid w:val="000D5CCE"/>
    <w:rsid w:val="000D6BCB"/>
    <w:rsid w:val="000D6CFC"/>
    <w:rsid w:val="000E103D"/>
    <w:rsid w:val="000E18E4"/>
    <w:rsid w:val="000F45CE"/>
    <w:rsid w:val="000F50E7"/>
    <w:rsid w:val="00100F54"/>
    <w:rsid w:val="0010685A"/>
    <w:rsid w:val="00107391"/>
    <w:rsid w:val="00110152"/>
    <w:rsid w:val="00114EA8"/>
    <w:rsid w:val="0011689C"/>
    <w:rsid w:val="00125B5D"/>
    <w:rsid w:val="001260DD"/>
    <w:rsid w:val="001409D6"/>
    <w:rsid w:val="00151EA8"/>
    <w:rsid w:val="00154507"/>
    <w:rsid w:val="00154AE1"/>
    <w:rsid w:val="00190386"/>
    <w:rsid w:val="00193B6E"/>
    <w:rsid w:val="001946E9"/>
    <w:rsid w:val="001A2B31"/>
    <w:rsid w:val="001A6DFC"/>
    <w:rsid w:val="001B03F0"/>
    <w:rsid w:val="001B0D86"/>
    <w:rsid w:val="001B0D93"/>
    <w:rsid w:val="001B27AE"/>
    <w:rsid w:val="001B5C8A"/>
    <w:rsid w:val="001C0E38"/>
    <w:rsid w:val="001D41ED"/>
    <w:rsid w:val="001E0856"/>
    <w:rsid w:val="001E15CB"/>
    <w:rsid w:val="00200235"/>
    <w:rsid w:val="00200B8F"/>
    <w:rsid w:val="00205731"/>
    <w:rsid w:val="00210B8D"/>
    <w:rsid w:val="00212E75"/>
    <w:rsid w:val="00225CCF"/>
    <w:rsid w:val="0022711C"/>
    <w:rsid w:val="00233165"/>
    <w:rsid w:val="00233DEC"/>
    <w:rsid w:val="002368CF"/>
    <w:rsid w:val="00237689"/>
    <w:rsid w:val="002544E9"/>
    <w:rsid w:val="00260BB4"/>
    <w:rsid w:val="002613F5"/>
    <w:rsid w:val="00262A06"/>
    <w:rsid w:val="00265D90"/>
    <w:rsid w:val="00271CA8"/>
    <w:rsid w:val="002748FB"/>
    <w:rsid w:val="00277365"/>
    <w:rsid w:val="002802A3"/>
    <w:rsid w:val="00286D84"/>
    <w:rsid w:val="002A71F9"/>
    <w:rsid w:val="002B17AF"/>
    <w:rsid w:val="002B2DD9"/>
    <w:rsid w:val="002B673B"/>
    <w:rsid w:val="002B7D6C"/>
    <w:rsid w:val="002C1BFC"/>
    <w:rsid w:val="002C4679"/>
    <w:rsid w:val="002E5CE1"/>
    <w:rsid w:val="002E6F3A"/>
    <w:rsid w:val="002F4EB0"/>
    <w:rsid w:val="002F6DDF"/>
    <w:rsid w:val="00317A79"/>
    <w:rsid w:val="00335496"/>
    <w:rsid w:val="00352BBB"/>
    <w:rsid w:val="00366547"/>
    <w:rsid w:val="00373343"/>
    <w:rsid w:val="00385C92"/>
    <w:rsid w:val="0038634C"/>
    <w:rsid w:val="00395DDC"/>
    <w:rsid w:val="003A3530"/>
    <w:rsid w:val="003A66EA"/>
    <w:rsid w:val="003C1832"/>
    <w:rsid w:val="003C612E"/>
    <w:rsid w:val="003C67A7"/>
    <w:rsid w:val="003D1B04"/>
    <w:rsid w:val="003D6A6F"/>
    <w:rsid w:val="003E29B6"/>
    <w:rsid w:val="003E5FB0"/>
    <w:rsid w:val="003F2B32"/>
    <w:rsid w:val="003F4A7F"/>
    <w:rsid w:val="00416FB1"/>
    <w:rsid w:val="00417D2E"/>
    <w:rsid w:val="00434C96"/>
    <w:rsid w:val="00435690"/>
    <w:rsid w:val="00436D07"/>
    <w:rsid w:val="00436F04"/>
    <w:rsid w:val="004503EC"/>
    <w:rsid w:val="00460DE1"/>
    <w:rsid w:val="00470846"/>
    <w:rsid w:val="00472A9C"/>
    <w:rsid w:val="004742FE"/>
    <w:rsid w:val="004771FF"/>
    <w:rsid w:val="0048173E"/>
    <w:rsid w:val="00482796"/>
    <w:rsid w:val="0048700A"/>
    <w:rsid w:val="00496F0B"/>
    <w:rsid w:val="004B10EA"/>
    <w:rsid w:val="004B4568"/>
    <w:rsid w:val="004B4E08"/>
    <w:rsid w:val="004B6923"/>
    <w:rsid w:val="004D2A1C"/>
    <w:rsid w:val="004D76B1"/>
    <w:rsid w:val="004E46F0"/>
    <w:rsid w:val="00515204"/>
    <w:rsid w:val="00522D75"/>
    <w:rsid w:val="00524979"/>
    <w:rsid w:val="005330DC"/>
    <w:rsid w:val="005350D5"/>
    <w:rsid w:val="005366FC"/>
    <w:rsid w:val="00541248"/>
    <w:rsid w:val="00545895"/>
    <w:rsid w:val="00553293"/>
    <w:rsid w:val="005562C0"/>
    <w:rsid w:val="00572851"/>
    <w:rsid w:val="00576FE4"/>
    <w:rsid w:val="00581346"/>
    <w:rsid w:val="00581493"/>
    <w:rsid w:val="00593C9D"/>
    <w:rsid w:val="00595799"/>
    <w:rsid w:val="005A1A3F"/>
    <w:rsid w:val="005A654C"/>
    <w:rsid w:val="005B23DA"/>
    <w:rsid w:val="005B30D8"/>
    <w:rsid w:val="005B3B54"/>
    <w:rsid w:val="005C36C5"/>
    <w:rsid w:val="005C6179"/>
    <w:rsid w:val="005D106E"/>
    <w:rsid w:val="005D19F2"/>
    <w:rsid w:val="005D50F5"/>
    <w:rsid w:val="005E6153"/>
    <w:rsid w:val="005E6668"/>
    <w:rsid w:val="0060113E"/>
    <w:rsid w:val="00603888"/>
    <w:rsid w:val="00603CFF"/>
    <w:rsid w:val="00606D2F"/>
    <w:rsid w:val="00611430"/>
    <w:rsid w:val="006158D0"/>
    <w:rsid w:val="00617ECF"/>
    <w:rsid w:val="00624E36"/>
    <w:rsid w:val="00627E9D"/>
    <w:rsid w:val="00631525"/>
    <w:rsid w:val="00632F0D"/>
    <w:rsid w:val="0063772D"/>
    <w:rsid w:val="006500A5"/>
    <w:rsid w:val="0065098A"/>
    <w:rsid w:val="00653C20"/>
    <w:rsid w:val="006573AF"/>
    <w:rsid w:val="00660042"/>
    <w:rsid w:val="00660B99"/>
    <w:rsid w:val="00666295"/>
    <w:rsid w:val="00667F50"/>
    <w:rsid w:val="00670630"/>
    <w:rsid w:val="006723B0"/>
    <w:rsid w:val="0067472C"/>
    <w:rsid w:val="00681B7B"/>
    <w:rsid w:val="006921E6"/>
    <w:rsid w:val="00697194"/>
    <w:rsid w:val="006B2A47"/>
    <w:rsid w:val="006C0FA5"/>
    <w:rsid w:val="006C28BC"/>
    <w:rsid w:val="006D0640"/>
    <w:rsid w:val="006E5ACB"/>
    <w:rsid w:val="007002CB"/>
    <w:rsid w:val="00700333"/>
    <w:rsid w:val="00712362"/>
    <w:rsid w:val="00716F3D"/>
    <w:rsid w:val="007314EE"/>
    <w:rsid w:val="00731C6D"/>
    <w:rsid w:val="00743BFE"/>
    <w:rsid w:val="007520D4"/>
    <w:rsid w:val="00760042"/>
    <w:rsid w:val="00761719"/>
    <w:rsid w:val="00764693"/>
    <w:rsid w:val="00766EA3"/>
    <w:rsid w:val="007763E4"/>
    <w:rsid w:val="00780880"/>
    <w:rsid w:val="007A6EF3"/>
    <w:rsid w:val="007B1CD1"/>
    <w:rsid w:val="007B7D46"/>
    <w:rsid w:val="007E3847"/>
    <w:rsid w:val="007F60C1"/>
    <w:rsid w:val="007F7943"/>
    <w:rsid w:val="00806D41"/>
    <w:rsid w:val="00814B7A"/>
    <w:rsid w:val="00816589"/>
    <w:rsid w:val="008254D9"/>
    <w:rsid w:val="008412F8"/>
    <w:rsid w:val="00846EA2"/>
    <w:rsid w:val="00846EE9"/>
    <w:rsid w:val="00860936"/>
    <w:rsid w:val="008611C8"/>
    <w:rsid w:val="00863437"/>
    <w:rsid w:val="00863E46"/>
    <w:rsid w:val="008674F2"/>
    <w:rsid w:val="008675AB"/>
    <w:rsid w:val="00870A4A"/>
    <w:rsid w:val="00871802"/>
    <w:rsid w:val="0087347E"/>
    <w:rsid w:val="008744C1"/>
    <w:rsid w:val="00885136"/>
    <w:rsid w:val="0089267B"/>
    <w:rsid w:val="00895258"/>
    <w:rsid w:val="008A1B96"/>
    <w:rsid w:val="008A1DEE"/>
    <w:rsid w:val="008A479C"/>
    <w:rsid w:val="008B0A35"/>
    <w:rsid w:val="008B4647"/>
    <w:rsid w:val="008C07FE"/>
    <w:rsid w:val="008C45BD"/>
    <w:rsid w:val="008C5668"/>
    <w:rsid w:val="008D0EC6"/>
    <w:rsid w:val="008D26FD"/>
    <w:rsid w:val="008D5AF9"/>
    <w:rsid w:val="008D71DA"/>
    <w:rsid w:val="008E18DC"/>
    <w:rsid w:val="008E330C"/>
    <w:rsid w:val="008F369E"/>
    <w:rsid w:val="008F6003"/>
    <w:rsid w:val="0090534F"/>
    <w:rsid w:val="00906980"/>
    <w:rsid w:val="009119D9"/>
    <w:rsid w:val="00912089"/>
    <w:rsid w:val="00913A56"/>
    <w:rsid w:val="009214DF"/>
    <w:rsid w:val="0093562A"/>
    <w:rsid w:val="009432B6"/>
    <w:rsid w:val="0094404E"/>
    <w:rsid w:val="00962459"/>
    <w:rsid w:val="009676B8"/>
    <w:rsid w:val="009838C2"/>
    <w:rsid w:val="009925FC"/>
    <w:rsid w:val="009939E8"/>
    <w:rsid w:val="009949CC"/>
    <w:rsid w:val="00995E18"/>
    <w:rsid w:val="009A3C82"/>
    <w:rsid w:val="009A6560"/>
    <w:rsid w:val="009B0E8B"/>
    <w:rsid w:val="009C1076"/>
    <w:rsid w:val="009E2D2B"/>
    <w:rsid w:val="009E4CDB"/>
    <w:rsid w:val="00A00BAF"/>
    <w:rsid w:val="00A0167D"/>
    <w:rsid w:val="00A03A9A"/>
    <w:rsid w:val="00A13F1B"/>
    <w:rsid w:val="00A21432"/>
    <w:rsid w:val="00A22DB9"/>
    <w:rsid w:val="00A313CC"/>
    <w:rsid w:val="00A32409"/>
    <w:rsid w:val="00A36D8B"/>
    <w:rsid w:val="00A3727A"/>
    <w:rsid w:val="00A4405E"/>
    <w:rsid w:val="00A479C1"/>
    <w:rsid w:val="00A53396"/>
    <w:rsid w:val="00A60687"/>
    <w:rsid w:val="00A67321"/>
    <w:rsid w:val="00A67527"/>
    <w:rsid w:val="00A7255B"/>
    <w:rsid w:val="00A74B32"/>
    <w:rsid w:val="00A83AFF"/>
    <w:rsid w:val="00A867FC"/>
    <w:rsid w:val="00A90097"/>
    <w:rsid w:val="00A915A8"/>
    <w:rsid w:val="00A96ACF"/>
    <w:rsid w:val="00AA002C"/>
    <w:rsid w:val="00AB3167"/>
    <w:rsid w:val="00AC0DB1"/>
    <w:rsid w:val="00AE06C0"/>
    <w:rsid w:val="00AE20C3"/>
    <w:rsid w:val="00AE3CA5"/>
    <w:rsid w:val="00AF01B9"/>
    <w:rsid w:val="00AF07B2"/>
    <w:rsid w:val="00AF1D4D"/>
    <w:rsid w:val="00AF542A"/>
    <w:rsid w:val="00B01279"/>
    <w:rsid w:val="00B05A8B"/>
    <w:rsid w:val="00B107F6"/>
    <w:rsid w:val="00B10D13"/>
    <w:rsid w:val="00B12837"/>
    <w:rsid w:val="00B160DC"/>
    <w:rsid w:val="00B249AA"/>
    <w:rsid w:val="00B318F3"/>
    <w:rsid w:val="00B31995"/>
    <w:rsid w:val="00B40383"/>
    <w:rsid w:val="00B60974"/>
    <w:rsid w:val="00B640B6"/>
    <w:rsid w:val="00B65222"/>
    <w:rsid w:val="00B66CE4"/>
    <w:rsid w:val="00B67056"/>
    <w:rsid w:val="00B76D8D"/>
    <w:rsid w:val="00B96721"/>
    <w:rsid w:val="00BA09B0"/>
    <w:rsid w:val="00BA47F9"/>
    <w:rsid w:val="00BB16B1"/>
    <w:rsid w:val="00BB33DB"/>
    <w:rsid w:val="00BD48CE"/>
    <w:rsid w:val="00BE053D"/>
    <w:rsid w:val="00BF42C9"/>
    <w:rsid w:val="00BF6DD8"/>
    <w:rsid w:val="00C17C5F"/>
    <w:rsid w:val="00C21502"/>
    <w:rsid w:val="00C24366"/>
    <w:rsid w:val="00C24437"/>
    <w:rsid w:val="00C27DE8"/>
    <w:rsid w:val="00C31CB5"/>
    <w:rsid w:val="00C3344C"/>
    <w:rsid w:val="00C35E3B"/>
    <w:rsid w:val="00C37869"/>
    <w:rsid w:val="00C42C96"/>
    <w:rsid w:val="00C716F8"/>
    <w:rsid w:val="00C75FE4"/>
    <w:rsid w:val="00C76005"/>
    <w:rsid w:val="00C81D5F"/>
    <w:rsid w:val="00C81DDC"/>
    <w:rsid w:val="00C97946"/>
    <w:rsid w:val="00CA244D"/>
    <w:rsid w:val="00CB0CC5"/>
    <w:rsid w:val="00CB197F"/>
    <w:rsid w:val="00CB25B4"/>
    <w:rsid w:val="00CC1B96"/>
    <w:rsid w:val="00CC1C5B"/>
    <w:rsid w:val="00CD404B"/>
    <w:rsid w:val="00CD58AE"/>
    <w:rsid w:val="00CD5CB0"/>
    <w:rsid w:val="00CD6819"/>
    <w:rsid w:val="00CE62AE"/>
    <w:rsid w:val="00CE668B"/>
    <w:rsid w:val="00CE7973"/>
    <w:rsid w:val="00CF1751"/>
    <w:rsid w:val="00CF2AD0"/>
    <w:rsid w:val="00CF78AB"/>
    <w:rsid w:val="00D02E31"/>
    <w:rsid w:val="00D03392"/>
    <w:rsid w:val="00D17624"/>
    <w:rsid w:val="00D24CD0"/>
    <w:rsid w:val="00D3023E"/>
    <w:rsid w:val="00D3101C"/>
    <w:rsid w:val="00D55DF1"/>
    <w:rsid w:val="00D6708F"/>
    <w:rsid w:val="00D95D63"/>
    <w:rsid w:val="00DA1800"/>
    <w:rsid w:val="00DA4EC0"/>
    <w:rsid w:val="00DB31CD"/>
    <w:rsid w:val="00DB4798"/>
    <w:rsid w:val="00DB48D6"/>
    <w:rsid w:val="00DE4471"/>
    <w:rsid w:val="00DE4B64"/>
    <w:rsid w:val="00DF2AB0"/>
    <w:rsid w:val="00DF3727"/>
    <w:rsid w:val="00E04737"/>
    <w:rsid w:val="00E07B70"/>
    <w:rsid w:val="00E1066C"/>
    <w:rsid w:val="00E132C4"/>
    <w:rsid w:val="00E1627E"/>
    <w:rsid w:val="00E175FA"/>
    <w:rsid w:val="00E330FD"/>
    <w:rsid w:val="00E51422"/>
    <w:rsid w:val="00E54528"/>
    <w:rsid w:val="00E631B6"/>
    <w:rsid w:val="00E8347A"/>
    <w:rsid w:val="00E86ABE"/>
    <w:rsid w:val="00E87B37"/>
    <w:rsid w:val="00E92B74"/>
    <w:rsid w:val="00EA195D"/>
    <w:rsid w:val="00EA1AC7"/>
    <w:rsid w:val="00EA41FF"/>
    <w:rsid w:val="00EB026A"/>
    <w:rsid w:val="00EB0856"/>
    <w:rsid w:val="00EB0DC4"/>
    <w:rsid w:val="00EC392E"/>
    <w:rsid w:val="00EC6C34"/>
    <w:rsid w:val="00ED1834"/>
    <w:rsid w:val="00EE1156"/>
    <w:rsid w:val="00F01F99"/>
    <w:rsid w:val="00F04798"/>
    <w:rsid w:val="00F051D8"/>
    <w:rsid w:val="00F07BCC"/>
    <w:rsid w:val="00F26B2F"/>
    <w:rsid w:val="00F34A18"/>
    <w:rsid w:val="00F44E77"/>
    <w:rsid w:val="00F526F2"/>
    <w:rsid w:val="00F56A56"/>
    <w:rsid w:val="00F6649D"/>
    <w:rsid w:val="00F75DCA"/>
    <w:rsid w:val="00F8145E"/>
    <w:rsid w:val="00F845F0"/>
    <w:rsid w:val="00F909BD"/>
    <w:rsid w:val="00FA51D6"/>
    <w:rsid w:val="00FB0CB9"/>
    <w:rsid w:val="00FB1451"/>
    <w:rsid w:val="00FB6B57"/>
    <w:rsid w:val="00FB7630"/>
    <w:rsid w:val="00FC69AF"/>
    <w:rsid w:val="00FE6E2D"/>
    <w:rsid w:val="00FE79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222B"/>
    <w:rPr>
      <w:sz w:val="24"/>
      <w:szCs w:val="24"/>
    </w:rPr>
  </w:style>
  <w:style w:type="paragraph" w:styleId="Heading1">
    <w:name w:val="heading 1"/>
    <w:basedOn w:val="Normal"/>
    <w:next w:val="Normal"/>
    <w:link w:val="Heading1Char"/>
    <w:qFormat/>
    <w:rsid w:val="00AF01B9"/>
    <w:pPr>
      <w:keepNext/>
      <w:spacing w:before="240" w:after="60"/>
      <w:outlineLvl w:val="0"/>
    </w:pPr>
    <w:rPr>
      <w:rFonts w:ascii="Cambria" w:hAnsi="Cambria"/>
      <w:b/>
      <w:bCs/>
      <w:kern w:val="32"/>
      <w:sz w:val="32"/>
      <w:szCs w:val="32"/>
    </w:rPr>
  </w:style>
  <w:style w:type="paragraph" w:styleId="Heading2">
    <w:name w:val="heading 2"/>
    <w:basedOn w:val="Normal"/>
    <w:next w:val="BodyText"/>
    <w:link w:val="Heading2Char"/>
    <w:autoRedefine/>
    <w:qFormat/>
    <w:rsid w:val="00524979"/>
    <w:pPr>
      <w:keepNext/>
      <w:numPr>
        <w:ilvl w:val="1"/>
        <w:numId w:val="8"/>
      </w:numPr>
      <w:spacing w:after="180" w:line="360" w:lineRule="auto"/>
      <w:outlineLvl w:val="1"/>
    </w:pPr>
    <w:rPr>
      <w:rFonts w:ascii="Arial" w:hAnsi="Arial"/>
      <w:b/>
      <w:iCs/>
      <w:color w:val="5F709A"/>
    </w:rPr>
  </w:style>
  <w:style w:type="paragraph" w:styleId="Heading3">
    <w:name w:val="heading 3"/>
    <w:basedOn w:val="Heading2"/>
    <w:next w:val="BodyText"/>
    <w:link w:val="Heading3Char"/>
    <w:qFormat/>
    <w:rsid w:val="00AF01B9"/>
    <w:pPr>
      <w:numPr>
        <w:ilvl w:val="2"/>
      </w:numPr>
      <w:tabs>
        <w:tab w:val="clear" w:pos="1440"/>
        <w:tab w:val="left" w:pos="720"/>
      </w:tabs>
      <w:ind w:hanging="720"/>
      <w:outlineLvl w:val="2"/>
    </w:pPr>
    <w:rPr>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E1627E"/>
    <w:pPr>
      <w:shd w:val="clear" w:color="auto" w:fill="000080"/>
    </w:pPr>
    <w:rPr>
      <w:rFonts w:ascii="Tahoma" w:hAnsi="Tahoma" w:cs="Tahoma"/>
      <w:sz w:val="20"/>
      <w:szCs w:val="20"/>
    </w:rPr>
  </w:style>
  <w:style w:type="paragraph" w:styleId="BalloonText">
    <w:name w:val="Balloon Text"/>
    <w:basedOn w:val="Normal"/>
    <w:semiHidden/>
    <w:rsid w:val="009C1076"/>
    <w:rPr>
      <w:rFonts w:ascii="Tahoma" w:hAnsi="Tahoma" w:cs="Tahoma"/>
      <w:sz w:val="16"/>
      <w:szCs w:val="16"/>
    </w:rPr>
  </w:style>
  <w:style w:type="paragraph" w:styleId="Header">
    <w:name w:val="header"/>
    <w:basedOn w:val="Normal"/>
    <w:rsid w:val="004B10EA"/>
    <w:pPr>
      <w:tabs>
        <w:tab w:val="center" w:pos="4320"/>
        <w:tab w:val="right" w:pos="8640"/>
      </w:tabs>
    </w:pPr>
  </w:style>
  <w:style w:type="paragraph" w:styleId="Footer">
    <w:name w:val="footer"/>
    <w:basedOn w:val="Normal"/>
    <w:link w:val="FooterChar"/>
    <w:uiPriority w:val="99"/>
    <w:rsid w:val="004B10EA"/>
    <w:pPr>
      <w:tabs>
        <w:tab w:val="center" w:pos="4320"/>
        <w:tab w:val="right" w:pos="8640"/>
      </w:tabs>
    </w:pPr>
  </w:style>
  <w:style w:type="character" w:customStyle="1" w:styleId="Heading2Char">
    <w:name w:val="Heading 2 Char"/>
    <w:basedOn w:val="DefaultParagraphFont"/>
    <w:link w:val="Heading2"/>
    <w:rsid w:val="00524979"/>
    <w:rPr>
      <w:rFonts w:ascii="Arial" w:hAnsi="Arial"/>
      <w:b/>
      <w:iCs/>
      <w:color w:val="5F709A"/>
      <w:sz w:val="24"/>
      <w:szCs w:val="24"/>
    </w:rPr>
  </w:style>
  <w:style w:type="character" w:customStyle="1" w:styleId="Heading3Char">
    <w:name w:val="Heading 3 Char"/>
    <w:basedOn w:val="DefaultParagraphFont"/>
    <w:link w:val="Heading3"/>
    <w:rsid w:val="00AF01B9"/>
    <w:rPr>
      <w:rFonts w:ascii="Arial" w:hAnsi="Arial"/>
      <w:b/>
      <w:bCs/>
      <w:i/>
      <w:iCs/>
      <w:color w:val="5F709A"/>
      <w:sz w:val="24"/>
      <w:szCs w:val="24"/>
    </w:rPr>
  </w:style>
  <w:style w:type="paragraph" w:styleId="BodyText">
    <w:name w:val="Body Text"/>
    <w:basedOn w:val="Normal"/>
    <w:link w:val="BodyTextChar"/>
    <w:autoRedefine/>
    <w:rsid w:val="00E175FA"/>
    <w:pPr>
      <w:spacing w:after="180"/>
      <w:ind w:firstLine="720"/>
    </w:pPr>
  </w:style>
  <w:style w:type="character" w:customStyle="1" w:styleId="BodyTextChar">
    <w:name w:val="Body Text Char"/>
    <w:basedOn w:val="DefaultParagraphFont"/>
    <w:link w:val="BodyText"/>
    <w:rsid w:val="00E175FA"/>
    <w:rPr>
      <w:sz w:val="24"/>
      <w:szCs w:val="24"/>
    </w:rPr>
  </w:style>
  <w:style w:type="paragraph" w:styleId="Caption">
    <w:name w:val="caption"/>
    <w:basedOn w:val="Normal"/>
    <w:next w:val="Normal"/>
    <w:link w:val="CaptionChar"/>
    <w:qFormat/>
    <w:rsid w:val="00AF01B9"/>
    <w:pPr>
      <w:spacing w:after="120"/>
      <w:jc w:val="center"/>
    </w:pPr>
    <w:rPr>
      <w:b/>
      <w:bCs/>
      <w:szCs w:val="20"/>
    </w:rPr>
  </w:style>
  <w:style w:type="paragraph" w:styleId="FootnoteText">
    <w:name w:val="footnote text"/>
    <w:basedOn w:val="Normal"/>
    <w:link w:val="FootnoteTextChar"/>
    <w:rsid w:val="00AF01B9"/>
    <w:rPr>
      <w:sz w:val="20"/>
      <w:szCs w:val="20"/>
    </w:rPr>
  </w:style>
  <w:style w:type="character" w:customStyle="1" w:styleId="FootnoteTextChar">
    <w:name w:val="Footnote Text Char"/>
    <w:basedOn w:val="DefaultParagraphFont"/>
    <w:link w:val="FootnoteText"/>
    <w:rsid w:val="00AF01B9"/>
  </w:style>
  <w:style w:type="character" w:styleId="FootnoteReference">
    <w:name w:val="footnote reference"/>
    <w:basedOn w:val="DefaultParagraphFont"/>
    <w:rsid w:val="00AF01B9"/>
    <w:rPr>
      <w:vertAlign w:val="superscript"/>
    </w:rPr>
  </w:style>
  <w:style w:type="character" w:customStyle="1" w:styleId="CaptionChar">
    <w:name w:val="Caption Char"/>
    <w:basedOn w:val="DefaultParagraphFont"/>
    <w:link w:val="Caption"/>
    <w:locked/>
    <w:rsid w:val="00AF01B9"/>
    <w:rPr>
      <w:b/>
      <w:bCs/>
      <w:sz w:val="24"/>
    </w:rPr>
  </w:style>
  <w:style w:type="paragraph" w:customStyle="1" w:styleId="HeadingNew">
    <w:name w:val="Heading New"/>
    <w:basedOn w:val="Heading1"/>
    <w:qFormat/>
    <w:rsid w:val="00AF01B9"/>
    <w:pPr>
      <w:pageBreakBefore/>
      <w:numPr>
        <w:numId w:val="8"/>
      </w:numPr>
      <w:pBdr>
        <w:bottom w:val="single" w:sz="4" w:space="1" w:color="808080"/>
      </w:pBdr>
      <w:suppressAutoHyphens/>
      <w:spacing w:before="0" w:after="120"/>
      <w:ind w:left="403" w:hanging="403"/>
      <w:contextualSpacing/>
    </w:pPr>
    <w:rPr>
      <w:rFonts w:ascii="Arial Bold" w:hAnsi="Arial Bold" w:cs="Arial"/>
      <w:b w:val="0"/>
      <w:bCs w:val="0"/>
      <w:color w:val="5F709A"/>
      <w:sz w:val="28"/>
      <w:szCs w:val="28"/>
      <w:u w:color="000000"/>
    </w:rPr>
  </w:style>
  <w:style w:type="character" w:customStyle="1" w:styleId="Heading1Char">
    <w:name w:val="Heading 1 Char"/>
    <w:basedOn w:val="DefaultParagraphFont"/>
    <w:link w:val="Heading1"/>
    <w:rsid w:val="00AF01B9"/>
    <w:rPr>
      <w:rFonts w:ascii="Cambria" w:eastAsia="Times New Roman" w:hAnsi="Cambria" w:cs="Times New Roman"/>
      <w:b/>
      <w:bCs/>
      <w:kern w:val="32"/>
      <w:sz w:val="32"/>
      <w:szCs w:val="32"/>
    </w:rPr>
  </w:style>
  <w:style w:type="character" w:styleId="Emphasis">
    <w:name w:val="Emphasis"/>
    <w:basedOn w:val="DefaultParagraphFont"/>
    <w:qFormat/>
    <w:rsid w:val="00743BFE"/>
    <w:rPr>
      <w:i/>
      <w:iCs/>
    </w:rPr>
  </w:style>
  <w:style w:type="character" w:styleId="IntenseEmphasis">
    <w:name w:val="Intense Emphasis"/>
    <w:basedOn w:val="DefaultParagraphFont"/>
    <w:uiPriority w:val="21"/>
    <w:qFormat/>
    <w:rsid w:val="0048173E"/>
    <w:rPr>
      <w:b/>
      <w:bCs/>
      <w:i/>
      <w:iCs/>
      <w:color w:val="4F81BD"/>
    </w:rPr>
  </w:style>
  <w:style w:type="character" w:styleId="CommentReference">
    <w:name w:val="annotation reference"/>
    <w:basedOn w:val="DefaultParagraphFont"/>
    <w:rsid w:val="00BD48CE"/>
    <w:rPr>
      <w:sz w:val="16"/>
      <w:szCs w:val="16"/>
    </w:rPr>
  </w:style>
  <w:style w:type="paragraph" w:styleId="CommentText">
    <w:name w:val="annotation text"/>
    <w:basedOn w:val="Normal"/>
    <w:link w:val="CommentTextChar"/>
    <w:rsid w:val="00BD48CE"/>
    <w:rPr>
      <w:sz w:val="20"/>
      <w:szCs w:val="20"/>
    </w:rPr>
  </w:style>
  <w:style w:type="character" w:customStyle="1" w:styleId="CommentTextChar">
    <w:name w:val="Comment Text Char"/>
    <w:basedOn w:val="DefaultParagraphFont"/>
    <w:link w:val="CommentText"/>
    <w:rsid w:val="00BD48CE"/>
  </w:style>
  <w:style w:type="paragraph" w:styleId="CommentSubject">
    <w:name w:val="annotation subject"/>
    <w:basedOn w:val="CommentText"/>
    <w:next w:val="CommentText"/>
    <w:link w:val="CommentSubjectChar"/>
    <w:rsid w:val="00BD48CE"/>
    <w:rPr>
      <w:b/>
      <w:bCs/>
    </w:rPr>
  </w:style>
  <w:style w:type="character" w:customStyle="1" w:styleId="CommentSubjectChar">
    <w:name w:val="Comment Subject Char"/>
    <w:basedOn w:val="CommentTextChar"/>
    <w:link w:val="CommentSubject"/>
    <w:rsid w:val="00BD48CE"/>
    <w:rPr>
      <w:b/>
      <w:bCs/>
    </w:rPr>
  </w:style>
  <w:style w:type="character" w:styleId="PlaceholderText">
    <w:name w:val="Placeholder Text"/>
    <w:basedOn w:val="DefaultParagraphFont"/>
    <w:uiPriority w:val="99"/>
    <w:semiHidden/>
    <w:rsid w:val="00125B5D"/>
    <w:rPr>
      <w:color w:val="808080"/>
    </w:rPr>
  </w:style>
  <w:style w:type="paragraph" w:styleId="Revision">
    <w:name w:val="Revision"/>
    <w:hidden/>
    <w:uiPriority w:val="99"/>
    <w:semiHidden/>
    <w:rsid w:val="00BB33DB"/>
    <w:rPr>
      <w:sz w:val="24"/>
      <w:szCs w:val="24"/>
    </w:rPr>
  </w:style>
  <w:style w:type="character" w:customStyle="1" w:styleId="FooterChar">
    <w:name w:val="Footer Char"/>
    <w:basedOn w:val="DefaultParagraphFont"/>
    <w:link w:val="Footer"/>
    <w:uiPriority w:val="99"/>
    <w:rsid w:val="0067472C"/>
    <w:rPr>
      <w:sz w:val="24"/>
      <w:szCs w:val="24"/>
    </w:rPr>
  </w:style>
  <w:style w:type="paragraph" w:styleId="ListParagraph">
    <w:name w:val="List Paragraph"/>
    <w:basedOn w:val="Normal"/>
    <w:uiPriority w:val="34"/>
    <w:qFormat/>
    <w:rsid w:val="00541248"/>
    <w:pPr>
      <w:ind w:left="720"/>
      <w:contextualSpacing/>
    </w:pPr>
  </w:style>
</w:styles>
</file>

<file path=word/webSettings.xml><?xml version="1.0" encoding="utf-8"?>
<w:webSettings xmlns:r="http://schemas.openxmlformats.org/officeDocument/2006/relationships" xmlns:w="http://schemas.openxmlformats.org/wordprocessingml/2006/main">
  <w:divs>
    <w:div w:id="113836457">
      <w:bodyDiv w:val="1"/>
      <w:marLeft w:val="0"/>
      <w:marRight w:val="0"/>
      <w:marTop w:val="0"/>
      <w:marBottom w:val="0"/>
      <w:divBdr>
        <w:top w:val="none" w:sz="0" w:space="0" w:color="auto"/>
        <w:left w:val="none" w:sz="0" w:space="0" w:color="auto"/>
        <w:bottom w:val="none" w:sz="0" w:space="0" w:color="auto"/>
        <w:right w:val="none" w:sz="0" w:space="0" w:color="auto"/>
      </w:divBdr>
    </w:div>
    <w:div w:id="163712662">
      <w:bodyDiv w:val="1"/>
      <w:marLeft w:val="0"/>
      <w:marRight w:val="0"/>
      <w:marTop w:val="0"/>
      <w:marBottom w:val="0"/>
      <w:divBdr>
        <w:top w:val="none" w:sz="0" w:space="0" w:color="auto"/>
        <w:left w:val="none" w:sz="0" w:space="0" w:color="auto"/>
        <w:bottom w:val="none" w:sz="0" w:space="0" w:color="auto"/>
        <w:right w:val="none" w:sz="0" w:space="0" w:color="auto"/>
      </w:divBdr>
    </w:div>
    <w:div w:id="165752413">
      <w:bodyDiv w:val="1"/>
      <w:marLeft w:val="0"/>
      <w:marRight w:val="0"/>
      <w:marTop w:val="0"/>
      <w:marBottom w:val="0"/>
      <w:divBdr>
        <w:top w:val="none" w:sz="0" w:space="0" w:color="auto"/>
        <w:left w:val="none" w:sz="0" w:space="0" w:color="auto"/>
        <w:bottom w:val="none" w:sz="0" w:space="0" w:color="auto"/>
        <w:right w:val="none" w:sz="0" w:space="0" w:color="auto"/>
      </w:divBdr>
    </w:div>
    <w:div w:id="303195705">
      <w:bodyDiv w:val="1"/>
      <w:marLeft w:val="0"/>
      <w:marRight w:val="0"/>
      <w:marTop w:val="0"/>
      <w:marBottom w:val="0"/>
      <w:divBdr>
        <w:top w:val="none" w:sz="0" w:space="0" w:color="auto"/>
        <w:left w:val="none" w:sz="0" w:space="0" w:color="auto"/>
        <w:bottom w:val="none" w:sz="0" w:space="0" w:color="auto"/>
        <w:right w:val="none" w:sz="0" w:space="0" w:color="auto"/>
      </w:divBdr>
    </w:div>
    <w:div w:id="348874889">
      <w:bodyDiv w:val="1"/>
      <w:marLeft w:val="0"/>
      <w:marRight w:val="0"/>
      <w:marTop w:val="0"/>
      <w:marBottom w:val="0"/>
      <w:divBdr>
        <w:top w:val="none" w:sz="0" w:space="0" w:color="auto"/>
        <w:left w:val="none" w:sz="0" w:space="0" w:color="auto"/>
        <w:bottom w:val="none" w:sz="0" w:space="0" w:color="auto"/>
        <w:right w:val="none" w:sz="0" w:space="0" w:color="auto"/>
      </w:divBdr>
    </w:div>
    <w:div w:id="434448692">
      <w:bodyDiv w:val="1"/>
      <w:marLeft w:val="0"/>
      <w:marRight w:val="0"/>
      <w:marTop w:val="0"/>
      <w:marBottom w:val="0"/>
      <w:divBdr>
        <w:top w:val="none" w:sz="0" w:space="0" w:color="auto"/>
        <w:left w:val="none" w:sz="0" w:space="0" w:color="auto"/>
        <w:bottom w:val="none" w:sz="0" w:space="0" w:color="auto"/>
        <w:right w:val="none" w:sz="0" w:space="0" w:color="auto"/>
      </w:divBdr>
    </w:div>
    <w:div w:id="511265936">
      <w:bodyDiv w:val="1"/>
      <w:marLeft w:val="0"/>
      <w:marRight w:val="0"/>
      <w:marTop w:val="0"/>
      <w:marBottom w:val="0"/>
      <w:divBdr>
        <w:top w:val="none" w:sz="0" w:space="0" w:color="auto"/>
        <w:left w:val="none" w:sz="0" w:space="0" w:color="auto"/>
        <w:bottom w:val="none" w:sz="0" w:space="0" w:color="auto"/>
        <w:right w:val="none" w:sz="0" w:space="0" w:color="auto"/>
      </w:divBdr>
    </w:div>
    <w:div w:id="741827354">
      <w:bodyDiv w:val="1"/>
      <w:marLeft w:val="0"/>
      <w:marRight w:val="0"/>
      <w:marTop w:val="0"/>
      <w:marBottom w:val="0"/>
      <w:divBdr>
        <w:top w:val="none" w:sz="0" w:space="0" w:color="auto"/>
        <w:left w:val="none" w:sz="0" w:space="0" w:color="auto"/>
        <w:bottom w:val="none" w:sz="0" w:space="0" w:color="auto"/>
        <w:right w:val="none" w:sz="0" w:space="0" w:color="auto"/>
      </w:divBdr>
    </w:div>
    <w:div w:id="762381245">
      <w:bodyDiv w:val="1"/>
      <w:marLeft w:val="0"/>
      <w:marRight w:val="0"/>
      <w:marTop w:val="0"/>
      <w:marBottom w:val="0"/>
      <w:divBdr>
        <w:top w:val="none" w:sz="0" w:space="0" w:color="auto"/>
        <w:left w:val="none" w:sz="0" w:space="0" w:color="auto"/>
        <w:bottom w:val="none" w:sz="0" w:space="0" w:color="auto"/>
        <w:right w:val="none" w:sz="0" w:space="0" w:color="auto"/>
      </w:divBdr>
    </w:div>
    <w:div w:id="897940682">
      <w:bodyDiv w:val="1"/>
      <w:marLeft w:val="0"/>
      <w:marRight w:val="0"/>
      <w:marTop w:val="0"/>
      <w:marBottom w:val="0"/>
      <w:divBdr>
        <w:top w:val="none" w:sz="0" w:space="0" w:color="auto"/>
        <w:left w:val="none" w:sz="0" w:space="0" w:color="auto"/>
        <w:bottom w:val="none" w:sz="0" w:space="0" w:color="auto"/>
        <w:right w:val="none" w:sz="0" w:space="0" w:color="auto"/>
      </w:divBdr>
    </w:div>
    <w:div w:id="902256992">
      <w:bodyDiv w:val="1"/>
      <w:marLeft w:val="0"/>
      <w:marRight w:val="0"/>
      <w:marTop w:val="0"/>
      <w:marBottom w:val="0"/>
      <w:divBdr>
        <w:top w:val="none" w:sz="0" w:space="0" w:color="auto"/>
        <w:left w:val="none" w:sz="0" w:space="0" w:color="auto"/>
        <w:bottom w:val="none" w:sz="0" w:space="0" w:color="auto"/>
        <w:right w:val="none" w:sz="0" w:space="0" w:color="auto"/>
      </w:divBdr>
    </w:div>
    <w:div w:id="1012538309">
      <w:bodyDiv w:val="1"/>
      <w:marLeft w:val="0"/>
      <w:marRight w:val="0"/>
      <w:marTop w:val="0"/>
      <w:marBottom w:val="0"/>
      <w:divBdr>
        <w:top w:val="none" w:sz="0" w:space="0" w:color="auto"/>
        <w:left w:val="none" w:sz="0" w:space="0" w:color="auto"/>
        <w:bottom w:val="none" w:sz="0" w:space="0" w:color="auto"/>
        <w:right w:val="none" w:sz="0" w:space="0" w:color="auto"/>
      </w:divBdr>
    </w:div>
    <w:div w:id="1014645973">
      <w:bodyDiv w:val="1"/>
      <w:marLeft w:val="0"/>
      <w:marRight w:val="0"/>
      <w:marTop w:val="0"/>
      <w:marBottom w:val="0"/>
      <w:divBdr>
        <w:top w:val="none" w:sz="0" w:space="0" w:color="auto"/>
        <w:left w:val="none" w:sz="0" w:space="0" w:color="auto"/>
        <w:bottom w:val="none" w:sz="0" w:space="0" w:color="auto"/>
        <w:right w:val="none" w:sz="0" w:space="0" w:color="auto"/>
      </w:divBdr>
    </w:div>
    <w:div w:id="1183589661">
      <w:bodyDiv w:val="1"/>
      <w:marLeft w:val="0"/>
      <w:marRight w:val="0"/>
      <w:marTop w:val="0"/>
      <w:marBottom w:val="0"/>
      <w:divBdr>
        <w:top w:val="none" w:sz="0" w:space="0" w:color="auto"/>
        <w:left w:val="none" w:sz="0" w:space="0" w:color="auto"/>
        <w:bottom w:val="none" w:sz="0" w:space="0" w:color="auto"/>
        <w:right w:val="none" w:sz="0" w:space="0" w:color="auto"/>
      </w:divBdr>
    </w:div>
    <w:div w:id="1242642111">
      <w:bodyDiv w:val="1"/>
      <w:marLeft w:val="0"/>
      <w:marRight w:val="0"/>
      <w:marTop w:val="0"/>
      <w:marBottom w:val="0"/>
      <w:divBdr>
        <w:top w:val="none" w:sz="0" w:space="0" w:color="auto"/>
        <w:left w:val="none" w:sz="0" w:space="0" w:color="auto"/>
        <w:bottom w:val="none" w:sz="0" w:space="0" w:color="auto"/>
        <w:right w:val="none" w:sz="0" w:space="0" w:color="auto"/>
      </w:divBdr>
    </w:div>
    <w:div w:id="1296714575">
      <w:bodyDiv w:val="1"/>
      <w:marLeft w:val="0"/>
      <w:marRight w:val="0"/>
      <w:marTop w:val="0"/>
      <w:marBottom w:val="0"/>
      <w:divBdr>
        <w:top w:val="none" w:sz="0" w:space="0" w:color="auto"/>
        <w:left w:val="none" w:sz="0" w:space="0" w:color="auto"/>
        <w:bottom w:val="none" w:sz="0" w:space="0" w:color="auto"/>
        <w:right w:val="none" w:sz="0" w:space="0" w:color="auto"/>
      </w:divBdr>
    </w:div>
    <w:div w:id="1312052922">
      <w:bodyDiv w:val="1"/>
      <w:marLeft w:val="0"/>
      <w:marRight w:val="0"/>
      <w:marTop w:val="0"/>
      <w:marBottom w:val="0"/>
      <w:divBdr>
        <w:top w:val="none" w:sz="0" w:space="0" w:color="auto"/>
        <w:left w:val="none" w:sz="0" w:space="0" w:color="auto"/>
        <w:bottom w:val="none" w:sz="0" w:space="0" w:color="auto"/>
        <w:right w:val="none" w:sz="0" w:space="0" w:color="auto"/>
      </w:divBdr>
    </w:div>
    <w:div w:id="1422526238">
      <w:bodyDiv w:val="1"/>
      <w:marLeft w:val="0"/>
      <w:marRight w:val="0"/>
      <w:marTop w:val="0"/>
      <w:marBottom w:val="0"/>
      <w:divBdr>
        <w:top w:val="none" w:sz="0" w:space="0" w:color="auto"/>
        <w:left w:val="none" w:sz="0" w:space="0" w:color="auto"/>
        <w:bottom w:val="none" w:sz="0" w:space="0" w:color="auto"/>
        <w:right w:val="none" w:sz="0" w:space="0" w:color="auto"/>
      </w:divBdr>
    </w:div>
    <w:div w:id="1454714896">
      <w:bodyDiv w:val="1"/>
      <w:marLeft w:val="0"/>
      <w:marRight w:val="0"/>
      <w:marTop w:val="0"/>
      <w:marBottom w:val="0"/>
      <w:divBdr>
        <w:top w:val="none" w:sz="0" w:space="0" w:color="auto"/>
        <w:left w:val="none" w:sz="0" w:space="0" w:color="auto"/>
        <w:bottom w:val="none" w:sz="0" w:space="0" w:color="auto"/>
        <w:right w:val="none" w:sz="0" w:space="0" w:color="auto"/>
      </w:divBdr>
    </w:div>
    <w:div w:id="1553806069">
      <w:bodyDiv w:val="1"/>
      <w:marLeft w:val="0"/>
      <w:marRight w:val="0"/>
      <w:marTop w:val="0"/>
      <w:marBottom w:val="0"/>
      <w:divBdr>
        <w:top w:val="none" w:sz="0" w:space="0" w:color="auto"/>
        <w:left w:val="none" w:sz="0" w:space="0" w:color="auto"/>
        <w:bottom w:val="none" w:sz="0" w:space="0" w:color="auto"/>
        <w:right w:val="none" w:sz="0" w:space="0" w:color="auto"/>
      </w:divBdr>
    </w:div>
    <w:div w:id="1624264296">
      <w:bodyDiv w:val="1"/>
      <w:marLeft w:val="0"/>
      <w:marRight w:val="0"/>
      <w:marTop w:val="0"/>
      <w:marBottom w:val="0"/>
      <w:divBdr>
        <w:top w:val="none" w:sz="0" w:space="0" w:color="auto"/>
        <w:left w:val="none" w:sz="0" w:space="0" w:color="auto"/>
        <w:bottom w:val="none" w:sz="0" w:space="0" w:color="auto"/>
        <w:right w:val="none" w:sz="0" w:space="0" w:color="auto"/>
      </w:divBdr>
    </w:div>
    <w:div w:id="1646549277">
      <w:bodyDiv w:val="1"/>
      <w:marLeft w:val="0"/>
      <w:marRight w:val="0"/>
      <w:marTop w:val="0"/>
      <w:marBottom w:val="0"/>
      <w:divBdr>
        <w:top w:val="none" w:sz="0" w:space="0" w:color="auto"/>
        <w:left w:val="none" w:sz="0" w:space="0" w:color="auto"/>
        <w:bottom w:val="none" w:sz="0" w:space="0" w:color="auto"/>
        <w:right w:val="none" w:sz="0" w:space="0" w:color="auto"/>
      </w:divBdr>
    </w:div>
    <w:div w:id="1678314056">
      <w:bodyDiv w:val="1"/>
      <w:marLeft w:val="0"/>
      <w:marRight w:val="0"/>
      <w:marTop w:val="0"/>
      <w:marBottom w:val="0"/>
      <w:divBdr>
        <w:top w:val="none" w:sz="0" w:space="0" w:color="auto"/>
        <w:left w:val="none" w:sz="0" w:space="0" w:color="auto"/>
        <w:bottom w:val="none" w:sz="0" w:space="0" w:color="auto"/>
        <w:right w:val="none" w:sz="0" w:space="0" w:color="auto"/>
      </w:divBdr>
    </w:div>
    <w:div w:id="1722241247">
      <w:bodyDiv w:val="1"/>
      <w:marLeft w:val="0"/>
      <w:marRight w:val="0"/>
      <w:marTop w:val="0"/>
      <w:marBottom w:val="0"/>
      <w:divBdr>
        <w:top w:val="none" w:sz="0" w:space="0" w:color="auto"/>
        <w:left w:val="none" w:sz="0" w:space="0" w:color="auto"/>
        <w:bottom w:val="none" w:sz="0" w:space="0" w:color="auto"/>
        <w:right w:val="none" w:sz="0" w:space="0" w:color="auto"/>
      </w:divBdr>
    </w:div>
    <w:div w:id="1827167527">
      <w:bodyDiv w:val="1"/>
      <w:marLeft w:val="0"/>
      <w:marRight w:val="0"/>
      <w:marTop w:val="0"/>
      <w:marBottom w:val="0"/>
      <w:divBdr>
        <w:top w:val="none" w:sz="0" w:space="0" w:color="auto"/>
        <w:left w:val="none" w:sz="0" w:space="0" w:color="auto"/>
        <w:bottom w:val="none" w:sz="0" w:space="0" w:color="auto"/>
        <w:right w:val="none" w:sz="0" w:space="0" w:color="auto"/>
      </w:divBdr>
    </w:div>
    <w:div w:id="1904558675">
      <w:bodyDiv w:val="1"/>
      <w:marLeft w:val="0"/>
      <w:marRight w:val="0"/>
      <w:marTop w:val="0"/>
      <w:marBottom w:val="0"/>
      <w:divBdr>
        <w:top w:val="none" w:sz="0" w:space="0" w:color="auto"/>
        <w:left w:val="none" w:sz="0" w:space="0" w:color="auto"/>
        <w:bottom w:val="none" w:sz="0" w:space="0" w:color="auto"/>
        <w:right w:val="none" w:sz="0" w:space="0" w:color="auto"/>
      </w:divBdr>
    </w:div>
    <w:div w:id="212383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5944A-9982-47A5-A429-E4CF9AB8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2103</Words>
  <Characters>10635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Overview of Methodology for Assessing Price Variation</vt:lpstr>
    </vt:vector>
  </TitlesOfParts>
  <Company>Stanford University</Company>
  <LinksUpToDate>false</LinksUpToDate>
  <CharactersWithSpaces>12713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Methodology for Assessing Price Variation</dc:title>
  <dc:subject/>
  <dc:creator>bkeating</dc:creator>
  <cp:keywords/>
  <dc:description/>
  <cp:lastModifiedBy>CMS</cp:lastModifiedBy>
  <cp:revision>2</cp:revision>
  <cp:lastPrinted>2010-08-27T02:14:00Z</cp:lastPrinted>
  <dcterms:created xsi:type="dcterms:W3CDTF">2010-12-15T16:23:00Z</dcterms:created>
  <dcterms:modified xsi:type="dcterms:W3CDTF">2010-12-15T16:23:00Z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_NewReviewCycle">
    <vt:lpwstr/>
  </property>
</Properties>
</file>