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50243" w:rsidRDefault="00350243" w:rsidP="00350243">
      <w:pPr>
        <w:jc w:val="center"/>
      </w:pPr>
      <w:r>
        <w:t xml:space="preserve">ENSAYO </w:t>
      </w:r>
      <w:r w:rsidRPr="00350243">
        <w:t>EL CÁLCULO COMO LENGUAJE DEL CAMBIO: UNA MIRADA MÁS ALLÁ DE LOS NÚMEROS</w:t>
      </w:r>
    </w:p>
    <w:p w:rsidR="00350243" w:rsidRDefault="00350243" w:rsidP="00350243"/>
    <w:p w:rsidR="00350243" w:rsidRDefault="00350243" w:rsidP="00350243"/>
    <w:p w:rsidR="00350243" w:rsidRDefault="00350243" w:rsidP="00350243">
      <w:pPr>
        <w:jc w:val="center"/>
      </w:pPr>
      <w:r>
        <w:t>SARA KATHERINE TORRES MANRIQUE</w:t>
      </w:r>
    </w:p>
    <w:p w:rsidR="00350243" w:rsidRDefault="00350243" w:rsidP="00350243">
      <w:pPr>
        <w:jc w:val="center"/>
      </w:pPr>
    </w:p>
    <w:p w:rsidR="00350243" w:rsidRDefault="00350243" w:rsidP="00350243">
      <w:pPr>
        <w:jc w:val="center"/>
      </w:pPr>
    </w:p>
    <w:p w:rsidR="00350243" w:rsidRDefault="00350243" w:rsidP="00350243">
      <w:pPr>
        <w:jc w:val="center"/>
      </w:pPr>
    </w:p>
    <w:p w:rsidR="00350243" w:rsidRDefault="00350243" w:rsidP="00350243">
      <w:pPr>
        <w:jc w:val="center"/>
      </w:pPr>
      <w:r>
        <w:t>CORPORACIÓN UNIVERSITARIA REMIGTON</w:t>
      </w:r>
    </w:p>
    <w:p w:rsidR="00350243" w:rsidRDefault="00350243" w:rsidP="00350243">
      <w:pPr>
        <w:jc w:val="center"/>
      </w:pPr>
    </w:p>
    <w:p w:rsidR="00350243" w:rsidRDefault="00350243" w:rsidP="00350243">
      <w:pPr>
        <w:jc w:val="center"/>
      </w:pPr>
    </w:p>
    <w:p w:rsidR="00350243" w:rsidRDefault="00350243" w:rsidP="00350243">
      <w:pPr>
        <w:jc w:val="center"/>
      </w:pPr>
    </w:p>
    <w:p w:rsidR="00350243" w:rsidRDefault="00350243" w:rsidP="00350243">
      <w:pPr>
        <w:jc w:val="center"/>
      </w:pPr>
      <w:r>
        <w:t>CALCULO DIFERENCIAL</w:t>
      </w:r>
    </w:p>
    <w:p w:rsidR="00350243" w:rsidRDefault="00350243" w:rsidP="00350243">
      <w:pPr>
        <w:jc w:val="center"/>
      </w:pPr>
    </w:p>
    <w:p w:rsidR="00350243" w:rsidRDefault="00350243" w:rsidP="00350243">
      <w:pPr>
        <w:jc w:val="center"/>
      </w:pPr>
    </w:p>
    <w:p w:rsidR="00350243" w:rsidRDefault="00350243" w:rsidP="00350243">
      <w:pPr>
        <w:jc w:val="center"/>
      </w:pPr>
    </w:p>
    <w:p w:rsidR="00350243" w:rsidRDefault="00350243" w:rsidP="00350243">
      <w:pPr>
        <w:jc w:val="center"/>
      </w:pPr>
      <w:r>
        <w:t>OSCAR ANDRES QUINTANA</w:t>
      </w:r>
    </w:p>
    <w:p w:rsidR="00350243" w:rsidRDefault="00350243" w:rsidP="00350243">
      <w:pPr>
        <w:jc w:val="center"/>
      </w:pPr>
    </w:p>
    <w:p w:rsidR="00350243" w:rsidRDefault="00350243" w:rsidP="00350243">
      <w:pPr>
        <w:jc w:val="center"/>
      </w:pPr>
    </w:p>
    <w:p w:rsidR="00350243" w:rsidRDefault="00350243" w:rsidP="00350243">
      <w:pPr>
        <w:jc w:val="center"/>
      </w:pPr>
    </w:p>
    <w:p w:rsidR="00350243" w:rsidRDefault="00350243" w:rsidP="00350243">
      <w:pPr>
        <w:jc w:val="center"/>
      </w:pPr>
      <w:r>
        <w:t>AGUAZUL-CASANARE</w:t>
      </w:r>
    </w:p>
    <w:p w:rsidR="00350243" w:rsidRDefault="00350243" w:rsidP="00350243">
      <w:pPr>
        <w:jc w:val="center"/>
      </w:pPr>
      <w:r>
        <w:t>2025</w:t>
      </w:r>
    </w:p>
    <w:p w:rsidR="00350243" w:rsidRDefault="00350243" w:rsidP="00350243">
      <w:pPr>
        <w:jc w:val="center"/>
      </w:pPr>
    </w:p>
    <w:p w:rsidR="00350243" w:rsidRDefault="00350243"/>
    <w:p w:rsidR="00350243" w:rsidRDefault="00350243"/>
    <w:p w:rsidR="00350243" w:rsidRDefault="00350243"/>
    <w:p w:rsidR="00350243" w:rsidRPr="00350243" w:rsidRDefault="00350243" w:rsidP="00350243">
      <w:pPr>
        <w:spacing w:line="480" w:lineRule="auto"/>
        <w:jc w:val="both"/>
        <w:rPr>
          <w:b/>
          <w:bCs/>
        </w:rPr>
      </w:pPr>
      <w:r w:rsidRPr="00350243">
        <w:rPr>
          <w:b/>
          <w:bCs/>
        </w:rPr>
        <w:lastRenderedPageBreak/>
        <w:t>Introducción</w:t>
      </w:r>
    </w:p>
    <w:p w:rsidR="00350243" w:rsidRPr="00350243" w:rsidRDefault="00350243" w:rsidP="00350243">
      <w:pPr>
        <w:spacing w:line="480" w:lineRule="auto"/>
        <w:ind w:firstLine="708"/>
        <w:jc w:val="both"/>
      </w:pPr>
      <w:r w:rsidRPr="00350243">
        <w:t>Recuerdo la primera vez que escuché la palabra “derivada” en clase: parecía una fórmula mágica reservada para genios matemáticos. Muchos estudiantes comparten esa sensación de desconcierto, como si el cálculo fuera un territorio ajeno, abstracto y lejano a la vida cotidiana. Pero ¿y si el cálculo fuera, en realidad, el lenguaje que usamos para entender el mundo en movimiento? ¿Y si detrás de cada decisión inteligente, cada diseño eficiente y cada avance científico hubiera una estructura matemática que lo hace posible?</w:t>
      </w:r>
    </w:p>
    <w:p w:rsidR="00350243" w:rsidRPr="00350243" w:rsidRDefault="00350243" w:rsidP="00350243">
      <w:pPr>
        <w:spacing w:line="480" w:lineRule="auto"/>
        <w:ind w:firstLine="708"/>
        <w:jc w:val="both"/>
      </w:pPr>
      <w:r w:rsidRPr="00350243">
        <w:t>Este ensayo defiende la tesis de que el cálculo no es solo una herramienta matemática, sino una forma de pensamiento que permite comprender, modelar y transformar la realidad. A través del análisis del video ¿Qué es el cálculo?, se argumentará que el cálculo es profundamente humano, útil y necesario, incluso para quienes no se dedican a carreras científicas. Más que una técnica, el cálculo es una forma de ver el mundo con precisión, profundidad y propósito.</w:t>
      </w:r>
    </w:p>
    <w:p w:rsidR="00350243" w:rsidRDefault="00350243"/>
    <w:p w:rsidR="00350243" w:rsidRDefault="00350243"/>
    <w:p w:rsidR="00350243" w:rsidRDefault="00350243"/>
    <w:p w:rsidR="00350243" w:rsidRDefault="00350243"/>
    <w:p w:rsidR="00350243" w:rsidRDefault="00350243"/>
    <w:p w:rsidR="00350243" w:rsidRDefault="00350243"/>
    <w:p w:rsidR="00350243" w:rsidRDefault="00350243"/>
    <w:p w:rsidR="00350243" w:rsidRDefault="00350243"/>
    <w:p w:rsidR="00350243" w:rsidRDefault="00350243" w:rsidP="00350243"/>
    <w:p w:rsidR="00350243" w:rsidRPr="00350243" w:rsidRDefault="00350243" w:rsidP="00350243">
      <w:pPr>
        <w:spacing w:line="480" w:lineRule="auto"/>
        <w:jc w:val="both"/>
        <w:rPr>
          <w:b/>
          <w:bCs/>
        </w:rPr>
      </w:pPr>
      <w:r w:rsidRPr="00350243">
        <w:rPr>
          <w:b/>
          <w:bCs/>
        </w:rPr>
        <w:lastRenderedPageBreak/>
        <w:t>El cálculo como herramienta para entender el cambio</w:t>
      </w:r>
    </w:p>
    <w:p w:rsidR="00350243" w:rsidRPr="00350243" w:rsidRDefault="00350243" w:rsidP="00350243">
      <w:pPr>
        <w:spacing w:line="480" w:lineRule="auto"/>
        <w:ind w:firstLine="708"/>
        <w:jc w:val="both"/>
      </w:pPr>
      <w:r w:rsidRPr="00350243">
        <w:t>Uno de los aportes más valiosos del video es la forma en que presenta el cálculo como una ciencia del cambio. Desde la Segunda Ley de Newton hasta los modelos de depredadores y presas, se muestra cómo las derivadas permiten describir cómo varía una cantidad respecto a otra. Por ejemplo, la velocidad es el cambio de posición respecto al tiempo, y la aceleración es el cambio de velocidad. Esta capacidad de modelar dinámicas es esencial en física, biología, economía y muchas otras disciplinas.</w:t>
      </w:r>
    </w:p>
    <w:p w:rsidR="00350243" w:rsidRPr="00350243" w:rsidRDefault="00350243" w:rsidP="00350243">
      <w:pPr>
        <w:spacing w:line="480" w:lineRule="auto"/>
        <w:ind w:firstLine="708"/>
        <w:jc w:val="both"/>
      </w:pPr>
      <w:r w:rsidRPr="00350243">
        <w:t>En el contexto de la biología, por ejemplo, el cálculo permite modelar el crecimiento poblacional, la propagación de enfermedades y la interacción entre especies. En economía, ayuda a analizar la evolución de precios, tasas de interés y productividad. En ingeniería, permite diseñar estructuras que resistan fuerzas variables, como puentes que soportan vientos o terremotos. En todos estos casos, el cálculo no solo describe el cambio: lo anticipa, lo controla, lo transforma.</w:t>
      </w:r>
    </w:p>
    <w:p w:rsidR="00350243" w:rsidRPr="00350243" w:rsidRDefault="00350243" w:rsidP="00350243">
      <w:pPr>
        <w:spacing w:line="480" w:lineRule="auto"/>
        <w:ind w:firstLine="708"/>
        <w:jc w:val="both"/>
      </w:pPr>
      <w:r w:rsidRPr="00350243">
        <w:t>Como se explica en otros recursos complementarios como Curso de cálculo diferencial desde cero - Parte 1, entender funciones y su comportamiento es el primer paso para aplicar el cálculo a problemas reales. Así, el cálculo se convierte en una herramienta para leer el mundo, no solo para resolver ecuaciones.</w:t>
      </w:r>
    </w:p>
    <w:p w:rsidR="00350243" w:rsidRPr="00350243" w:rsidRDefault="00350243" w:rsidP="00350243">
      <w:pPr>
        <w:spacing w:line="480" w:lineRule="auto"/>
        <w:jc w:val="both"/>
        <w:rPr>
          <w:b/>
          <w:bCs/>
        </w:rPr>
      </w:pPr>
      <w:r w:rsidRPr="00350243">
        <w:rPr>
          <w:b/>
          <w:bCs/>
        </w:rPr>
        <w:t>El cálculo como puente entre lo técnico y lo humano</w:t>
      </w:r>
    </w:p>
    <w:p w:rsidR="00350243" w:rsidRPr="00350243" w:rsidRDefault="00350243" w:rsidP="00350243">
      <w:pPr>
        <w:spacing w:line="480" w:lineRule="auto"/>
        <w:ind w:firstLine="708"/>
        <w:jc w:val="both"/>
      </w:pPr>
      <w:r w:rsidRPr="00350243">
        <w:t xml:space="preserve">El video también destaca cómo el cálculo está presente en la industria, la biología y la psicología. En el momento dedicado a “la psicología de las matemáticas”, </w:t>
      </w:r>
      <w:r w:rsidRPr="00350243">
        <w:lastRenderedPageBreak/>
        <w:t>se plantea una reflexión sobre cómo el miedo al cálculo puede bloquear el aprendizaje, y cómo entender su propósito puede liberar el pensamiento. Esta dimensión emocional es clave: el cálculo no es solo técnica, sino también actitud.</w:t>
      </w:r>
    </w:p>
    <w:p w:rsidR="00350243" w:rsidRPr="00350243" w:rsidRDefault="00350243" w:rsidP="00875E93">
      <w:pPr>
        <w:spacing w:line="480" w:lineRule="auto"/>
        <w:ind w:firstLine="708"/>
        <w:jc w:val="both"/>
      </w:pPr>
      <w:r w:rsidRPr="00350243">
        <w:t>En ¿QUÉ ES EL CÁLCULO DIFERENCIAL? Super fácil, se explica de forma accesible cómo las derivadas sirven para encontrar máximos y mínimos, lo que permite optimizar procesos en la vida diaria. Desde ajustar una dieta hasta planear una ruta eficiente, el cálculo nos ayuda a tomar decisiones informadas. En este sentido, el cálculo conecta lo técnico con lo humano, lo abstracto con lo práctico.</w:t>
      </w:r>
    </w:p>
    <w:p w:rsidR="00350243" w:rsidRPr="00350243" w:rsidRDefault="00350243" w:rsidP="00350243">
      <w:pPr>
        <w:spacing w:line="480" w:lineRule="auto"/>
        <w:jc w:val="both"/>
      </w:pPr>
      <w:r w:rsidRPr="00350243">
        <w:t>Incluso en campos como la psicología o la sociología, el cálculo puede ser útil para modelar comportamientos, analizar tendencias y evaluar intervenciones. Por ejemplo, los modelos de aprendizaje automatizado —basados en cálculo— permiten analizar patrones de conducta y diseñar estrategias educativas más efectivas. Así, el cálculo se convierte en una herramienta para mejorar la vida humana, no solo para resolver problemas técnicos.</w:t>
      </w:r>
    </w:p>
    <w:p w:rsidR="00350243" w:rsidRPr="00350243" w:rsidRDefault="00350243" w:rsidP="00350243">
      <w:pPr>
        <w:spacing w:line="480" w:lineRule="auto"/>
        <w:jc w:val="both"/>
        <w:rPr>
          <w:b/>
          <w:bCs/>
        </w:rPr>
      </w:pPr>
      <w:r w:rsidRPr="00350243">
        <w:rPr>
          <w:b/>
          <w:bCs/>
        </w:rPr>
        <w:t>El cálculo como disciplina formativa</w:t>
      </w:r>
    </w:p>
    <w:p w:rsidR="00350243" w:rsidRPr="00350243" w:rsidRDefault="00350243" w:rsidP="00875E93">
      <w:pPr>
        <w:spacing w:line="480" w:lineRule="auto"/>
        <w:ind w:firstLine="708"/>
        <w:jc w:val="both"/>
      </w:pPr>
      <w:r w:rsidRPr="00350243">
        <w:t>Más allá de sus aplicaciones, el cálculo desarrolla habilidades cognitivas fundamentales. Aprender a derivar una función implica abstraer, analizar, prever y justificar. Estas habilidades son transferibles a cualquier ámbito: desde la resolución de conflictos hasta la planificación de proyectos. En Te Muestro como Pienso la MATEMÁTICA, se propone una forma de pensar matemática que va más allá de memorizar fórmulas: se trata de comprender, de razonar, de conectar ideas.</w:t>
      </w:r>
    </w:p>
    <w:p w:rsidR="00350243" w:rsidRPr="00350243" w:rsidRDefault="00350243" w:rsidP="00875E93">
      <w:pPr>
        <w:spacing w:line="480" w:lineRule="auto"/>
        <w:ind w:firstLine="708"/>
        <w:jc w:val="both"/>
      </w:pPr>
      <w:r w:rsidRPr="00350243">
        <w:lastRenderedPageBreak/>
        <w:t>Esta perspectiva convierte el cálculo en una disciplina formativa, que cultiva el pensamiento crítico y la autonomía intelectual. En un mundo saturado de información, saber abstraer lo esencial, modelar relaciones y prever consecuencias es una competencia clave. El cálculo enseña a pensar con rigor, a argumentar con claridad y a tomar decisiones con fundamento. No es solo una técnica: es una escuela de pensamiento.</w:t>
      </w:r>
    </w:p>
    <w:p w:rsidR="00350243" w:rsidRPr="00350243" w:rsidRDefault="00350243" w:rsidP="00875E93">
      <w:pPr>
        <w:spacing w:line="480" w:lineRule="auto"/>
        <w:ind w:firstLine="708"/>
        <w:jc w:val="both"/>
      </w:pPr>
      <w:r w:rsidRPr="00350243">
        <w:t>Además, el cálculo fomenta la humildad intelectual. Al enfrentarse a problemas complejos, el estudiante aprende a reconocer sus límites, a buscar nuevas estrategias, a colaborar con otros. Esta actitud es esencial en cualquier ámbito profesional y humano. El cálculo, en este sentido, no solo forma mentes brillantes, sino también corazones humildes y perseverantes.</w:t>
      </w:r>
    </w:p>
    <w:p w:rsidR="00350243" w:rsidRPr="00350243" w:rsidRDefault="00350243" w:rsidP="00350243">
      <w:pPr>
        <w:spacing w:line="480" w:lineRule="auto"/>
        <w:jc w:val="both"/>
        <w:rPr>
          <w:b/>
          <w:bCs/>
        </w:rPr>
      </w:pPr>
      <w:r w:rsidRPr="00350243">
        <w:rPr>
          <w:b/>
          <w:bCs/>
        </w:rPr>
        <w:t>Contraargumento: ¿Es necesario para todos?</w:t>
      </w:r>
    </w:p>
    <w:p w:rsidR="00350243" w:rsidRPr="00350243" w:rsidRDefault="00350243" w:rsidP="00875E93">
      <w:pPr>
        <w:spacing w:line="480" w:lineRule="auto"/>
        <w:ind w:firstLine="708"/>
        <w:jc w:val="both"/>
      </w:pPr>
      <w:r w:rsidRPr="00350243">
        <w:t>Algunos podrían argumentar que el cálculo es innecesario para quienes no trabajan en ciencia o ingeniería. Esta postura, aunque comprensible, ignora que vivimos en un mundo modelado por el cálculo. Desde los algoritmos que rigen nuestras redes sociales hasta los modelos que predicen el clima, el cálculo está en todas partes. Comprender sus fundamentos no significa dominarlo a nivel técnico, sino tener una alfabetización básica que permita interpretar la realidad con mayor profundidad.</w:t>
      </w:r>
    </w:p>
    <w:p w:rsidR="00350243" w:rsidRPr="00350243" w:rsidRDefault="00350243" w:rsidP="00875E93">
      <w:pPr>
        <w:spacing w:line="480" w:lineRule="auto"/>
        <w:ind w:firstLine="708"/>
        <w:jc w:val="both"/>
      </w:pPr>
      <w:r w:rsidRPr="00350243">
        <w:t xml:space="preserve">Como se muestra en Curso de Integrales. Capítulo 1: ¿Qué es y para qué sirve la ..., incluso las integrales —que parecen complejas— tienen aplicaciones tan </w:t>
      </w:r>
      <w:r w:rsidRPr="00350243">
        <w:lastRenderedPageBreak/>
        <w:t>cotidianas como calcular áreas, volúmenes o consumos. Por tanto, el cálculo no es exclusivo: es inclusivo, si se enseña con empatía y propósito.</w:t>
      </w:r>
    </w:p>
    <w:p w:rsidR="00350243" w:rsidRDefault="00350243" w:rsidP="00875E93">
      <w:pPr>
        <w:spacing w:line="480" w:lineRule="auto"/>
        <w:ind w:firstLine="708"/>
        <w:jc w:val="both"/>
      </w:pPr>
      <w:r w:rsidRPr="00350243">
        <w:t>Además, en una sociedad democrática, comprender los modelos que sustentan decisiones públicas —como políticas de salud, educación o economía— es parte de una ciudadanía crítica y empoderada. El cálculo, en este sentido, no es solo una herramienta académica: es una herramienta de participación social.</w:t>
      </w:r>
    </w:p>
    <w:p w:rsidR="00350243" w:rsidRPr="00350243" w:rsidRDefault="00350243" w:rsidP="00350243">
      <w:pPr>
        <w:spacing w:line="480" w:lineRule="auto"/>
        <w:jc w:val="both"/>
        <w:rPr>
          <w:b/>
          <w:bCs/>
        </w:rPr>
      </w:pPr>
      <w:r>
        <w:rPr>
          <w:b/>
          <w:bCs/>
        </w:rPr>
        <w:t>C</w:t>
      </w:r>
      <w:r w:rsidRPr="00350243">
        <w:rPr>
          <w:b/>
          <w:bCs/>
        </w:rPr>
        <w:t>onclusión</w:t>
      </w:r>
    </w:p>
    <w:p w:rsidR="00350243" w:rsidRPr="00350243" w:rsidRDefault="00350243" w:rsidP="00875E93">
      <w:pPr>
        <w:spacing w:line="480" w:lineRule="auto"/>
        <w:ind w:firstLine="708"/>
        <w:jc w:val="both"/>
      </w:pPr>
      <w:r w:rsidRPr="00350243">
        <w:t>El cálculo, lejos de ser una abstracción fría, es una forma de pensamiento que nos permite entender el cambio, optimizar decisiones y desarrollar habilidades cognitivas profundas. A través del análisis del video ¿Qué es el cálculo? y otros recursos complementarios, se ha argumentado que el cálculo es útil, humano y necesario.</w:t>
      </w:r>
    </w:p>
    <w:p w:rsidR="00350243" w:rsidRPr="00350243" w:rsidRDefault="00350243" w:rsidP="00875E93">
      <w:pPr>
        <w:spacing w:line="480" w:lineRule="auto"/>
        <w:ind w:firstLine="708"/>
        <w:jc w:val="both"/>
      </w:pPr>
      <w:r w:rsidRPr="00350243">
        <w:t>Reafirmamos la tesis de que aprender cálculo no es solo aprender matemáticas, sino aprender a pensar, a conectar, a transformar. En un mundo que cambia constantemente, el cálculo nos ofrece una brújula para navegar con inteligencia y sensibilidad. Porque entender el cambio —y saber actuar ante él— es una de las competencias más valiosas que podemos cultivar.</w:t>
      </w:r>
    </w:p>
    <w:p w:rsidR="00350243" w:rsidRPr="00350243" w:rsidRDefault="00350243" w:rsidP="00875E93">
      <w:pPr>
        <w:spacing w:line="480" w:lineRule="auto"/>
        <w:ind w:firstLine="708"/>
        <w:jc w:val="both"/>
      </w:pPr>
      <w:r w:rsidRPr="00350243">
        <w:t>Más aún, el cálculo nos invita a mirar el mundo con ojos nuevos: a ver patrones donde antes había caos, a encontrar sentido donde antes había incertidumbre. Es, en última instancia, una forma de amar el conocimiento, de abrazar la complejidad, de construir puentes entre lo abstracto y lo concreto, entre lo técnico y lo humano.</w:t>
      </w:r>
    </w:p>
    <w:p w:rsidR="00350243" w:rsidRDefault="00350243" w:rsidP="00350243">
      <w:pPr>
        <w:spacing w:line="480" w:lineRule="auto"/>
        <w:jc w:val="both"/>
      </w:pPr>
    </w:p>
    <w:sectPr w:rsidR="00350243">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81801" w:rsidRDefault="00281801" w:rsidP="00350243">
      <w:pPr>
        <w:spacing w:after="0" w:line="240" w:lineRule="auto"/>
      </w:pPr>
      <w:r>
        <w:separator/>
      </w:r>
    </w:p>
  </w:endnote>
  <w:endnote w:type="continuationSeparator" w:id="0">
    <w:p w:rsidR="00281801" w:rsidRDefault="00281801" w:rsidP="00350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81801" w:rsidRDefault="00281801" w:rsidP="00350243">
      <w:pPr>
        <w:spacing w:after="0" w:line="240" w:lineRule="auto"/>
      </w:pPr>
      <w:r>
        <w:separator/>
      </w:r>
    </w:p>
  </w:footnote>
  <w:footnote w:type="continuationSeparator" w:id="0">
    <w:p w:rsidR="00281801" w:rsidRDefault="00281801" w:rsidP="00350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68436802"/>
      <w:docPartObj>
        <w:docPartGallery w:val="Page Numbers (Top of Page)"/>
        <w:docPartUnique/>
      </w:docPartObj>
    </w:sdtPr>
    <w:sdtContent>
      <w:p w:rsidR="00350243" w:rsidRDefault="00350243">
        <w:pPr>
          <w:pStyle w:val="Encabezado"/>
          <w:jc w:val="right"/>
        </w:pPr>
        <w:r>
          <w:fldChar w:fldCharType="begin"/>
        </w:r>
        <w:r>
          <w:instrText>PAGE   \* MERGEFORMAT</w:instrText>
        </w:r>
        <w:r>
          <w:fldChar w:fldCharType="separate"/>
        </w:r>
        <w:r>
          <w:rPr>
            <w:lang w:val="es-ES"/>
          </w:rPr>
          <w:t>2</w:t>
        </w:r>
        <w:r>
          <w:fldChar w:fldCharType="end"/>
        </w:r>
      </w:p>
    </w:sdtContent>
  </w:sdt>
  <w:p w:rsidR="00350243" w:rsidRDefault="00350243">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43"/>
    <w:rsid w:val="00281801"/>
    <w:rsid w:val="00350243"/>
    <w:rsid w:val="00875E93"/>
    <w:rsid w:val="00EA7FF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BF1AB"/>
  <w15:chartTrackingRefBased/>
  <w15:docId w15:val="{D3D315A3-9904-4B83-A3A0-23F85B6C3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243"/>
  </w:style>
  <w:style w:type="paragraph" w:styleId="Ttulo1">
    <w:name w:val="heading 1"/>
    <w:basedOn w:val="Normal"/>
    <w:next w:val="Normal"/>
    <w:link w:val="Ttulo1Car"/>
    <w:uiPriority w:val="9"/>
    <w:qFormat/>
    <w:rsid w:val="003502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502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502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502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502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502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02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02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02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024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5024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5024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5024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5024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02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02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02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0243"/>
    <w:rPr>
      <w:rFonts w:eastAsiaTheme="majorEastAsia" w:cstheme="majorBidi"/>
      <w:color w:val="272727" w:themeColor="text1" w:themeTint="D8"/>
    </w:rPr>
  </w:style>
  <w:style w:type="paragraph" w:styleId="Ttulo">
    <w:name w:val="Title"/>
    <w:basedOn w:val="Normal"/>
    <w:next w:val="Normal"/>
    <w:link w:val="TtuloCar"/>
    <w:uiPriority w:val="10"/>
    <w:qFormat/>
    <w:rsid w:val="00350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02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02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02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0243"/>
    <w:pPr>
      <w:spacing w:before="160"/>
      <w:jc w:val="center"/>
    </w:pPr>
    <w:rPr>
      <w:i/>
      <w:iCs/>
      <w:color w:val="404040" w:themeColor="text1" w:themeTint="BF"/>
    </w:rPr>
  </w:style>
  <w:style w:type="character" w:customStyle="1" w:styleId="CitaCar">
    <w:name w:val="Cita Car"/>
    <w:basedOn w:val="Fuentedeprrafopredeter"/>
    <w:link w:val="Cita"/>
    <w:uiPriority w:val="29"/>
    <w:rsid w:val="00350243"/>
    <w:rPr>
      <w:i/>
      <w:iCs/>
      <w:color w:val="404040" w:themeColor="text1" w:themeTint="BF"/>
    </w:rPr>
  </w:style>
  <w:style w:type="paragraph" w:styleId="Prrafodelista">
    <w:name w:val="List Paragraph"/>
    <w:basedOn w:val="Normal"/>
    <w:uiPriority w:val="34"/>
    <w:qFormat/>
    <w:rsid w:val="00350243"/>
    <w:pPr>
      <w:ind w:left="720"/>
      <w:contextualSpacing/>
    </w:pPr>
  </w:style>
  <w:style w:type="character" w:styleId="nfasisintenso">
    <w:name w:val="Intense Emphasis"/>
    <w:basedOn w:val="Fuentedeprrafopredeter"/>
    <w:uiPriority w:val="21"/>
    <w:qFormat/>
    <w:rsid w:val="00350243"/>
    <w:rPr>
      <w:i/>
      <w:iCs/>
      <w:color w:val="0F4761" w:themeColor="accent1" w:themeShade="BF"/>
    </w:rPr>
  </w:style>
  <w:style w:type="paragraph" w:styleId="Citadestacada">
    <w:name w:val="Intense Quote"/>
    <w:basedOn w:val="Normal"/>
    <w:next w:val="Normal"/>
    <w:link w:val="CitadestacadaCar"/>
    <w:uiPriority w:val="30"/>
    <w:qFormat/>
    <w:rsid w:val="00350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0243"/>
    <w:rPr>
      <w:i/>
      <w:iCs/>
      <w:color w:val="0F4761" w:themeColor="accent1" w:themeShade="BF"/>
    </w:rPr>
  </w:style>
  <w:style w:type="character" w:styleId="Referenciaintensa">
    <w:name w:val="Intense Reference"/>
    <w:basedOn w:val="Fuentedeprrafopredeter"/>
    <w:uiPriority w:val="32"/>
    <w:qFormat/>
    <w:rsid w:val="00350243"/>
    <w:rPr>
      <w:b/>
      <w:bCs/>
      <w:smallCaps/>
      <w:color w:val="0F4761" w:themeColor="accent1" w:themeShade="BF"/>
      <w:spacing w:val="5"/>
    </w:rPr>
  </w:style>
  <w:style w:type="paragraph" w:styleId="Encabezado">
    <w:name w:val="header"/>
    <w:basedOn w:val="Normal"/>
    <w:link w:val="EncabezadoCar"/>
    <w:uiPriority w:val="99"/>
    <w:unhideWhenUsed/>
    <w:rsid w:val="0035024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50243"/>
  </w:style>
  <w:style w:type="paragraph" w:styleId="Piedepgina">
    <w:name w:val="footer"/>
    <w:basedOn w:val="Normal"/>
    <w:link w:val="PiedepginaCar"/>
    <w:uiPriority w:val="99"/>
    <w:unhideWhenUsed/>
    <w:rsid w:val="0035024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502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220563">
      <w:bodyDiv w:val="1"/>
      <w:marLeft w:val="0"/>
      <w:marRight w:val="0"/>
      <w:marTop w:val="0"/>
      <w:marBottom w:val="0"/>
      <w:divBdr>
        <w:top w:val="none" w:sz="0" w:space="0" w:color="auto"/>
        <w:left w:val="none" w:sz="0" w:space="0" w:color="auto"/>
        <w:bottom w:val="none" w:sz="0" w:space="0" w:color="auto"/>
        <w:right w:val="none" w:sz="0" w:space="0" w:color="auto"/>
      </w:divBdr>
    </w:div>
    <w:div w:id="888033645">
      <w:bodyDiv w:val="1"/>
      <w:marLeft w:val="0"/>
      <w:marRight w:val="0"/>
      <w:marTop w:val="0"/>
      <w:marBottom w:val="0"/>
      <w:divBdr>
        <w:top w:val="none" w:sz="0" w:space="0" w:color="auto"/>
        <w:left w:val="none" w:sz="0" w:space="0" w:color="auto"/>
        <w:bottom w:val="none" w:sz="0" w:space="0" w:color="auto"/>
        <w:right w:val="none" w:sz="0" w:space="0" w:color="auto"/>
      </w:divBdr>
    </w:div>
    <w:div w:id="1261641144">
      <w:bodyDiv w:val="1"/>
      <w:marLeft w:val="0"/>
      <w:marRight w:val="0"/>
      <w:marTop w:val="0"/>
      <w:marBottom w:val="0"/>
      <w:divBdr>
        <w:top w:val="none" w:sz="0" w:space="0" w:color="auto"/>
        <w:left w:val="none" w:sz="0" w:space="0" w:color="auto"/>
        <w:bottom w:val="none" w:sz="0" w:space="0" w:color="auto"/>
        <w:right w:val="none" w:sz="0" w:space="0" w:color="auto"/>
      </w:divBdr>
    </w:div>
    <w:div w:id="1571576415">
      <w:bodyDiv w:val="1"/>
      <w:marLeft w:val="0"/>
      <w:marRight w:val="0"/>
      <w:marTop w:val="0"/>
      <w:marBottom w:val="0"/>
      <w:divBdr>
        <w:top w:val="none" w:sz="0" w:space="0" w:color="auto"/>
        <w:left w:val="none" w:sz="0" w:space="0" w:color="auto"/>
        <w:bottom w:val="none" w:sz="0" w:space="0" w:color="auto"/>
        <w:right w:val="none" w:sz="0" w:space="0" w:color="auto"/>
      </w:divBdr>
    </w:div>
    <w:div w:id="1915116224">
      <w:bodyDiv w:val="1"/>
      <w:marLeft w:val="0"/>
      <w:marRight w:val="0"/>
      <w:marTop w:val="0"/>
      <w:marBottom w:val="0"/>
      <w:divBdr>
        <w:top w:val="none" w:sz="0" w:space="0" w:color="auto"/>
        <w:left w:val="none" w:sz="0" w:space="0" w:color="auto"/>
        <w:bottom w:val="none" w:sz="0" w:space="0" w:color="auto"/>
        <w:right w:val="none" w:sz="0" w:space="0" w:color="auto"/>
      </w:divBdr>
    </w:div>
    <w:div w:id="2044675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1124</Words>
  <Characters>6185</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TORRES</dc:creator>
  <cp:keywords/>
  <dc:description/>
  <cp:lastModifiedBy>SARA TORRES</cp:lastModifiedBy>
  <cp:revision>1</cp:revision>
  <dcterms:created xsi:type="dcterms:W3CDTF">2025-08-20T05:33:00Z</dcterms:created>
  <dcterms:modified xsi:type="dcterms:W3CDTF">2025-08-20T05:45:00Z</dcterms:modified>
</cp:coreProperties>
</file>