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46277" w:rsidRPr="00846277" w:rsidRDefault="00846277" w:rsidP="00846277">
      <w:pPr>
        <w:rPr>
          <w:b/>
          <w:bCs/>
        </w:rPr>
      </w:pPr>
      <w:r w:rsidRPr="00846277">
        <w:rPr>
          <w:b/>
          <w:bCs/>
        </w:rPr>
        <w:t>Procedimiento de Etiquetado para Botellas de Gaseosa de Coca-Cola</w:t>
      </w:r>
    </w:p>
    <w:p w:rsidR="00846277" w:rsidRPr="00846277" w:rsidRDefault="00846277" w:rsidP="00846277">
      <w:pPr>
        <w:rPr>
          <w:b/>
          <w:bCs/>
        </w:rPr>
      </w:pPr>
      <w:r w:rsidRPr="00846277">
        <w:rPr>
          <w:b/>
          <w:bCs/>
        </w:rPr>
        <w:t>El proceso puede variar ligeramente dependiendo del tipo de botella (PET, vidrio, aluminio) y del tipo de etiqueta (de manga, adhesiva, de papel, plástica), pero el principio fundamental es el mismo.</w:t>
      </w:r>
    </w:p>
    <w:p w:rsidR="00846277" w:rsidRPr="00846277" w:rsidRDefault="00846277" w:rsidP="00846277">
      <w:pPr>
        <w:rPr>
          <w:b/>
          <w:bCs/>
        </w:rPr>
      </w:pPr>
      <w:r w:rsidRPr="00846277">
        <w:rPr>
          <w:b/>
          <w:bCs/>
        </w:rPr>
        <w:t>Materiales y Equipos Necesarios:</w:t>
      </w:r>
    </w:p>
    <w:p w:rsidR="00846277" w:rsidRPr="00846277" w:rsidRDefault="00846277" w:rsidP="00846277">
      <w:pPr>
        <w:numPr>
          <w:ilvl w:val="0"/>
          <w:numId w:val="15"/>
        </w:numPr>
        <w:rPr>
          <w:b/>
          <w:bCs/>
        </w:rPr>
      </w:pPr>
      <w:r w:rsidRPr="00846277">
        <w:rPr>
          <w:b/>
          <w:bCs/>
        </w:rPr>
        <w:t>Botellas: Ya lavadas, esterilizadas y llenas con el producto.</w:t>
      </w:r>
    </w:p>
    <w:p w:rsidR="00846277" w:rsidRPr="00846277" w:rsidRDefault="00846277" w:rsidP="00846277">
      <w:pPr>
        <w:numPr>
          <w:ilvl w:val="0"/>
          <w:numId w:val="15"/>
        </w:numPr>
        <w:rPr>
          <w:b/>
          <w:bCs/>
        </w:rPr>
      </w:pPr>
      <w:r w:rsidRPr="00846277">
        <w:rPr>
          <w:b/>
          <w:bCs/>
        </w:rPr>
        <w:t>Etiquetas: Suministradas en rollos grandes o en bobinas.</w:t>
      </w:r>
    </w:p>
    <w:p w:rsidR="00846277" w:rsidRPr="00846277" w:rsidRDefault="00846277" w:rsidP="00846277">
      <w:pPr>
        <w:numPr>
          <w:ilvl w:val="0"/>
          <w:numId w:val="15"/>
        </w:numPr>
        <w:rPr>
          <w:b/>
          <w:bCs/>
        </w:rPr>
      </w:pPr>
      <w:r w:rsidRPr="00846277">
        <w:rPr>
          <w:b/>
          <w:bCs/>
        </w:rPr>
        <w:t>Máquina Etiquetadora: El equipo central y altamente automatizado.</w:t>
      </w:r>
    </w:p>
    <w:p w:rsidR="00846277" w:rsidRPr="00846277" w:rsidRDefault="00846277" w:rsidP="00846277">
      <w:pPr>
        <w:numPr>
          <w:ilvl w:val="0"/>
          <w:numId w:val="15"/>
        </w:numPr>
        <w:rPr>
          <w:b/>
          <w:bCs/>
        </w:rPr>
      </w:pPr>
      <w:r w:rsidRPr="00846277">
        <w:rPr>
          <w:b/>
          <w:bCs/>
        </w:rPr>
        <w:t>Sistema de Transporte: Una banda transportadora que lleva las botellas.</w:t>
      </w:r>
    </w:p>
    <w:p w:rsidR="00846277" w:rsidRPr="00846277" w:rsidRDefault="00846277" w:rsidP="00846277">
      <w:pPr>
        <w:numPr>
          <w:ilvl w:val="0"/>
          <w:numId w:val="15"/>
        </w:numPr>
        <w:rPr>
          <w:b/>
          <w:bCs/>
        </w:rPr>
      </w:pPr>
      <w:r w:rsidRPr="00846277">
        <w:rPr>
          <w:b/>
          <w:bCs/>
        </w:rPr>
        <w:t xml:space="preserve">Adhesivo (si aplica): Para etiquetas que lo requieran (las </w:t>
      </w:r>
      <w:proofErr w:type="spellStart"/>
      <w:r w:rsidRPr="00846277">
        <w:rPr>
          <w:b/>
          <w:bCs/>
        </w:rPr>
        <w:t>termoencogibles</w:t>
      </w:r>
      <w:proofErr w:type="spellEnd"/>
      <w:r w:rsidRPr="00846277">
        <w:rPr>
          <w:b/>
          <w:bCs/>
        </w:rPr>
        <w:t xml:space="preserve"> no lo necesitan).</w:t>
      </w:r>
    </w:p>
    <w:p w:rsidR="00846277" w:rsidRPr="00846277" w:rsidRDefault="00846277" w:rsidP="00846277">
      <w:pPr>
        <w:rPr>
          <w:b/>
          <w:bCs/>
        </w:rPr>
      </w:pPr>
      <w:r w:rsidRPr="00846277">
        <w:rPr>
          <w:b/>
          <w:bCs/>
        </w:rPr>
        <w:pict>
          <v:rect id="_x0000_i1060" style="width:0;height:.75pt" o:hralign="center" o:hrstd="t" o:hrnoshade="t" o:hr="t" fillcolor="#0f1115" stroked="f"/>
        </w:pict>
      </w:r>
    </w:p>
    <w:p w:rsidR="00846277" w:rsidRPr="00846277" w:rsidRDefault="00846277" w:rsidP="00846277">
      <w:pPr>
        <w:rPr>
          <w:b/>
          <w:bCs/>
        </w:rPr>
      </w:pPr>
      <w:r w:rsidRPr="00846277">
        <w:rPr>
          <w:b/>
          <w:bCs/>
        </w:rPr>
        <w:t>Pasos del Procedimiento:</w:t>
      </w:r>
    </w:p>
    <w:p w:rsidR="00846277" w:rsidRPr="00846277" w:rsidRDefault="00846277" w:rsidP="00846277">
      <w:pPr>
        <w:rPr>
          <w:b/>
          <w:bCs/>
        </w:rPr>
      </w:pPr>
      <w:r w:rsidRPr="00846277">
        <w:rPr>
          <w:b/>
          <w:bCs/>
        </w:rPr>
        <w:t>1. Preparación y Alimentación:</w:t>
      </w:r>
    </w:p>
    <w:p w:rsidR="00846277" w:rsidRPr="00846277" w:rsidRDefault="00846277" w:rsidP="00846277">
      <w:pPr>
        <w:numPr>
          <w:ilvl w:val="0"/>
          <w:numId w:val="16"/>
        </w:numPr>
        <w:rPr>
          <w:b/>
          <w:bCs/>
        </w:rPr>
      </w:pPr>
      <w:r w:rsidRPr="00846277">
        <w:rPr>
          <w:b/>
          <w:bCs/>
        </w:rPr>
        <w:t>Las botellas llenas y tapadas llegan a la línea de etiquetado a través de un transportador de cadena.</w:t>
      </w:r>
    </w:p>
    <w:p w:rsidR="00846277" w:rsidRPr="00846277" w:rsidRDefault="00846277" w:rsidP="00846277">
      <w:pPr>
        <w:numPr>
          <w:ilvl w:val="0"/>
          <w:numId w:val="16"/>
        </w:numPr>
        <w:rPr>
          <w:b/>
          <w:bCs/>
        </w:rPr>
      </w:pPr>
      <w:r w:rsidRPr="00846277">
        <w:rPr>
          <w:b/>
          <w:bCs/>
        </w:rPr>
        <w:t xml:space="preserve">Por otro lado, las etiquetas se cargan en la máquina etiquetadora. Si son etiquetas de manga </w:t>
      </w:r>
      <w:proofErr w:type="spellStart"/>
      <w:r w:rsidRPr="00846277">
        <w:rPr>
          <w:b/>
          <w:bCs/>
        </w:rPr>
        <w:t>termoencogible</w:t>
      </w:r>
      <w:proofErr w:type="spellEnd"/>
      <w:r w:rsidRPr="00846277">
        <w:rPr>
          <w:b/>
          <w:bCs/>
        </w:rPr>
        <w:t>, vienen en un rollo de plástico tubular. Si son etiquetas adhesivas, vienen en un rollo con un papel de soporte.</w:t>
      </w:r>
    </w:p>
    <w:p w:rsidR="00846277" w:rsidRPr="00846277" w:rsidRDefault="00846277" w:rsidP="00846277">
      <w:pPr>
        <w:rPr>
          <w:b/>
          <w:bCs/>
        </w:rPr>
      </w:pPr>
      <w:r w:rsidRPr="00846277">
        <w:rPr>
          <w:b/>
          <w:bCs/>
        </w:rPr>
        <w:t>2. Posicionamiento y Alineación:</w:t>
      </w:r>
    </w:p>
    <w:p w:rsidR="00846277" w:rsidRPr="00846277" w:rsidRDefault="00846277" w:rsidP="00846277">
      <w:pPr>
        <w:numPr>
          <w:ilvl w:val="0"/>
          <w:numId w:val="17"/>
        </w:numPr>
        <w:rPr>
          <w:b/>
          <w:bCs/>
        </w:rPr>
      </w:pPr>
      <w:r w:rsidRPr="00846277">
        <w:rPr>
          <w:b/>
          <w:bCs/>
        </w:rPr>
        <w:t>Un sistema de guías y sensores en la banda transportadora asegura que las botellas estén perfectamente alineadas y espaciadas antes de entrar en la etiquetadora.</w:t>
      </w:r>
    </w:p>
    <w:p w:rsidR="00846277" w:rsidRPr="00846277" w:rsidRDefault="00846277" w:rsidP="00846277">
      <w:pPr>
        <w:rPr>
          <w:b/>
          <w:bCs/>
        </w:rPr>
      </w:pPr>
      <w:r w:rsidRPr="00846277">
        <w:rPr>
          <w:b/>
          <w:bCs/>
        </w:rPr>
        <w:t>3. Aplicación de la Etiqueta (El paso crítico):</w:t>
      </w:r>
      <w:r w:rsidRPr="00846277">
        <w:rPr>
          <w:b/>
          <w:bCs/>
        </w:rPr>
        <w:br/>
        <w:t>El método depende del tipo de etiqueta:</w:t>
      </w:r>
    </w:p>
    <w:p w:rsidR="00846277" w:rsidRPr="00846277" w:rsidRDefault="00846277" w:rsidP="00846277">
      <w:pPr>
        <w:numPr>
          <w:ilvl w:val="0"/>
          <w:numId w:val="18"/>
        </w:numPr>
        <w:rPr>
          <w:b/>
          <w:bCs/>
        </w:rPr>
      </w:pPr>
      <w:r w:rsidRPr="00846277">
        <w:rPr>
          <w:b/>
          <w:bCs/>
        </w:rPr>
        <w:t xml:space="preserve">Para Etiquetas de Manga </w:t>
      </w:r>
      <w:proofErr w:type="spellStart"/>
      <w:r w:rsidRPr="00846277">
        <w:rPr>
          <w:b/>
          <w:bCs/>
        </w:rPr>
        <w:t>Termoencogible</w:t>
      </w:r>
      <w:proofErr w:type="spellEnd"/>
      <w:r w:rsidRPr="00846277">
        <w:rPr>
          <w:b/>
          <w:bCs/>
        </w:rPr>
        <w:t xml:space="preserve"> (las más comunes en botellas PET):</w:t>
      </w:r>
    </w:p>
    <w:p w:rsidR="00846277" w:rsidRPr="00846277" w:rsidRDefault="00846277" w:rsidP="00846277">
      <w:pPr>
        <w:numPr>
          <w:ilvl w:val="1"/>
          <w:numId w:val="18"/>
        </w:numPr>
        <w:rPr>
          <w:b/>
          <w:bCs/>
        </w:rPr>
      </w:pPr>
      <w:r w:rsidRPr="00846277">
        <w:rPr>
          <w:b/>
          <w:bCs/>
        </w:rPr>
        <w:t>La máquina corta un trozo de la manga plástica del rollo, formando un "collar" o cilindro abierto.</w:t>
      </w:r>
    </w:p>
    <w:p w:rsidR="00846277" w:rsidRPr="00846277" w:rsidRDefault="00846277" w:rsidP="00846277">
      <w:pPr>
        <w:numPr>
          <w:ilvl w:val="1"/>
          <w:numId w:val="18"/>
        </w:numPr>
        <w:rPr>
          <w:b/>
          <w:bCs/>
        </w:rPr>
      </w:pPr>
      <w:r w:rsidRPr="00846277">
        <w:rPr>
          <w:b/>
          <w:bCs/>
        </w:rPr>
        <w:lastRenderedPageBreak/>
        <w:t>Este collar se coloca mecánicamente sobre la botella (que pasa justo por debajo o en medio del aplicador).</w:t>
      </w:r>
    </w:p>
    <w:p w:rsidR="00846277" w:rsidRPr="00846277" w:rsidRDefault="00846277" w:rsidP="00846277">
      <w:pPr>
        <w:numPr>
          <w:ilvl w:val="1"/>
          <w:numId w:val="18"/>
        </w:numPr>
        <w:rPr>
          <w:b/>
          <w:bCs/>
        </w:rPr>
      </w:pPr>
      <w:r w:rsidRPr="00846277">
        <w:rPr>
          <w:b/>
          <w:bCs/>
        </w:rPr>
        <w:t xml:space="preserve">La botella con el collar colocado pasa inmediatamente a través de un túnel de calor (horno </w:t>
      </w:r>
      <w:proofErr w:type="spellStart"/>
      <w:r w:rsidRPr="00846277">
        <w:rPr>
          <w:b/>
          <w:bCs/>
        </w:rPr>
        <w:t>termoencogible</w:t>
      </w:r>
      <w:proofErr w:type="spellEnd"/>
      <w:r w:rsidRPr="00846277">
        <w:rPr>
          <w:b/>
          <w:bCs/>
        </w:rPr>
        <w:t>).</w:t>
      </w:r>
    </w:p>
    <w:p w:rsidR="00846277" w:rsidRPr="00846277" w:rsidRDefault="00846277" w:rsidP="00846277">
      <w:pPr>
        <w:numPr>
          <w:ilvl w:val="1"/>
          <w:numId w:val="18"/>
        </w:numPr>
        <w:rPr>
          <w:b/>
          <w:bCs/>
        </w:rPr>
      </w:pPr>
      <w:r w:rsidRPr="00846277">
        <w:rPr>
          <w:b/>
          <w:bCs/>
        </w:rPr>
        <w:t>El calor hace que la etiqueta de plástico se contraiga y se ajuste perfectamente a la forma de la botella, adoptando su forma final.</w:t>
      </w:r>
    </w:p>
    <w:p w:rsidR="00846277" w:rsidRPr="00846277" w:rsidRDefault="00846277" w:rsidP="00846277">
      <w:pPr>
        <w:numPr>
          <w:ilvl w:val="0"/>
          <w:numId w:val="18"/>
        </w:numPr>
        <w:rPr>
          <w:b/>
          <w:bCs/>
        </w:rPr>
      </w:pPr>
      <w:r w:rsidRPr="00846277">
        <w:rPr>
          <w:b/>
          <w:bCs/>
        </w:rPr>
        <w:t>Para Etiquetas Adhesivas (común en vidrio, aluminio o algunas PET):</w:t>
      </w:r>
    </w:p>
    <w:p w:rsidR="00846277" w:rsidRPr="00846277" w:rsidRDefault="00846277" w:rsidP="00846277">
      <w:pPr>
        <w:numPr>
          <w:ilvl w:val="1"/>
          <w:numId w:val="19"/>
        </w:numPr>
        <w:rPr>
          <w:b/>
          <w:bCs/>
        </w:rPr>
      </w:pPr>
      <w:r w:rsidRPr="00846277">
        <w:rPr>
          <w:b/>
          <w:bCs/>
        </w:rPr>
        <w:t>La máquina etiquetadora extrae la etiqueta del rollo, separándola del papel de soporte.</w:t>
      </w:r>
    </w:p>
    <w:p w:rsidR="00846277" w:rsidRPr="00846277" w:rsidRDefault="00846277" w:rsidP="00846277">
      <w:pPr>
        <w:numPr>
          <w:ilvl w:val="1"/>
          <w:numId w:val="19"/>
        </w:numPr>
        <w:rPr>
          <w:b/>
          <w:bCs/>
        </w:rPr>
      </w:pPr>
      <w:r w:rsidRPr="00846277">
        <w:rPr>
          <w:b/>
          <w:bCs/>
        </w:rPr>
        <w:t xml:space="preserve">Un cabezal aplicador (a menudo con brazos mecánicos o rodillos) toma la etiqueta, le aplica una fina capa de adhesivo (si no viene ya </w:t>
      </w:r>
      <w:proofErr w:type="spellStart"/>
      <w:r w:rsidRPr="00846277">
        <w:rPr>
          <w:b/>
          <w:bCs/>
        </w:rPr>
        <w:t>pre-pegada</w:t>
      </w:r>
      <w:proofErr w:type="spellEnd"/>
      <w:r w:rsidRPr="00846277">
        <w:rPr>
          <w:b/>
          <w:bCs/>
        </w:rPr>
        <w:t>) y la presiona con precisión contra la botella que pasa por delante.</w:t>
      </w:r>
    </w:p>
    <w:p w:rsidR="00846277" w:rsidRPr="00846277" w:rsidRDefault="00846277" w:rsidP="00846277">
      <w:pPr>
        <w:numPr>
          <w:ilvl w:val="1"/>
          <w:numId w:val="19"/>
        </w:numPr>
        <w:rPr>
          <w:b/>
          <w:bCs/>
        </w:rPr>
      </w:pPr>
      <w:r w:rsidRPr="00846277">
        <w:rPr>
          <w:b/>
          <w:bCs/>
        </w:rPr>
        <w:t>Unos cepillos o rodillos suaves giran alrededor de la botella para asegurar que la etiqueta quede perfectamente adherida, sin burbujas de aire o arrugas.</w:t>
      </w:r>
    </w:p>
    <w:p w:rsidR="00846277" w:rsidRPr="00846277" w:rsidRDefault="00846277" w:rsidP="00846277">
      <w:pPr>
        <w:rPr>
          <w:b/>
          <w:bCs/>
        </w:rPr>
      </w:pPr>
      <w:r w:rsidRPr="00846277">
        <w:rPr>
          <w:b/>
          <w:bCs/>
        </w:rPr>
        <w:t>4. Inspección y Control de Calidad:</w:t>
      </w:r>
    </w:p>
    <w:p w:rsidR="00846277" w:rsidRPr="00846277" w:rsidRDefault="00846277" w:rsidP="00846277">
      <w:pPr>
        <w:numPr>
          <w:ilvl w:val="0"/>
          <w:numId w:val="20"/>
        </w:numPr>
        <w:rPr>
          <w:b/>
          <w:bCs/>
        </w:rPr>
      </w:pPr>
      <w:r w:rsidRPr="00846277">
        <w:rPr>
          <w:b/>
          <w:bCs/>
        </w:rPr>
        <w:t>Inmediatamente después de la aplicación, las botellas pasan por un sistema de visión artificial (cámaras de alta resolución).</w:t>
      </w:r>
    </w:p>
    <w:p w:rsidR="00846277" w:rsidRPr="00846277" w:rsidRDefault="00846277" w:rsidP="00846277">
      <w:pPr>
        <w:numPr>
          <w:ilvl w:val="0"/>
          <w:numId w:val="20"/>
        </w:numPr>
        <w:rPr>
          <w:b/>
          <w:bCs/>
        </w:rPr>
      </w:pPr>
      <w:r w:rsidRPr="00846277">
        <w:rPr>
          <w:b/>
          <w:bCs/>
        </w:rPr>
        <w:t>Estas cámaras escanean cada botella para verificar:</w:t>
      </w:r>
    </w:p>
    <w:p w:rsidR="00846277" w:rsidRPr="00846277" w:rsidRDefault="00846277" w:rsidP="00846277">
      <w:pPr>
        <w:numPr>
          <w:ilvl w:val="1"/>
          <w:numId w:val="20"/>
        </w:numPr>
        <w:rPr>
          <w:b/>
          <w:bCs/>
        </w:rPr>
      </w:pPr>
      <w:r w:rsidRPr="00846277">
        <w:rPr>
          <w:b/>
          <w:bCs/>
        </w:rPr>
        <w:t>Presencia de la etiqueta: Que no falte.</w:t>
      </w:r>
    </w:p>
    <w:p w:rsidR="00846277" w:rsidRPr="00846277" w:rsidRDefault="00846277" w:rsidP="00846277">
      <w:pPr>
        <w:numPr>
          <w:ilvl w:val="1"/>
          <w:numId w:val="20"/>
        </w:numPr>
        <w:rPr>
          <w:b/>
          <w:bCs/>
        </w:rPr>
      </w:pPr>
      <w:r w:rsidRPr="00846277">
        <w:rPr>
          <w:b/>
          <w:bCs/>
        </w:rPr>
        <w:t>Posición y alineación: Que no esté torcida o descentrada.</w:t>
      </w:r>
    </w:p>
    <w:p w:rsidR="00846277" w:rsidRPr="00846277" w:rsidRDefault="00846277" w:rsidP="00846277">
      <w:pPr>
        <w:numPr>
          <w:ilvl w:val="1"/>
          <w:numId w:val="20"/>
        </w:numPr>
        <w:rPr>
          <w:b/>
          <w:bCs/>
        </w:rPr>
      </w:pPr>
      <w:r w:rsidRPr="00846277">
        <w:rPr>
          <w:b/>
          <w:bCs/>
        </w:rPr>
        <w:t>Impresión y Legibilidad: Que el código de lote, fecha de caducidad e información estén correctamente impresos y sean legibles.</w:t>
      </w:r>
    </w:p>
    <w:p w:rsidR="00846277" w:rsidRPr="00846277" w:rsidRDefault="00846277" w:rsidP="00846277">
      <w:pPr>
        <w:numPr>
          <w:ilvl w:val="1"/>
          <w:numId w:val="20"/>
        </w:numPr>
        <w:rPr>
          <w:b/>
          <w:bCs/>
        </w:rPr>
      </w:pPr>
      <w:r w:rsidRPr="00846277">
        <w:rPr>
          <w:b/>
          <w:bCs/>
        </w:rPr>
        <w:t>Defectos: Que no haya rasgaduras, arrugas o burbujas.</w:t>
      </w:r>
    </w:p>
    <w:p w:rsidR="00846277" w:rsidRPr="00846277" w:rsidRDefault="00846277" w:rsidP="00846277">
      <w:pPr>
        <w:numPr>
          <w:ilvl w:val="0"/>
          <w:numId w:val="20"/>
        </w:numPr>
        <w:rPr>
          <w:b/>
          <w:bCs/>
        </w:rPr>
      </w:pPr>
      <w:r w:rsidRPr="00846277">
        <w:rPr>
          <w:b/>
          <w:bCs/>
        </w:rPr>
        <w:t>Si se detecta una botella mal etiquetada, un mecanismo de rechazo (como un brazo neumático) la empuja automáticamente fuera de la línea para su reprocesamiento o descarte.</w:t>
      </w:r>
    </w:p>
    <w:p w:rsidR="00846277" w:rsidRPr="00846277" w:rsidRDefault="00846277" w:rsidP="00846277">
      <w:pPr>
        <w:rPr>
          <w:b/>
          <w:bCs/>
        </w:rPr>
      </w:pPr>
      <w:r w:rsidRPr="00846277">
        <w:rPr>
          <w:b/>
          <w:bCs/>
        </w:rPr>
        <w:t>5. Agrupamiento y Empaquetado Final:</w:t>
      </w:r>
    </w:p>
    <w:p w:rsidR="00846277" w:rsidRPr="00846277" w:rsidRDefault="00846277" w:rsidP="00846277">
      <w:pPr>
        <w:numPr>
          <w:ilvl w:val="0"/>
          <w:numId w:val="21"/>
        </w:numPr>
        <w:rPr>
          <w:b/>
          <w:bCs/>
        </w:rPr>
      </w:pPr>
      <w:r w:rsidRPr="00846277">
        <w:rPr>
          <w:b/>
          <w:bCs/>
        </w:rPr>
        <w:lastRenderedPageBreak/>
        <w:t>Las botellas correctamente etiquetadas y aprobadas salen de la línea de etiquetado y continúan hacia las máquinas empacadoras, donde se agrupan en packs de 6, 12 o 24 unidades, se colocan en cajas de cartón o se envuelven con film plástico para su distribución.</w:t>
      </w:r>
    </w:p>
    <w:p w:rsidR="00846277" w:rsidRDefault="00846277" w:rsidP="00846277">
      <w:pPr>
        <w:rPr>
          <w:b/>
          <w:bCs/>
        </w:rPr>
      </w:pPr>
    </w:p>
    <w:p w:rsidR="00846277" w:rsidRPr="00846277" w:rsidRDefault="00846277" w:rsidP="00846277">
      <w:pPr>
        <w:rPr>
          <w:b/>
          <w:bCs/>
        </w:rPr>
      </w:pPr>
      <w:r w:rsidRPr="00846277">
        <w:rPr>
          <w:b/>
          <w:bCs/>
        </w:rPr>
        <w:t>Informe de Investigación Profesional</w:t>
      </w:r>
    </w:p>
    <w:p w:rsidR="00846277" w:rsidRPr="00846277" w:rsidRDefault="00846277" w:rsidP="00846277">
      <w:r w:rsidRPr="00846277">
        <w:rPr>
          <w:b/>
          <w:bCs/>
        </w:rPr>
        <w:t>Título:</w:t>
      </w:r>
      <w:r w:rsidRPr="00846277">
        <w:t> Análisis de la Causa Raíz de un Error de Etiquetado: Caso del Recuerdo de "Coca-Cola Ultimate" por Declaración Incorrecta de Azúcar.</w:t>
      </w:r>
      <w:r w:rsidRPr="00846277">
        <w:br/>
      </w:r>
      <w:r w:rsidRPr="00846277">
        <w:rPr>
          <w:b/>
          <w:bCs/>
        </w:rPr>
        <w:t>Investigador Principal:</w:t>
      </w:r>
      <w:r w:rsidRPr="00846277">
        <w:t> Dr. Elena Vargas, Investigadora Senior en Sistemas de Inocuidad Alimentaria y Garantía de Calidad.</w:t>
      </w:r>
      <w:r w:rsidRPr="00846277">
        <w:br/>
      </w:r>
      <w:r w:rsidRPr="00846277">
        <w:rPr>
          <w:b/>
          <w:bCs/>
        </w:rPr>
        <w:t>Fecha:</w:t>
      </w:r>
      <w:r w:rsidRPr="00846277">
        <w:t> 26 de mayo de 2024</w:t>
      </w:r>
      <w:r w:rsidRPr="00846277">
        <w:br/>
      </w:r>
      <w:r w:rsidRPr="00846277">
        <w:rPr>
          <w:b/>
          <w:bCs/>
        </w:rPr>
        <w:t>Institución:</w:t>
      </w:r>
      <w:r w:rsidRPr="00846277">
        <w:t> Centro para la Inocuidad Alimentaria y el Cumplimiento Normativo</w:t>
      </w:r>
    </w:p>
    <w:p w:rsidR="00846277" w:rsidRPr="00846277" w:rsidRDefault="00846277" w:rsidP="00846277">
      <w:r w:rsidRPr="00846277">
        <w:pict>
          <v:rect id="_x0000_i1052" style="width:0;height:.75pt" o:hralign="center" o:hrstd="t" o:hrnoshade="t" o:hr="t" fillcolor="#0f1115" stroked="f"/>
        </w:pict>
      </w:r>
    </w:p>
    <w:p w:rsidR="00846277" w:rsidRPr="00846277" w:rsidRDefault="00846277" w:rsidP="00846277">
      <w:pPr>
        <w:rPr>
          <w:b/>
          <w:bCs/>
        </w:rPr>
      </w:pPr>
      <w:r w:rsidRPr="00846277">
        <w:rPr>
          <w:b/>
          <w:bCs/>
        </w:rPr>
        <w:t>1. Observación</w:t>
      </w:r>
    </w:p>
    <w:p w:rsidR="00846277" w:rsidRPr="00846277" w:rsidRDefault="00846277" w:rsidP="00846277">
      <w:r w:rsidRPr="00846277">
        <w:t xml:space="preserve">La observación inicial se basa en una notificación pública de un </w:t>
      </w:r>
      <w:proofErr w:type="spellStart"/>
      <w:r w:rsidRPr="00846277">
        <w:t>recall</w:t>
      </w:r>
      <w:proofErr w:type="spellEnd"/>
      <w:r w:rsidRPr="00846277">
        <w:t xml:space="preserve"> (retiro del mercado) de producto. El 14 de julio de 2023, Ultimate </w:t>
      </w:r>
      <w:proofErr w:type="spellStart"/>
      <w:r w:rsidRPr="00846277">
        <w:t>Products</w:t>
      </w:r>
      <w:proofErr w:type="spellEnd"/>
      <w:r w:rsidRPr="00846277">
        <w:t xml:space="preserve"> Global, LLC, en coordinación con la FDA (Administración de Alimentos y Medicamentos de EE. UU.), anunció un retiro voluntario de su producto "Coca-Cola Ultimate" en presentación de botella de aluminio de 20 oz. El fenómeno observado es que un número indeterminado de estas botellas fueron etiquetadas incorrectamente. El empaque presentaba el producto como "Zero </w:t>
      </w:r>
      <w:proofErr w:type="spellStart"/>
      <w:r w:rsidRPr="00846277">
        <w:t>Sugar</w:t>
      </w:r>
      <w:proofErr w:type="spellEnd"/>
      <w:r w:rsidRPr="00846277">
        <w:t>" (Cero Azúcar), mostrando prominentemente esta declaración y afirmando "0g Azúcar Añadida", mientras que el líquido en su interior correspondía a la versión azucarada normal de Coca-Cola. Este incidente es crítico ya que representa un grave riesgo para la salud de los consumidores que confían en la información precisa del contenido de azúcar, particularmente para personas con diabetes o trastornos metabólicos.</w:t>
      </w:r>
    </w:p>
    <w:p w:rsidR="00846277" w:rsidRPr="00846277" w:rsidRDefault="00846277" w:rsidP="00846277">
      <w:r w:rsidRPr="00846277">
        <w:rPr>
          <w:b/>
          <w:bCs/>
        </w:rPr>
        <w:t>Fuente Primaria de Observación:</w:t>
      </w:r>
      <w:r w:rsidRPr="00846277">
        <w:br/>
      </w:r>
      <w:proofErr w:type="spellStart"/>
      <w:r w:rsidRPr="00846277">
        <w:t>Food</w:t>
      </w:r>
      <w:proofErr w:type="spellEnd"/>
      <w:r w:rsidRPr="00846277">
        <w:t xml:space="preserve"> Safety News. (14 de julio de 2023). "Coca-Cola Ultimate </w:t>
      </w:r>
      <w:proofErr w:type="spellStart"/>
      <w:r w:rsidRPr="00846277">
        <w:t>recalled</w:t>
      </w:r>
      <w:proofErr w:type="spellEnd"/>
      <w:r w:rsidRPr="00846277">
        <w:t xml:space="preserve"> after </w:t>
      </w:r>
      <w:proofErr w:type="spellStart"/>
      <w:r w:rsidRPr="00846277">
        <w:t>being</w:t>
      </w:r>
      <w:proofErr w:type="spellEnd"/>
      <w:r w:rsidRPr="00846277">
        <w:t xml:space="preserve"> </w:t>
      </w:r>
      <w:proofErr w:type="spellStart"/>
      <w:r w:rsidRPr="00846277">
        <w:t>incorrectly</w:t>
      </w:r>
      <w:proofErr w:type="spellEnd"/>
      <w:r w:rsidRPr="00846277">
        <w:t xml:space="preserve"> </w:t>
      </w:r>
      <w:proofErr w:type="spellStart"/>
      <w:r w:rsidRPr="00846277">
        <w:t>labeled</w:t>
      </w:r>
      <w:proofErr w:type="spellEnd"/>
      <w:r w:rsidRPr="00846277">
        <w:t xml:space="preserve"> as </w:t>
      </w:r>
      <w:proofErr w:type="spellStart"/>
      <w:r w:rsidRPr="00846277">
        <w:t>zero</w:t>
      </w:r>
      <w:proofErr w:type="spellEnd"/>
      <w:r w:rsidRPr="00846277">
        <w:t xml:space="preserve"> </w:t>
      </w:r>
      <w:proofErr w:type="spellStart"/>
      <w:r w:rsidRPr="00846277">
        <w:t>sugar</w:t>
      </w:r>
      <w:proofErr w:type="spellEnd"/>
      <w:r w:rsidRPr="00846277">
        <w:t xml:space="preserve">" (Coca-Cola Ultimate retirado tras ser etiquetado incorrectamente como </w:t>
      </w:r>
      <w:proofErr w:type="gramStart"/>
      <w:r w:rsidRPr="00846277">
        <w:t>cero azúcar</w:t>
      </w:r>
      <w:proofErr w:type="gramEnd"/>
      <w:r w:rsidRPr="00846277">
        <w:t>). Recuperado de: </w:t>
      </w:r>
      <w:hyperlink r:id="rId5" w:tgtFrame="_blank" w:history="1">
        <w:r w:rsidRPr="00846277">
          <w:rPr>
            <w:rStyle w:val="Hipervnculo"/>
          </w:rPr>
          <w:t>https://www.foodsafetynews.com/2023/07/coca-cola-ultimate-recalled-after-being-incorrectly-labeled-as-zero-sugar/</w:t>
        </w:r>
      </w:hyperlink>
    </w:p>
    <w:p w:rsidR="00846277" w:rsidRPr="00846277" w:rsidRDefault="00846277" w:rsidP="00846277">
      <w:pPr>
        <w:rPr>
          <w:b/>
          <w:bCs/>
        </w:rPr>
      </w:pPr>
      <w:r w:rsidRPr="00846277">
        <w:rPr>
          <w:b/>
          <w:bCs/>
        </w:rPr>
        <w:t>2. Formulación del Problema o Pregunta</w:t>
      </w:r>
    </w:p>
    <w:p w:rsidR="00846277" w:rsidRPr="00846277" w:rsidRDefault="00846277" w:rsidP="00846277">
      <w:r w:rsidRPr="00846277">
        <w:lastRenderedPageBreak/>
        <w:t>Basándose en esta observación, se formula la siguiente pregunta de investigación específica para guiar la investigación:</w:t>
      </w:r>
      <w:r w:rsidRPr="00846277">
        <w:br/>
      </w:r>
      <w:r w:rsidRPr="00846277">
        <w:rPr>
          <w:b/>
          <w:bCs/>
        </w:rPr>
        <w:t xml:space="preserve">¿Cuál fue la falla precisa en los procesos de producción, empaque y control de calidad en las instalaciones de Ultimate </w:t>
      </w:r>
      <w:proofErr w:type="spellStart"/>
      <w:r w:rsidRPr="00846277">
        <w:rPr>
          <w:b/>
          <w:bCs/>
        </w:rPr>
        <w:t>Products</w:t>
      </w:r>
      <w:proofErr w:type="spellEnd"/>
      <w:r w:rsidRPr="00846277">
        <w:rPr>
          <w:b/>
          <w:bCs/>
        </w:rPr>
        <w:t xml:space="preserve"> Global, LLC que permitió que unidades de bebida endulzada con azúcar fueran envasadas en botellas etiquetadas como "Zero </w:t>
      </w:r>
      <w:proofErr w:type="spellStart"/>
      <w:r w:rsidRPr="00846277">
        <w:rPr>
          <w:b/>
          <w:bCs/>
        </w:rPr>
        <w:t>Sugar</w:t>
      </w:r>
      <w:proofErr w:type="spellEnd"/>
      <w:r w:rsidRPr="00846277">
        <w:rPr>
          <w:b/>
          <w:bCs/>
        </w:rPr>
        <w:t>", y qué fallas procedimentales o sistémicas específicas fueron las causas raíz de este error?</w:t>
      </w:r>
    </w:p>
    <w:p w:rsidR="00846277" w:rsidRPr="00846277" w:rsidRDefault="00846277" w:rsidP="00846277">
      <w:pPr>
        <w:rPr>
          <w:b/>
          <w:bCs/>
        </w:rPr>
      </w:pPr>
      <w:r w:rsidRPr="00846277">
        <w:rPr>
          <w:b/>
          <w:bCs/>
        </w:rPr>
        <w:t>3. Formulación de la Hipótesis</w:t>
      </w:r>
    </w:p>
    <w:p w:rsidR="00846277" w:rsidRPr="00846277" w:rsidRDefault="00846277" w:rsidP="00846277">
      <w:r w:rsidRPr="00846277">
        <w:t>Basándonos en prácticas industriales estándar y principios de análisis de causa raíz, se formula una explicación provisional:</w:t>
      </w:r>
    </w:p>
    <w:p w:rsidR="00846277" w:rsidRPr="00846277" w:rsidRDefault="00846277" w:rsidP="00846277">
      <w:r w:rsidRPr="00846277">
        <w:rPr>
          <w:b/>
          <w:bCs/>
        </w:rPr>
        <w:t>Hipótesis:</w:t>
      </w:r>
      <w:r w:rsidRPr="00846277">
        <w:t> El incidente de etiquetado incorrecto no fue un error aislado, sino el resultado de una confluencia de fallas en el protocolo de cambio de línea de producción y los pasos subsiguientes de verificación de control de calidad. Específicamente, se hipotetiza que:</w:t>
      </w:r>
    </w:p>
    <w:p w:rsidR="00846277" w:rsidRPr="00846277" w:rsidRDefault="00846277" w:rsidP="00846277">
      <w:pPr>
        <w:numPr>
          <w:ilvl w:val="0"/>
          <w:numId w:val="10"/>
        </w:numPr>
      </w:pPr>
      <w:r w:rsidRPr="00846277">
        <w:rPr>
          <w:b/>
          <w:bCs/>
        </w:rPr>
        <w:t>Procedimiento Inadecuado de Limpieza y Purgado de Línea:</w:t>
      </w:r>
      <w:r w:rsidRPr="00846277">
        <w:t xml:space="preserve"> El procedimiento operativo estándar (POE) para la transición de la línea de producción de un lote azucarado a un lote de </w:t>
      </w:r>
      <w:proofErr w:type="gramStart"/>
      <w:r w:rsidRPr="00846277">
        <w:t>cero azúcar</w:t>
      </w:r>
      <w:proofErr w:type="gramEnd"/>
      <w:r w:rsidRPr="00846277">
        <w:t xml:space="preserve"> fue insuficientemente riguroso (al no purgar completamente el producto azucarado residual del llenador) o no fue seguido correctamente por el equipo operativo.</w:t>
      </w:r>
    </w:p>
    <w:p w:rsidR="00846277" w:rsidRPr="00846277" w:rsidRDefault="00846277" w:rsidP="00846277">
      <w:pPr>
        <w:numPr>
          <w:ilvl w:val="0"/>
          <w:numId w:val="10"/>
        </w:numPr>
      </w:pPr>
      <w:r w:rsidRPr="00846277">
        <w:rPr>
          <w:b/>
          <w:bCs/>
        </w:rPr>
        <w:t>Falla en la Verificación de Control de Calidad (QC) de Etiquetas:</w:t>
      </w:r>
      <w:r w:rsidRPr="00846277">
        <w:t> El control de calidad en línea, diseñado para verificar la congruencia entre el producto que se está envasando y las etiquetas que se aplican inmediatamente después del cambio, no se realizó, se realizó de manera inadecuada (por ejemplo, una verificación visual que pasó por alto el error) o la frecuencia de muestreo fue demasiado baja para detectar las unidades mal etiquetadas iniciales.</w:t>
      </w:r>
    </w:p>
    <w:p w:rsidR="00846277" w:rsidRPr="00846277" w:rsidRDefault="00846277" w:rsidP="00846277">
      <w:pPr>
        <w:numPr>
          <w:ilvl w:val="0"/>
          <w:numId w:val="10"/>
        </w:numPr>
      </w:pPr>
      <w:r w:rsidRPr="00846277">
        <w:rPr>
          <w:b/>
          <w:bCs/>
        </w:rPr>
        <w:t>Error de Manejo de Materiales y Configuración:</w:t>
      </w:r>
      <w:r w:rsidRPr="00846277">
        <w:t xml:space="preserve"> Hubo un error crítico durante la configuración de la máquina etiquetadora. Esto probablemente involucró la carga de un rollo incorrecto de etiquetas (las etiquetas de "Zero </w:t>
      </w:r>
      <w:proofErr w:type="spellStart"/>
      <w:r w:rsidRPr="00846277">
        <w:t>Sugar</w:t>
      </w:r>
      <w:proofErr w:type="spellEnd"/>
      <w:r w:rsidRPr="00846277">
        <w:t>") mientras los tanques de llenado aún contenían, o estaban siendo alimentados, con el concentrado azucarado, o viceversa, inmediatamente después de un cambio.</w:t>
      </w:r>
    </w:p>
    <w:p w:rsidR="00846277" w:rsidRPr="00846277" w:rsidRDefault="00846277" w:rsidP="00846277">
      <w:pPr>
        <w:rPr>
          <w:b/>
          <w:bCs/>
        </w:rPr>
      </w:pPr>
      <w:r w:rsidRPr="00846277">
        <w:rPr>
          <w:b/>
          <w:bCs/>
        </w:rPr>
        <w:t>4. Experimentación</w:t>
      </w:r>
    </w:p>
    <w:p w:rsidR="00846277" w:rsidRPr="00846277" w:rsidRDefault="00846277" w:rsidP="00846277">
      <w:r w:rsidRPr="00846277">
        <w:lastRenderedPageBreak/>
        <w:t>Para probar esta hipótesis, se diseña un enfoque de auditoría forense y simulación de procesos, ya que la experimentación directa con el producto retirado no es factible.</w:t>
      </w:r>
    </w:p>
    <w:p w:rsidR="00846277" w:rsidRPr="00846277" w:rsidRDefault="00846277" w:rsidP="00846277">
      <w:pPr>
        <w:numPr>
          <w:ilvl w:val="0"/>
          <w:numId w:val="11"/>
        </w:numPr>
      </w:pPr>
      <w:r w:rsidRPr="00846277">
        <w:rPr>
          <w:b/>
          <w:bCs/>
        </w:rPr>
        <w:t>Metodología:</w:t>
      </w:r>
    </w:p>
    <w:p w:rsidR="00846277" w:rsidRPr="00846277" w:rsidRDefault="00846277" w:rsidP="00846277">
      <w:pPr>
        <w:numPr>
          <w:ilvl w:val="1"/>
          <w:numId w:val="11"/>
        </w:numPr>
      </w:pPr>
      <w:r w:rsidRPr="00846277">
        <w:rPr>
          <w:b/>
          <w:bCs/>
        </w:rPr>
        <w:t>Auditoría de Trazabilidad:</w:t>
      </w:r>
      <w:r w:rsidRPr="00846277">
        <w:t> Rastrear el número de lote específico afectado hasta su fecha de producción, turno y línea de fabricación exacta.</w:t>
      </w:r>
    </w:p>
    <w:p w:rsidR="00846277" w:rsidRPr="00846277" w:rsidRDefault="00846277" w:rsidP="00846277">
      <w:pPr>
        <w:numPr>
          <w:ilvl w:val="1"/>
          <w:numId w:val="11"/>
        </w:numPr>
      </w:pPr>
      <w:r w:rsidRPr="00846277">
        <w:rPr>
          <w:b/>
          <w:bCs/>
        </w:rPr>
        <w:t>Revisión Documental:</w:t>
      </w:r>
      <w:r w:rsidRPr="00846277">
        <w:t xml:space="preserve"> Escudriñar los </w:t>
      </w:r>
      <w:proofErr w:type="spellStart"/>
      <w:r w:rsidRPr="00846277">
        <w:t>POEs</w:t>
      </w:r>
      <w:proofErr w:type="spellEnd"/>
      <w:r w:rsidRPr="00846277">
        <w:t xml:space="preserve"> para: a) Cambio de línea de producción y purgado. b) Configuración y operación de la máquina etiquetadora. c) Controles de calidad en proceso para verificar la precisión de las etiquetas.</w:t>
      </w:r>
    </w:p>
    <w:p w:rsidR="00846277" w:rsidRPr="00846277" w:rsidRDefault="00846277" w:rsidP="00846277">
      <w:pPr>
        <w:numPr>
          <w:ilvl w:val="1"/>
          <w:numId w:val="11"/>
        </w:numPr>
      </w:pPr>
      <w:r w:rsidRPr="00846277">
        <w:rPr>
          <w:b/>
          <w:bCs/>
        </w:rPr>
        <w:t>Análisis de Registros:</w:t>
      </w:r>
      <w:r w:rsidRPr="00846277">
        <w:t> Examinar los registros de producción del turno en cuestión, centrándose en: tiempos de cambio, registros de configuración de máquinas, registros de concentrado en tanques de llenado y hojas de aprobación de control de calidad.</w:t>
      </w:r>
    </w:p>
    <w:p w:rsidR="00846277" w:rsidRPr="00846277" w:rsidRDefault="00846277" w:rsidP="00846277">
      <w:pPr>
        <w:numPr>
          <w:ilvl w:val="1"/>
          <w:numId w:val="11"/>
        </w:numPr>
      </w:pPr>
      <w:r w:rsidRPr="00846277">
        <w:rPr>
          <w:b/>
          <w:bCs/>
        </w:rPr>
        <w:t>Simulación de Proceso:</w:t>
      </w:r>
      <w:r w:rsidRPr="00846277">
        <w:t xml:space="preserve"> En una línea de producción idéntica o similar (durante un tiempo de inactividad programado), simular el cambio de un producto con azúcar a una corrida de producto </w:t>
      </w:r>
      <w:proofErr w:type="gramStart"/>
      <w:r w:rsidRPr="00846277">
        <w:t>cero azúcar</w:t>
      </w:r>
      <w:proofErr w:type="gramEnd"/>
      <w:r w:rsidRPr="00846277">
        <w:t xml:space="preserve">. Seguir los </w:t>
      </w:r>
      <w:proofErr w:type="spellStart"/>
      <w:r w:rsidRPr="00846277">
        <w:t>POEs</w:t>
      </w:r>
      <w:proofErr w:type="spellEnd"/>
      <w:r w:rsidRPr="00846277">
        <w:t xml:space="preserve"> existentes con precisión para identificar puntos de falla potenciales (por ejemplo, medir si el volumen de purga es suficiente para prevenir la contaminación cruzada, observar el proceso de carga y verificación de etiquetas).</w:t>
      </w:r>
    </w:p>
    <w:p w:rsidR="00846277" w:rsidRPr="00846277" w:rsidRDefault="00846277" w:rsidP="00846277">
      <w:pPr>
        <w:numPr>
          <w:ilvl w:val="0"/>
          <w:numId w:val="11"/>
        </w:numPr>
      </w:pPr>
      <w:r w:rsidRPr="00846277">
        <w:rPr>
          <w:b/>
          <w:bCs/>
        </w:rPr>
        <w:t>Variables Controladas:</w:t>
      </w:r>
      <w:r w:rsidRPr="00846277">
        <w:t> Identificador de la línea de producción, equipo de turno, números de lote de concentrado y etiquetas.</w:t>
      </w:r>
    </w:p>
    <w:p w:rsidR="00846277" w:rsidRPr="00846277" w:rsidRDefault="00846277" w:rsidP="00846277">
      <w:pPr>
        <w:numPr>
          <w:ilvl w:val="0"/>
          <w:numId w:val="11"/>
        </w:numPr>
      </w:pPr>
      <w:r w:rsidRPr="00846277">
        <w:rPr>
          <w:b/>
          <w:bCs/>
        </w:rPr>
        <w:t>Resultado Medido:</w:t>
      </w:r>
      <w:r w:rsidRPr="00846277">
        <w:t> La presencia o ausencia de unidades mal etiquetadas producidas al inicio de la corrida simulada.</w:t>
      </w:r>
    </w:p>
    <w:p w:rsidR="00846277" w:rsidRPr="00846277" w:rsidRDefault="00846277" w:rsidP="00846277">
      <w:pPr>
        <w:rPr>
          <w:b/>
          <w:bCs/>
        </w:rPr>
      </w:pPr>
      <w:r w:rsidRPr="00846277">
        <w:rPr>
          <w:b/>
          <w:bCs/>
        </w:rPr>
        <w:t>5. Análisis de Datos</w:t>
      </w:r>
    </w:p>
    <w:p w:rsidR="00846277" w:rsidRPr="00846277" w:rsidRDefault="00846277" w:rsidP="00846277">
      <w:r w:rsidRPr="00846277">
        <w:t>Los datos recopilados de la auditoría y la simulación se analizan cualitativa y cuantitativamente.</w:t>
      </w:r>
    </w:p>
    <w:p w:rsidR="00846277" w:rsidRPr="00846277" w:rsidRDefault="00846277" w:rsidP="00846277">
      <w:pPr>
        <w:numPr>
          <w:ilvl w:val="0"/>
          <w:numId w:val="12"/>
        </w:numPr>
      </w:pPr>
      <w:r w:rsidRPr="00846277">
        <w:rPr>
          <w:b/>
          <w:bCs/>
        </w:rPr>
        <w:t>Hallazgos Esperados (que apoyan la hipótesis):</w:t>
      </w:r>
    </w:p>
    <w:p w:rsidR="00846277" w:rsidRPr="00846277" w:rsidRDefault="00846277" w:rsidP="00846277">
      <w:pPr>
        <w:numPr>
          <w:ilvl w:val="1"/>
          <w:numId w:val="12"/>
        </w:numPr>
      </w:pPr>
      <w:r w:rsidRPr="00846277">
        <w:t xml:space="preserve">El POE de purgado podría especificar un volumen insuficiente para la limpieza, lo que lleva a que el producto azucarado residual contamine las primeras unidades de la corrida de </w:t>
      </w:r>
      <w:proofErr w:type="gramStart"/>
      <w:r w:rsidRPr="00846277">
        <w:t>cero azúcar</w:t>
      </w:r>
      <w:proofErr w:type="gramEnd"/>
      <w:r w:rsidRPr="00846277">
        <w:t>.</w:t>
      </w:r>
    </w:p>
    <w:p w:rsidR="00846277" w:rsidRPr="00846277" w:rsidRDefault="00846277" w:rsidP="00846277">
      <w:pPr>
        <w:numPr>
          <w:ilvl w:val="1"/>
          <w:numId w:val="12"/>
        </w:numPr>
      </w:pPr>
      <w:r w:rsidRPr="00846277">
        <w:lastRenderedPageBreak/>
        <w:t>Los registros de control de calidad para el turno afectado pueden mostrar una verificación faltante o aprobada que, de hecho, no se realizó o se hizo incorrectamente.</w:t>
      </w:r>
    </w:p>
    <w:p w:rsidR="00846277" w:rsidRPr="00846277" w:rsidRDefault="00846277" w:rsidP="00846277">
      <w:pPr>
        <w:numPr>
          <w:ilvl w:val="1"/>
          <w:numId w:val="12"/>
        </w:numPr>
      </w:pPr>
      <w:r w:rsidRPr="00846277">
        <w:t>La simulación podría demostrar que un operador puede cargar fácilmente el rollo de etiquetas incorrecto si los protocolos de verificación física no son estrictos.</w:t>
      </w:r>
    </w:p>
    <w:p w:rsidR="00846277" w:rsidRPr="00846277" w:rsidRDefault="00846277" w:rsidP="00846277">
      <w:pPr>
        <w:numPr>
          <w:ilvl w:val="0"/>
          <w:numId w:val="12"/>
        </w:numPr>
      </w:pPr>
      <w:r w:rsidRPr="00846277">
        <w:rPr>
          <w:b/>
          <w:bCs/>
        </w:rPr>
        <w:t>Interpretación:</w:t>
      </w:r>
      <w:r w:rsidRPr="00846277">
        <w:t> El análisis buscaría correlacionar la línea de tiempo del error de producción con la falla específica en el procedimiento, identificando la causa raíz primaria (por ejemplo, brecha procedural vs. error humano vs. supervisión deficiente).</w:t>
      </w:r>
    </w:p>
    <w:p w:rsidR="00846277" w:rsidRPr="00846277" w:rsidRDefault="00846277" w:rsidP="00846277">
      <w:pPr>
        <w:rPr>
          <w:b/>
          <w:bCs/>
        </w:rPr>
      </w:pPr>
      <w:r w:rsidRPr="00846277">
        <w:rPr>
          <w:b/>
          <w:bCs/>
        </w:rPr>
        <w:t>6. Conclusión</w:t>
      </w:r>
    </w:p>
    <w:p w:rsidR="00846277" w:rsidRPr="00846277" w:rsidRDefault="00846277" w:rsidP="00846277">
      <w:r w:rsidRPr="00846277">
        <w:t>Basándonos en los resultados esperados de la auditoría y la simulación, </w:t>
      </w:r>
      <w:r w:rsidRPr="00846277">
        <w:rPr>
          <w:b/>
          <w:bCs/>
        </w:rPr>
        <w:t>se acepta la hipótesis inicial</w:t>
      </w:r>
      <w:r w:rsidRPr="00846277">
        <w:t>. La conclusión se enunciaría con especificidad:</w:t>
      </w:r>
    </w:p>
    <w:p w:rsidR="00846277" w:rsidRPr="00846277" w:rsidRDefault="00846277" w:rsidP="00846277">
      <w:r w:rsidRPr="00846277">
        <w:t xml:space="preserve">"La investigación concluye que el incidente de etiquetado incorrecto fue causado por una falla crítica en el protocolo de cambio de línea, agravada por una lapse en el paso obligatorio de verificación de control de calidad. La causa raíz más probable fue el purgado incompleto del sistema de llenado al cambiar de un producto endulzado con azúcar a la variante 'Zero </w:t>
      </w:r>
      <w:proofErr w:type="spellStart"/>
      <w:r w:rsidRPr="00846277">
        <w:t>Sugar</w:t>
      </w:r>
      <w:proofErr w:type="spellEnd"/>
      <w:r w:rsidRPr="00846277">
        <w:t>', seguido de una falla en detectar el error mediante la verificación de etiquetas en línea. Esta falla sistémica resultó en un producto que representó un riesgo significativo para la salud de los consumidores vulnerables y violó las regulaciones 21 CFR 101 sobre etiquetado de alimentos."</w:t>
      </w:r>
    </w:p>
    <w:p w:rsidR="00846277" w:rsidRPr="00846277" w:rsidRDefault="00846277" w:rsidP="00846277">
      <w:pPr>
        <w:rPr>
          <w:b/>
          <w:bCs/>
        </w:rPr>
      </w:pPr>
      <w:r w:rsidRPr="00846277">
        <w:rPr>
          <w:b/>
          <w:bCs/>
        </w:rPr>
        <w:t>7. Comunicación y Revisión por Pares</w:t>
      </w:r>
    </w:p>
    <w:p w:rsidR="00846277" w:rsidRPr="00846277" w:rsidRDefault="00846277" w:rsidP="00846277">
      <w:r w:rsidRPr="00846277">
        <w:t>Los hallazgos de esta investigación se compilarían en un </w:t>
      </w:r>
      <w:r w:rsidRPr="00846277">
        <w:rPr>
          <w:b/>
          <w:bCs/>
        </w:rPr>
        <w:t>Informe de Análisis de Causa Raíz (RCA)</w:t>
      </w:r>
      <w:r w:rsidRPr="00846277">
        <w:t>. Este informe se comunicaría a:</w:t>
      </w:r>
    </w:p>
    <w:p w:rsidR="00846277" w:rsidRPr="00846277" w:rsidRDefault="00846277" w:rsidP="00846277">
      <w:pPr>
        <w:numPr>
          <w:ilvl w:val="0"/>
          <w:numId w:val="13"/>
        </w:numPr>
      </w:pPr>
      <w:r w:rsidRPr="00846277">
        <w:rPr>
          <w:b/>
          <w:bCs/>
        </w:rPr>
        <w:t>Partes Interesadas Internas:</w:t>
      </w:r>
      <w:r w:rsidRPr="00846277">
        <w:t> Alta dirección, equipos de garantía de calidad y gerentes de piso de producción para una acción inmediata.</w:t>
      </w:r>
    </w:p>
    <w:p w:rsidR="00846277" w:rsidRPr="00846277" w:rsidRDefault="00846277" w:rsidP="00846277">
      <w:pPr>
        <w:numPr>
          <w:ilvl w:val="0"/>
          <w:numId w:val="13"/>
        </w:numPr>
      </w:pPr>
      <w:r w:rsidRPr="00846277">
        <w:rPr>
          <w:b/>
          <w:bCs/>
        </w:rPr>
        <w:t>Partes Interesadas Externas:</w:t>
      </w:r>
      <w:r w:rsidRPr="00846277">
        <w:t xml:space="preserve"> La FDA como parte del proceso de cierre del </w:t>
      </w:r>
      <w:proofErr w:type="spellStart"/>
      <w:r w:rsidRPr="00846277">
        <w:t>recall</w:t>
      </w:r>
      <w:proofErr w:type="spellEnd"/>
      <w:r w:rsidRPr="00846277">
        <w:t xml:space="preserve"> y </w:t>
      </w:r>
      <w:proofErr w:type="spellStart"/>
      <w:r w:rsidRPr="00846277">
        <w:t>The</w:t>
      </w:r>
      <w:proofErr w:type="spellEnd"/>
      <w:r w:rsidRPr="00846277">
        <w:t xml:space="preserve"> Coca-Cola Company como propietaria de la marca.</w:t>
      </w:r>
    </w:p>
    <w:p w:rsidR="00846277" w:rsidRPr="00846277" w:rsidRDefault="00846277" w:rsidP="00846277">
      <w:pPr>
        <w:numPr>
          <w:ilvl w:val="0"/>
          <w:numId w:val="13"/>
        </w:numPr>
      </w:pPr>
      <w:r w:rsidRPr="00846277">
        <w:rPr>
          <w:b/>
          <w:bCs/>
        </w:rPr>
        <w:t>Revisión por Pares:</w:t>
      </w:r>
      <w:r w:rsidRPr="00846277">
        <w:t> La metodología y las conclusiones podrían presentarse en conferencias de la industria (por ejemplo, el Instituto de Tecnólogos de Alimentos - IFT) para su revisión crítica, permitiendo que otros expertos validen los hallazgos o sugieran enfoques investigativos alternativos.</w:t>
      </w:r>
    </w:p>
    <w:p w:rsidR="00846277" w:rsidRPr="00846277" w:rsidRDefault="00846277" w:rsidP="00846277">
      <w:pPr>
        <w:rPr>
          <w:b/>
          <w:bCs/>
        </w:rPr>
      </w:pPr>
      <w:r w:rsidRPr="00846277">
        <w:rPr>
          <w:b/>
          <w:bCs/>
        </w:rPr>
        <w:t>8. Formulación de Acciones Correctivas (Aplicación Práctica)</w:t>
      </w:r>
    </w:p>
    <w:p w:rsidR="00846277" w:rsidRPr="00846277" w:rsidRDefault="00846277" w:rsidP="00846277">
      <w:r w:rsidRPr="00846277">
        <w:lastRenderedPageBreak/>
        <w:t>En lugar de una teoría, el resultado de un RCA exitoso es la implementación de Acciones Correctivas y Preventivas (CAPA) robustas:</w:t>
      </w:r>
    </w:p>
    <w:p w:rsidR="00846277" w:rsidRPr="00846277" w:rsidRDefault="00846277" w:rsidP="00846277">
      <w:pPr>
        <w:numPr>
          <w:ilvl w:val="0"/>
          <w:numId w:val="14"/>
        </w:numPr>
      </w:pPr>
      <w:r w:rsidRPr="00846277">
        <w:rPr>
          <w:b/>
          <w:bCs/>
        </w:rPr>
        <w:t xml:space="preserve">Revisión y Mejora de los </w:t>
      </w:r>
      <w:proofErr w:type="spellStart"/>
      <w:r w:rsidRPr="00846277">
        <w:rPr>
          <w:b/>
          <w:bCs/>
        </w:rPr>
        <w:t>POEs</w:t>
      </w:r>
      <w:proofErr w:type="spellEnd"/>
      <w:r w:rsidRPr="00846277">
        <w:rPr>
          <w:b/>
          <w:bCs/>
        </w:rPr>
        <w:t>:</w:t>
      </w:r>
      <w:r w:rsidRPr="00846277">
        <w:t> Rediseñar el procedimiento de cambio para incluir un volumen de purga mayor, una aprobación obligatoria con doble firma por parte del operador y supervisor, y un paso de bloqueo/etiquetado (Lockout/</w:t>
      </w:r>
      <w:proofErr w:type="spellStart"/>
      <w:r w:rsidRPr="00846277">
        <w:t>Tagout</w:t>
      </w:r>
      <w:proofErr w:type="spellEnd"/>
      <w:r w:rsidRPr="00846277">
        <w:t>) físico para los tanques de concentrado.</w:t>
      </w:r>
    </w:p>
    <w:p w:rsidR="00846277" w:rsidRPr="00846277" w:rsidRDefault="00846277" w:rsidP="00846277">
      <w:pPr>
        <w:numPr>
          <w:ilvl w:val="0"/>
          <w:numId w:val="14"/>
        </w:numPr>
      </w:pPr>
      <w:r w:rsidRPr="00846277">
        <w:rPr>
          <w:b/>
          <w:bCs/>
        </w:rPr>
        <w:t>Implementación de Controles Automatizados:</w:t>
      </w:r>
      <w:r w:rsidRPr="00846277">
        <w:t> Instalar un sistema automatizado de inspección por visión (por ejemplo, una cámara) que escanee la etiqueta de cada botella y verifique que coincida con el código de producto programado para la corrida de producción, rechazando automáticamente cualquier discrepancia.</w:t>
      </w:r>
    </w:p>
    <w:p w:rsidR="00846277" w:rsidRPr="00846277" w:rsidRDefault="00846277" w:rsidP="00846277">
      <w:pPr>
        <w:numPr>
          <w:ilvl w:val="0"/>
          <w:numId w:val="14"/>
        </w:numPr>
      </w:pPr>
      <w:r w:rsidRPr="00846277">
        <w:rPr>
          <w:b/>
          <w:bCs/>
        </w:rPr>
        <w:t>Capacitación Reforzada:</w:t>
      </w:r>
      <w:r w:rsidRPr="00846277">
        <w:t xml:space="preserve"> Implementar capacitación práctica obligatoria de </w:t>
      </w:r>
      <w:proofErr w:type="spellStart"/>
      <w:r w:rsidRPr="00846277">
        <w:t>reeentrenamiento</w:t>
      </w:r>
      <w:proofErr w:type="spellEnd"/>
      <w:r w:rsidRPr="00846277">
        <w:t xml:space="preserve"> para todo el personal de producción sobre los </w:t>
      </w:r>
      <w:proofErr w:type="spellStart"/>
      <w:r w:rsidRPr="00846277">
        <w:t>POEs</w:t>
      </w:r>
      <w:proofErr w:type="spellEnd"/>
      <w:r w:rsidRPr="00846277">
        <w:t xml:space="preserve"> actualizados de cambio y verificación de etiquetas, enfatizando las críticas implicaciones para la salud de tales errores.</w:t>
      </w:r>
    </w:p>
    <w:p w:rsidR="00846277" w:rsidRPr="00846277" w:rsidRDefault="00846277" w:rsidP="00846277">
      <w:pPr>
        <w:numPr>
          <w:ilvl w:val="0"/>
          <w:numId w:val="14"/>
        </w:numPr>
      </w:pPr>
      <w:r w:rsidRPr="00846277">
        <w:rPr>
          <w:b/>
          <w:bCs/>
        </w:rPr>
        <w:t>Gestión de Materiales:</w:t>
      </w:r>
      <w:r w:rsidRPr="00846277">
        <w:t> Introducir segregación física y codificación por colores para los rollos de etiquetas de diferentes productos para prevenir errores de carga.</w:t>
      </w:r>
    </w:p>
    <w:p w:rsidR="000412C0" w:rsidRDefault="005B1FDF" w:rsidP="00846277">
      <w:r>
        <w:t>Sitios web</w:t>
      </w:r>
    </w:p>
    <w:p w:rsidR="005B1FDF" w:rsidRDefault="005B1FDF" w:rsidP="00846277">
      <w:hyperlink r:id="rId6" w:history="1">
        <w:r w:rsidRPr="003B6263">
          <w:rPr>
            <w:rStyle w:val="Hipervnculo"/>
          </w:rPr>
          <w:t>https://www.gruposialico.com/post/coca-cola-retira-productos-por-error-de-etiquetado</w:t>
        </w:r>
      </w:hyperlink>
    </w:p>
    <w:p w:rsidR="005B1FDF" w:rsidRDefault="005B1FDF" w:rsidP="00846277">
      <w:hyperlink r:id="rId7" w:history="1">
        <w:r w:rsidRPr="003B6263">
          <w:rPr>
            <w:rStyle w:val="Hipervnculo"/>
          </w:rPr>
          <w:t>https://www.foodsafetynews.com/2023/07/coca-cola-ultimate-recalled-after-being-incorrectly-labeled-as-zero-sugar/</w:t>
        </w:r>
      </w:hyperlink>
    </w:p>
    <w:p w:rsidR="005B1FDF" w:rsidRPr="00846277" w:rsidRDefault="004F0812" w:rsidP="00846277">
      <w:proofErr w:type="spellStart"/>
      <w:r>
        <w:t>lies</w:t>
      </w:r>
      <w:proofErr w:type="spellEnd"/>
      <w:r>
        <w:t xml:space="preserve"> de producción </w:t>
      </w:r>
      <w:hyperlink r:id="rId8" w:tgtFrame="_blank" w:history="1">
        <w:r w:rsidRPr="004F0812">
          <w:rPr>
            <w:rStyle w:val="Hipervnculo"/>
          </w:rPr>
          <w:t>https://www.youtube.com/watch?v=PP8T6f2voBU</w:t>
        </w:r>
      </w:hyperlink>
      <w:r w:rsidRPr="004F0812">
        <w:t> </w:t>
      </w:r>
    </w:p>
    <w:sectPr w:rsidR="005B1FDF" w:rsidRPr="008462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384E"/>
    <w:multiLevelType w:val="multilevel"/>
    <w:tmpl w:val="B3E6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0063"/>
    <w:multiLevelType w:val="multilevel"/>
    <w:tmpl w:val="E302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7049F"/>
    <w:multiLevelType w:val="multilevel"/>
    <w:tmpl w:val="C9B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D5833"/>
    <w:multiLevelType w:val="multilevel"/>
    <w:tmpl w:val="ABEAB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256B0"/>
    <w:multiLevelType w:val="multilevel"/>
    <w:tmpl w:val="EC3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E73CE"/>
    <w:multiLevelType w:val="multilevel"/>
    <w:tmpl w:val="0FCE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70148"/>
    <w:multiLevelType w:val="multilevel"/>
    <w:tmpl w:val="9EE65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311DB"/>
    <w:multiLevelType w:val="multilevel"/>
    <w:tmpl w:val="786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5B4ADF"/>
    <w:multiLevelType w:val="multilevel"/>
    <w:tmpl w:val="4648B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BC21E2"/>
    <w:multiLevelType w:val="multilevel"/>
    <w:tmpl w:val="167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61275F"/>
    <w:multiLevelType w:val="multilevel"/>
    <w:tmpl w:val="489CD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F0DFF"/>
    <w:multiLevelType w:val="multilevel"/>
    <w:tmpl w:val="323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CB1015"/>
    <w:multiLevelType w:val="multilevel"/>
    <w:tmpl w:val="39388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2779C"/>
    <w:multiLevelType w:val="multilevel"/>
    <w:tmpl w:val="D084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0D1565"/>
    <w:multiLevelType w:val="multilevel"/>
    <w:tmpl w:val="EE38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0725E"/>
    <w:multiLevelType w:val="multilevel"/>
    <w:tmpl w:val="A18A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B0F30"/>
    <w:multiLevelType w:val="multilevel"/>
    <w:tmpl w:val="B7F0F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77D0C"/>
    <w:multiLevelType w:val="multilevel"/>
    <w:tmpl w:val="150E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B2BCA"/>
    <w:multiLevelType w:val="multilevel"/>
    <w:tmpl w:val="396AF7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D7068B"/>
    <w:multiLevelType w:val="multilevel"/>
    <w:tmpl w:val="71DE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759421">
    <w:abstractNumId w:val="17"/>
  </w:num>
  <w:num w:numId="2" w16cid:durableId="1411847487">
    <w:abstractNumId w:val="0"/>
  </w:num>
  <w:num w:numId="3" w16cid:durableId="1499274875">
    <w:abstractNumId w:val="6"/>
  </w:num>
  <w:num w:numId="4" w16cid:durableId="1118723953">
    <w:abstractNumId w:val="1"/>
  </w:num>
  <w:num w:numId="5" w16cid:durableId="1520117897">
    <w:abstractNumId w:val="19"/>
  </w:num>
  <w:num w:numId="6" w16cid:durableId="486363625">
    <w:abstractNumId w:val="8"/>
  </w:num>
  <w:num w:numId="7" w16cid:durableId="1481461223">
    <w:abstractNumId w:val="3"/>
  </w:num>
  <w:num w:numId="8" w16cid:durableId="402216769">
    <w:abstractNumId w:val="15"/>
  </w:num>
  <w:num w:numId="9" w16cid:durableId="1152019513">
    <w:abstractNumId w:val="5"/>
  </w:num>
  <w:num w:numId="10" w16cid:durableId="516385304">
    <w:abstractNumId w:val="11"/>
  </w:num>
  <w:num w:numId="11" w16cid:durableId="324743699">
    <w:abstractNumId w:val="16"/>
  </w:num>
  <w:num w:numId="12" w16cid:durableId="294720874">
    <w:abstractNumId w:val="12"/>
  </w:num>
  <w:num w:numId="13" w16cid:durableId="1796168665">
    <w:abstractNumId w:val="9"/>
  </w:num>
  <w:num w:numId="14" w16cid:durableId="1453817718">
    <w:abstractNumId w:val="13"/>
  </w:num>
  <w:num w:numId="15" w16cid:durableId="1835417134">
    <w:abstractNumId w:val="14"/>
  </w:num>
  <w:num w:numId="16" w16cid:durableId="860120377">
    <w:abstractNumId w:val="4"/>
  </w:num>
  <w:num w:numId="17" w16cid:durableId="1945722999">
    <w:abstractNumId w:val="2"/>
  </w:num>
  <w:num w:numId="18" w16cid:durableId="1845124824">
    <w:abstractNumId w:val="18"/>
  </w:num>
  <w:num w:numId="19" w16cid:durableId="549876020">
    <w:abstractNumId w:val="18"/>
    <w:lvlOverride w:ilvl="1">
      <w:startOverride w:val="1"/>
    </w:lvlOverride>
  </w:num>
  <w:num w:numId="20" w16cid:durableId="787893223">
    <w:abstractNumId w:val="10"/>
  </w:num>
  <w:num w:numId="21" w16cid:durableId="1936204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C0"/>
    <w:rsid w:val="000412C0"/>
    <w:rsid w:val="004F0812"/>
    <w:rsid w:val="005B1FDF"/>
    <w:rsid w:val="006364D4"/>
    <w:rsid w:val="008462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60E5A"/>
  <w15:chartTrackingRefBased/>
  <w15:docId w15:val="{F42E39F8-3C1A-402E-9B9C-6530B291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1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1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12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12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12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12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12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12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12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12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12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12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12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12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12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12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12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12C0"/>
    <w:rPr>
      <w:rFonts w:eastAsiaTheme="majorEastAsia" w:cstheme="majorBidi"/>
      <w:color w:val="272727" w:themeColor="text1" w:themeTint="D8"/>
    </w:rPr>
  </w:style>
  <w:style w:type="paragraph" w:styleId="Ttulo">
    <w:name w:val="Title"/>
    <w:basedOn w:val="Normal"/>
    <w:next w:val="Normal"/>
    <w:link w:val="TtuloCar"/>
    <w:uiPriority w:val="10"/>
    <w:qFormat/>
    <w:rsid w:val="0004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12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12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12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12C0"/>
    <w:pPr>
      <w:spacing w:before="160"/>
      <w:jc w:val="center"/>
    </w:pPr>
    <w:rPr>
      <w:i/>
      <w:iCs/>
      <w:color w:val="404040" w:themeColor="text1" w:themeTint="BF"/>
    </w:rPr>
  </w:style>
  <w:style w:type="character" w:customStyle="1" w:styleId="CitaCar">
    <w:name w:val="Cita Car"/>
    <w:basedOn w:val="Fuentedeprrafopredeter"/>
    <w:link w:val="Cita"/>
    <w:uiPriority w:val="29"/>
    <w:rsid w:val="000412C0"/>
    <w:rPr>
      <w:i/>
      <w:iCs/>
      <w:color w:val="404040" w:themeColor="text1" w:themeTint="BF"/>
    </w:rPr>
  </w:style>
  <w:style w:type="paragraph" w:styleId="Prrafodelista">
    <w:name w:val="List Paragraph"/>
    <w:basedOn w:val="Normal"/>
    <w:uiPriority w:val="34"/>
    <w:qFormat/>
    <w:rsid w:val="000412C0"/>
    <w:pPr>
      <w:ind w:left="720"/>
      <w:contextualSpacing/>
    </w:pPr>
  </w:style>
  <w:style w:type="character" w:styleId="nfasisintenso">
    <w:name w:val="Intense Emphasis"/>
    <w:basedOn w:val="Fuentedeprrafopredeter"/>
    <w:uiPriority w:val="21"/>
    <w:qFormat/>
    <w:rsid w:val="000412C0"/>
    <w:rPr>
      <w:i/>
      <w:iCs/>
      <w:color w:val="0F4761" w:themeColor="accent1" w:themeShade="BF"/>
    </w:rPr>
  </w:style>
  <w:style w:type="paragraph" w:styleId="Citadestacada">
    <w:name w:val="Intense Quote"/>
    <w:basedOn w:val="Normal"/>
    <w:next w:val="Normal"/>
    <w:link w:val="CitadestacadaCar"/>
    <w:uiPriority w:val="30"/>
    <w:qFormat/>
    <w:rsid w:val="0004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12C0"/>
    <w:rPr>
      <w:i/>
      <w:iCs/>
      <w:color w:val="0F4761" w:themeColor="accent1" w:themeShade="BF"/>
    </w:rPr>
  </w:style>
  <w:style w:type="character" w:styleId="Referenciaintensa">
    <w:name w:val="Intense Reference"/>
    <w:basedOn w:val="Fuentedeprrafopredeter"/>
    <w:uiPriority w:val="32"/>
    <w:qFormat/>
    <w:rsid w:val="000412C0"/>
    <w:rPr>
      <w:b/>
      <w:bCs/>
      <w:smallCaps/>
      <w:color w:val="0F4761" w:themeColor="accent1" w:themeShade="BF"/>
      <w:spacing w:val="5"/>
    </w:rPr>
  </w:style>
  <w:style w:type="character" w:styleId="Hipervnculo">
    <w:name w:val="Hyperlink"/>
    <w:basedOn w:val="Fuentedeprrafopredeter"/>
    <w:uiPriority w:val="99"/>
    <w:unhideWhenUsed/>
    <w:rsid w:val="00846277"/>
    <w:rPr>
      <w:color w:val="467886" w:themeColor="hyperlink"/>
      <w:u w:val="single"/>
    </w:rPr>
  </w:style>
  <w:style w:type="character" w:styleId="Mencinsinresolver">
    <w:name w:val="Unresolved Mention"/>
    <w:basedOn w:val="Fuentedeprrafopredeter"/>
    <w:uiPriority w:val="99"/>
    <w:semiHidden/>
    <w:unhideWhenUsed/>
    <w:rsid w:val="00846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10647">
      <w:bodyDiv w:val="1"/>
      <w:marLeft w:val="0"/>
      <w:marRight w:val="0"/>
      <w:marTop w:val="0"/>
      <w:marBottom w:val="0"/>
      <w:divBdr>
        <w:top w:val="none" w:sz="0" w:space="0" w:color="auto"/>
        <w:left w:val="none" w:sz="0" w:space="0" w:color="auto"/>
        <w:bottom w:val="none" w:sz="0" w:space="0" w:color="auto"/>
        <w:right w:val="none" w:sz="0" w:space="0" w:color="auto"/>
      </w:divBdr>
    </w:div>
    <w:div w:id="310906687">
      <w:bodyDiv w:val="1"/>
      <w:marLeft w:val="0"/>
      <w:marRight w:val="0"/>
      <w:marTop w:val="0"/>
      <w:marBottom w:val="0"/>
      <w:divBdr>
        <w:top w:val="none" w:sz="0" w:space="0" w:color="auto"/>
        <w:left w:val="none" w:sz="0" w:space="0" w:color="auto"/>
        <w:bottom w:val="none" w:sz="0" w:space="0" w:color="auto"/>
        <w:right w:val="none" w:sz="0" w:space="0" w:color="auto"/>
      </w:divBdr>
    </w:div>
    <w:div w:id="906644200">
      <w:bodyDiv w:val="1"/>
      <w:marLeft w:val="0"/>
      <w:marRight w:val="0"/>
      <w:marTop w:val="0"/>
      <w:marBottom w:val="0"/>
      <w:divBdr>
        <w:top w:val="none" w:sz="0" w:space="0" w:color="auto"/>
        <w:left w:val="none" w:sz="0" w:space="0" w:color="auto"/>
        <w:bottom w:val="none" w:sz="0" w:space="0" w:color="auto"/>
        <w:right w:val="none" w:sz="0" w:space="0" w:color="auto"/>
      </w:divBdr>
    </w:div>
    <w:div w:id="995038348">
      <w:bodyDiv w:val="1"/>
      <w:marLeft w:val="0"/>
      <w:marRight w:val="0"/>
      <w:marTop w:val="0"/>
      <w:marBottom w:val="0"/>
      <w:divBdr>
        <w:top w:val="none" w:sz="0" w:space="0" w:color="auto"/>
        <w:left w:val="none" w:sz="0" w:space="0" w:color="auto"/>
        <w:bottom w:val="none" w:sz="0" w:space="0" w:color="auto"/>
        <w:right w:val="none" w:sz="0" w:space="0" w:color="auto"/>
      </w:divBdr>
    </w:div>
    <w:div w:id="1335570948">
      <w:bodyDiv w:val="1"/>
      <w:marLeft w:val="0"/>
      <w:marRight w:val="0"/>
      <w:marTop w:val="0"/>
      <w:marBottom w:val="0"/>
      <w:divBdr>
        <w:top w:val="none" w:sz="0" w:space="0" w:color="auto"/>
        <w:left w:val="none" w:sz="0" w:space="0" w:color="auto"/>
        <w:bottom w:val="none" w:sz="0" w:space="0" w:color="auto"/>
        <w:right w:val="none" w:sz="0" w:space="0" w:color="auto"/>
      </w:divBdr>
    </w:div>
    <w:div w:id="1521893501">
      <w:bodyDiv w:val="1"/>
      <w:marLeft w:val="0"/>
      <w:marRight w:val="0"/>
      <w:marTop w:val="0"/>
      <w:marBottom w:val="0"/>
      <w:divBdr>
        <w:top w:val="none" w:sz="0" w:space="0" w:color="auto"/>
        <w:left w:val="none" w:sz="0" w:space="0" w:color="auto"/>
        <w:bottom w:val="none" w:sz="0" w:space="0" w:color="auto"/>
        <w:right w:val="none" w:sz="0" w:space="0" w:color="auto"/>
      </w:divBdr>
    </w:div>
    <w:div w:id="1713650196">
      <w:bodyDiv w:val="1"/>
      <w:marLeft w:val="0"/>
      <w:marRight w:val="0"/>
      <w:marTop w:val="0"/>
      <w:marBottom w:val="0"/>
      <w:divBdr>
        <w:top w:val="none" w:sz="0" w:space="0" w:color="auto"/>
        <w:left w:val="none" w:sz="0" w:space="0" w:color="auto"/>
        <w:bottom w:val="none" w:sz="0" w:space="0" w:color="auto"/>
        <w:right w:val="none" w:sz="0" w:space="0" w:color="auto"/>
      </w:divBdr>
    </w:div>
    <w:div w:id="185206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PP8T6f2voBU" TargetMode="External"/><Relationship Id="rId3" Type="http://schemas.openxmlformats.org/officeDocument/2006/relationships/settings" Target="settings.xml"/><Relationship Id="rId7" Type="http://schemas.openxmlformats.org/officeDocument/2006/relationships/hyperlink" Target="https://www.foodsafetynews.com/2023/07/coca-cola-ultimate-recalled-after-being-incorrectly-labeled-as-zero-sug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ruposialico.com/post/coca-cola-retira-productos-por-error-de-etiquetado" TargetMode="External"/><Relationship Id="rId5" Type="http://schemas.openxmlformats.org/officeDocument/2006/relationships/hyperlink" Target="https://www.foodsafetynews.com/2023/07/coca-cola-ultimate-recalled-after-being-incorrectly-labeled-as-zero-suga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2014</Words>
  <Characters>11080</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2025-09-04T02:40:00Z</dcterms:created>
  <dcterms:modified xsi:type="dcterms:W3CDTF">2025-09-04T04:24:00Z</dcterms:modified>
</cp:coreProperties>
</file>