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 xml:space="preserve">Version 1.4 — 2026-10-11 (carte A0). Modifications depuis la version précédente (v1.3)</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gridCol/>
        <w:gridCol/>
      </w:tblGrid>
      <w:tr>
        <w:tc>
          <w:tcPr>
            <w:tcW w:w="0" w:type="auto"/>
          </w:tcPr>
          <w:p>
            <w:r>
              <w:rPr>
                <w:b/>
              </w:rPr>
              <w:t xml:space="preserve">Section / passage</w:t>
            </w:r>
          </w:p>
        </w:tc>
        <w:tc>
          <w:tcPr>
            <w:tcW w:w="0" w:type="auto"/>
          </w:tcPr>
          <w:p>
            <w:r>
              <w:rPr>
                <w:b/>
              </w:rPr>
              <w:t xml:space="preserve">Modification</w:t>
            </w:r>
          </w:p>
        </w:tc>
        <w:tc>
          <w:tcPr>
            <w:tcW w:w="0" w:type="auto"/>
          </w:tcPr>
          <w:p>
            <w:r>
              <w:rPr>
                <w:b/>
              </w:rPr>
              <w:t xml:space="preserve">Motif (source)</w:t>
            </w:r>
          </w:p>
        </w:tc>
      </w:tr>
      <w:tr>
        <w:tc>
          <w:tcPr>
            <w:tcW w:w="0" w:type="auto"/>
          </w:tcPr>
          <w:p>
            <w:r>
              <w:t xml:space="preserve">11 passage(s) citant le contact de confiance</w:t>
            </w:r>
          </w:p>
        </w:tc>
        <w:tc>
          <w:tcPr>
            <w:tcW w:w="0" w:type="auto"/>
          </w:tcPr>
          <w:p>
            <w:r>
              <w:t xml:space="preserve">marqués « [ABANDONNÉ (voir REGISTRE_DECISIONS)] »</w:t>
            </w:r>
          </w:p>
        </w:tc>
        <w:tc>
          <w:tcPr>
            <w:tcW w:w="0" w:type="auto"/>
          </w:tcPr>
          <w:p>
            <w:r>
              <w:t xml:space="preserve">REGISTRE_DECISIONS P-01</w:t>
            </w:r>
          </w:p>
        </w:tc>
      </w:tr>
      <w:tr>
        <w:tc>
          <w:tcPr>
            <w:tcW w:w="0" w:type="auto"/>
          </w:tcPr>
          <w:p>
            <w:r>
              <w:t xml:space="preserve">0 passage(s) citant l'e-mail de récupération</w:t>
            </w:r>
          </w:p>
        </w:tc>
        <w:tc>
          <w:tcPr>
            <w:tcW w:w="0" w:type="auto"/>
          </w:tcPr>
          <w:p>
            <w:r>
              <w:t xml:space="preserve">aucun passage</w:t>
            </w:r>
          </w:p>
        </w:tc>
        <w:tc>
          <w:tcPr>
            <w:tcW w:w="0" w:type="auto"/>
          </w:tcPr>
          <w:p>
            <w:r>
              <w:t xml:space="preserve">REGISTRE_DECISIONS P-02</w:t>
            </w:r>
          </w:p>
        </w:tc>
      </w:tr>
      <w:tr>
        <w:tc>
          <w:tcPr>
            <w:tcW w:w="0" w:type="auto"/>
          </w:tcPr>
          <w:p>
            <w:r>
              <w:t xml:space="preserve">2 passage(s) citant l'état PENDING</w:t>
            </w:r>
          </w:p>
        </w:tc>
        <w:tc>
          <w:tcPr>
            <w:tcW w:w="0" w:type="auto"/>
          </w:tcPr>
          <w:p>
            <w:r>
              <w:t xml:space="preserve">marqués « [ABANDONNÉ (voir REGISTRE_DECISIONS)] »</w:t>
            </w:r>
          </w:p>
        </w:tc>
        <w:tc>
          <w:tcPr>
            <w:tcW w:w="0" w:type="auto"/>
          </w:tcPr>
          <w:p>
            <w:r>
              <w:t xml:space="preserve">REGISTRE_DECISIONS T-02</w:t>
            </w:r>
          </w:p>
        </w:tc>
      </w:tr>
      <w:tr>
        <w:tc>
          <w:tcPr>
            <w:tcW w:w="0" w:type="auto"/>
          </w:tcPr>
          <w:p>
            <w:r>
              <w:t xml:space="preserve">Composant Rules</w:t>
            </w:r>
          </w:p>
        </w:tc>
        <w:tc>
          <w:tcPr>
            <w:tcW w:w="0" w:type="auto"/>
          </w:tcPr>
          <w:p>
            <w:r>
              <w:t xml:space="preserve">AmountRule retirée (texte barré + correction)</w:t>
            </w:r>
          </w:p>
        </w:tc>
        <w:tc>
          <w:tcPr>
            <w:tcW w:w="0" w:type="auto"/>
          </w:tcPr>
          <w:p>
            <w:r>
              <w:t xml:space="preserve">REGISTRE_DECISIONS T-04 ; ADR-016</w:t>
            </w:r>
          </w:p>
        </w:tc>
      </w:tr>
      <w:tr>
        <w:tc>
          <w:tcPr>
            <w:tcW w:w="0" w:type="auto"/>
          </w:tcPr>
          <w:p>
            <w:r>
              <w:t xml:space="preserve">isc-app, canonical</w:t>
            </w:r>
          </w:p>
        </w:tc>
        <w:tc>
          <w:tcPr>
            <w:tcW w:w="0" w:type="auto"/>
          </w:tcPr>
          <w:p>
            <w:r>
              <w:t xml:space="preserve">aligné sur l'ordre ADR-018 : accountId|type|amountXaf|beneficiaryId|nonce</w:t>
            </w:r>
          </w:p>
        </w:tc>
        <w:tc>
          <w:tcPr>
            <w:tcW w:w="0" w:type="auto"/>
          </w:tcPr>
          <w:p>
            <w:r>
              <w:t xml:space="preserve">ADR-018 (EF-21)</w:t>
            </w:r>
          </w:p>
        </w:tc>
      </w:tr>
      <w:tr>
        <w:tc>
          <w:tcPr>
            <w:tcW w:w="0" w:type="auto"/>
          </w:tcPr>
          <w:p>
            <w:r>
              <w:t xml:space="preserve">PROBATION</w:t>
            </w:r>
          </w:p>
        </w:tc>
        <w:tc>
          <w:tcPr>
            <w:tcW w:w="0" w:type="auto"/>
          </w:tcPr>
          <w:p>
            <w:r>
              <w:t xml:space="preserve">déjà « changement d'IMSI uniquement » depuis v1.2 ; inchangé</w:t>
            </w:r>
          </w:p>
        </w:tc>
        <w:tc>
          <w:tcPr>
            <w:tcW w:w="0" w:type="auto"/>
          </w:tcPr>
          <w:p>
            <w:r>
              <w:t xml:space="preserve">REGISTRE_DECISIONS T-03</w:t>
            </w:r>
          </w:p>
        </w:tc>
      </w:tr>
    </w:tbl>
    <w:p>
      <w:r>
        <w:t xml:space="preserve"/>
      </w:r>
    </w:p>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DOCUMENT D’ARCHITECTURE LOGICIELLE</w:t>
      </w:r>
    </w:p>
    <w:p>
      <w:pPr>
        <w:spacing w:after="460"/>
        <w:jc w:val="center"/>
      </w:pPr>
      <w:r>
        <w:rPr>
          <w:rFonts w:ascii="Calibri" w:cs="Calibri" w:eastAsia="Calibri" w:hAnsi="Calibri"/>
          <w:sz w:val="21"/>
          <w:szCs w:val="21"/>
        </w:rPr>
        <w:t xml:space="preserve">Software Architecture Document — structure arc42, vues C4, contrats, sécurité, données, décisions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ISC-SAD</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1.3</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REVIEW — cinq décisions passées en FERME après exécution des cinq spikes ; ADR-016 demeure PROVISOIRE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25 septembre 2026</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 YENGUE MESSAH KATE YVANA (propriétaire)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ISC-SRS-FR/EN v1.2 (APPROVED) ; ISC-TM v1.1 ; ISC-ADD v1.0 ; </w:t>
            </w:r>
            <w:r>
              <w:rPr>
                <w:rFonts w:ascii="Calibri" w:cs="Calibri" w:eastAsia="Calibri" w:hAnsi="Calibri"/>
                <w:sz w:val="18"/>
                <w:szCs w:val="18"/>
                <w:strike/>
              </w:rPr>
              <w:t xml:space="preserve">résultats des spikes 1 à 5</w:t>
            </w:r>
            <w:r>
              <w:rPr>
                <w:rFonts w:ascii="Calibri" w:cs="Calibri" w:eastAsia="Calibri" w:hAnsi="Calibri"/>
                <w:sz w:val="18"/>
                <w:szCs w:val="18"/>
              </w:rPr>
              <w:t xml:space="preserve"> résultats des spikes 1 à 5 ; ISC-SRS-FR v1.4 ; ISC-MOB-CDC v1.1 et ISC-MOB-SPEC v1.1 (application mobile) ; ISC-AMD-02 v1.1 ; ADR-033 à ADR-037</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Documents aval</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ISC-EVAL (protocole d’évaluation) ; ISC-TEST (stratégie de test) ; ISC-PROC (processus) ; ISC-DEMO</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Notation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arc42 pour la structure ; C4 (contexte, conteneurs, composants) pour les vues statiques ; diagrammes de séquence et d’états UML pour le dynamique. Tous les diagrammes sont maintenus en code (PlantUML) dans docs/diagrams/ et rendus en CI.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Règle de 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décision dépendant d’un spike non exécuté porte la mention PROVISOIRE. Elle devient FERME uniquement après consignation du résultat dans l’ADR correspondant. En v1.1, ADR-017 à 021 sont FERMES ; ADR-016 reste PROVISOIRE car il ne dépendait d’aucun spike mais du jeu de données gelé (mois 3).</w:t>
            </w:r>
          </w:p>
        </w:tc>
      </w:tr>
    </w:tbl>
    <w:p>
      <w:pPr>
        <w:spacing w:after="80"/>
      </w:pPr>
    </w:p>
    <w:p>
      <w:pPr>
        <w:pStyle w:val="Heading3"/>
        <w:spacing w:after="80" w:before="160"/>
      </w:pPr>
      <w:r>
        <w:rPr>
          <w:rFonts w:ascii="Calibri" w:cs="Calibri" w:eastAsia="Calibri" w:hAnsi="Calibri"/>
        </w:rPr>
        <w:t xml:space="preserve">Historique des révisions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68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Version</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Modification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Première rédaction. Six décisions marquées PROVISOIRE en attente des spikes.</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1.1</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28/08/2026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Intégration des résultats des cinq spikes. ADR-017 à 021 passés en FERME ; ADR-016 maintenu PROVISOIRE (dépend du jeu gelé, mois 3). Ajout de §1.4 (obligations issues des spikes), §1.5 (enveloppe de performance mesurée), correction du chemin du contrat (contracts/ et non docs/contracts/), intégration des ADR-022 à 028. Sept obligations nouvelles contraignent le développement du mois 4.</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1.3</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25/09/2026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Intégration de l’application mobile (ISC-AMD-02 v1.1) : composant isc-app respécifié (numéro puis PIN, le serveur décide ; OTP au premier enrôlement seulement ; liaison après validation ; code de récupération) ; routes /mobile/v1/* portées par isc-core, aucun conteneur supplémentaire (ADR-036) ; six diagrammes de séquence mobiles référencés ; contrat /evaluate inchangé ; canonical ADR-018 inchangé ; machine à états : « ce n’est pas moi » signé par l’appareil lié → FROZEN, ancien dispositif sans pouvoir (ADR-010) ; correction d’OB-3 après mesure T2-01 (E-01) ; isc-sim en Python stdlib (ADR-033) avec réseau SMS simulé (ADR-034) ; identifiants MTN, plage 677 (ADR-035) ; ADR-036 et ADR-037 PROPOSÉS. Rien n’est supprimé.</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07/09/2026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Refonte du modèle d’authentification (ISC-AMD-01). ADR-010 et ADR-013 RENVERSÉS, ADR-015 réduit, ADR-029 à 031 ajoutés. OB-7 RETIRÉE (révocation immédiate). DeviceRegistry : plus d’état PENDING, aiguillage sur la seule présence d’une clé. Machine à états du compte : PROBATION n’est plus déclenchée par l’enrôlement ; LOCKED n’est plus déclenché par contact ou ancien dispositif. Contrat : POST /enrolment/resolve et /enrolment/complete. Données : recovery_code, enrolment_attempt ; contrainte d’unicité de clé ACTIVE. Paramètres : REENROL_ATTEMPTS, LOCK_BASE, LOCK_MAX, ALERT_REENROL, CODE_LENGTH ; CAR_ENROL retiré. Contacts de confiance DIFFÉRÉS pour l’USSD (QO-19). RA-07 mis à jour. Aucun impact sur T2-01 à T2-08.</w:t>
            </w:r>
            <w:r>
              <w:rPr>
                <w:b/>
                <w:color w:val="C00000"/>
              </w:rPr>
              <w:t xml:space="preserve"> [ABANDONNÉ (voir REGISTRE_DECISIONS)]</w:t>
            </w:r>
            <w:r>
              <w:rPr>
                <w:b/>
                <w:color w:val="C00000"/>
              </w:rPr>
              <w:t xml:space="preserve"> [ABANDONNÉ (voir REGISTRE_DECISIONS)]</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1. Introduction et objectifs</w:t>
      </w:r>
    </w:p>
    <w:p>
      <w:pPr>
        <w:pStyle w:val="Heading2"/>
        <w:spacing w:after="100" w:before="220"/>
      </w:pPr>
      <w:r>
        <w:rPr>
          <w:rFonts w:ascii="Calibri" w:cs="Calibri" w:eastAsia="Calibri" w:hAnsi="Calibri"/>
        </w:rPr>
        <w:t xml:space="preserve">1.1 Objet de ce document</w:t>
      </w:r>
    </w:p>
    <w:p>
      <w:pPr>
        <w:spacing w:after="100" w:line="264"/>
      </w:pPr>
      <w:r>
        <w:rPr>
          <w:rFonts w:ascii="Calibri" w:cs="Calibri" w:eastAsia="Calibri" w:hAnsi="Calibri"/>
          <w:sz w:val="21"/>
          <w:szCs w:val="21"/>
        </w:rPr>
        <w:t xml:space="preserve">Le SRS décrit ce que le système doit faire ; l’ADD extrait les exigences qui contraignent la structure et les rend mesurables ; le présent document décrit la structure retenue et justifie chaque découpe par un driver. Il est destiné à trois lecteurs : le candidat, qui doit pouvoir expliquer chaque composant sans notes (CR-05) ; l’exécution du code, qui y trouve les contrats à respecter ; le jury, qui y vérifie que l’architecture répond à des contraintes et non à des goûts.</w:t>
      </w:r>
    </w:p>
    <w:p>
      <w:pPr>
        <w:pStyle w:val="Heading2"/>
        <w:spacing w:after="100" w:before="220"/>
      </w:pPr>
      <w:r>
        <w:rPr>
          <w:rFonts w:ascii="Calibri" w:cs="Calibri" w:eastAsia="Calibri" w:hAnsi="Calibri"/>
        </w:rPr>
        <w:t xml:space="preserve">1.2 Objectifs de qualité dominants</w:t>
      </w:r>
    </w:p>
    <w:p>
      <w:pPr>
        <w:spacing w:after="100" w:line="264"/>
      </w:pPr>
      <w:r>
        <w:rPr>
          <w:rFonts w:ascii="Calibri" w:cs="Calibri" w:eastAsia="Calibri" w:hAnsi="Calibri"/>
          <w:sz w:val="21"/>
          <w:szCs w:val="21"/>
        </w:rPr>
        <w:t xml:space="preserve">Rappel de l’ordre fixé en ISC-ADD §3, qui tranche tout arbitrage de ce document : 1) démontrabilité et explicabilité ; 2) correction de sécurité ; 3) testabilité et reproductibilité ; 4) performance ; 5) disponibilité (volontairement sacrifiée au rang 2) ; 6) évolutivité (hors périmètre).</w:t>
      </w:r>
    </w:p>
    <w:p>
      <w:pPr>
        <w:pStyle w:val="Heading2"/>
        <w:spacing w:after="100" w:before="220"/>
      </w:pPr>
      <w:r>
        <w:rPr>
          <w:rFonts w:ascii="Calibri" w:cs="Calibri" w:eastAsia="Calibri" w:hAnsi="Calibri"/>
        </w:rPr>
        <w:t xml:space="preserve">1.3 Parties prenantes et préoccupations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Partie prenante</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Préoccupation</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Vue qui y répond</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Pouvoir expliquer et défendre chaque composant</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Toutes ; §15 (ADR)</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Comprendre la décision du système en direct</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 (conteneurs), §7 (dynamique), §10 (sécurité)</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Rigueur méthodologique et traçabilité</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§2 (contraintes), §16 (traçabilité)</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du code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Contrats non ambigus</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§8 (contrats), §9 (données)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Chercheur (évaluation)</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Reproductibilité, injection en temps virtuel</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§6.4, §11 (temps), §12 (configuration)</w:t>
            </w:r>
          </w:p>
        </w:tc>
      </w:tr>
    </w:tbl>
    <w:p>
      <w:pPr>
        <w:spacing w:after="80"/>
      </w:pPr>
    </w:p>
    <w:p>
      <w:pPr>
        <w:pStyle w:val="Heading1"/>
        <w:spacing w:after="140" w:before="320"/>
      </w:pPr>
      <w:r>
        <w:rPr>
          <w:rFonts w:ascii="Calibri" w:cs="Calibri" w:eastAsia="Calibri" w:hAnsi="Calibri"/>
        </w:rPr>
        <w:t xml:space="preserve">1bis. Obligations issues des spikes</w:t>
      </w:r>
    </w:p>
    <w:p>
      <w:pPr>
        <w:spacing w:after="100" w:line="264"/>
      </w:pPr>
      <w:r>
        <w:rPr>
          <w:rFonts w:ascii="Calibri" w:cs="Calibri" w:eastAsia="Calibri" w:hAnsi="Calibri"/>
          <w:sz w:val="21"/>
          <w:szCs w:val="21"/>
        </w:rPr>
        <w:t xml:space="preserve">Ces sept obligations n’existaient pas en v1.0. Chacune vient d’un défaut mesuré pendant les spikes, non d’un raisonnement. Elles contraignent directement le développement du mois 4 : une implémentation qui les ignore reproduira le défaut qui les a fait naître.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
        <w:gridCol w:w="3020"/>
        <w:gridCol w:w="4000"/>
        <w:gridCol w:w="1200"/>
      </w:tblGrid>
      <w:tr>
        <w:trPr>
          <w:tblHeader/>
        </w:trPr>
        <w:tc>
          <w:tcPr>
            <w:tcW w:type="dxa" w:w="78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w:t>
            </w:r>
          </w:p>
        </w:tc>
        <w:tc>
          <w:tcPr>
            <w:tcW w:type="dxa" w:w="302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Obligation</w:t>
            </w:r>
          </w:p>
        </w:tc>
        <w:tc>
          <w:tcPr>
            <w:tcW w:type="dxa" w:w="4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D’où elle vient</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OB-1</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Toute règle temporelle DOIT être une fonction pure de (historique, instant) et recalculer sa fenêtre à chaque évaluation. Aucun état mutable élagué au fil du temps n’est admis dans une règle.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SPIKE-2 : l’invariance à la vitesse d’avance de l’horloge n’est pas une propriété de l’horloge mais des règles. Un compteur incrémental — la forme naturelle en production — rendrait l’évaluation irreproductible.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019</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OB-2</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L’index d’ordre de la chaîne d’audit DOIT être assigné à l’intérieur du verrou.</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SPIKE-3 : sans cela, 4 589 fausses ruptures sur 5 000 sous concurrence. Un journal qui signale une altération 92 fois sur 100 cesse d’être lu.</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OB-3</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strike/>
              </w:rPr>
              <w:t xml:space="preserve">REVOKE EXECUTE ON ALL FUNCTIONS FROM PUBLIC par défaut dans le schéma d’audit.</w:t>
            </w:r>
            <w:r>
              <w:rPr>
                <w:rFonts w:ascii="Calibri" w:cs="Calibri" w:eastAsia="Calibri" w:hAnsi="Calibri"/>
                <w:sz w:val="18"/>
                <w:szCs w:val="18"/>
              </w:rPr>
              <w:t xml:space="preserve"> REVOKE EXECUTE explicite, fonction par fonction, sur toute fonction du schéma d’audit, plus contrôle de pile ; mesure T2-01 (E-01, 2026-09) : ALTER DEFAULT PRIVILEGES … REVOKE EXECUTE FROM PUBLIC n’enregistre rien en PostgreSQL 16 et ne constitue pas une garantie.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SPIKE-3 : PostgreSQL accorde EXECUTE à PUBLIC par défaut ; une fonction SECURITY DEFINER laissait l’adversaire écrire avec les droits de l’administrateur. Troisième occurrence d’un privilège PUBLIC invisible dans les GRANT.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OB-4</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colonne d’ordre du journal DOIT être une colonne d’identité GENERATED ALWAYS.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SPIKE-3 : rend l’insertion entre deux enregistrements impossible par construction — ni par clé dupliquée, ni par renumérotation. Une migration future pourrait retirer cette clause sans que la perte soit visible.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OB-5</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Le terminateur TLS du PDP DOIT rejeter au niveau de la poignée de main. Un refus applicatif est un défaut, pas une variante acceptable.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SPIKE-4 : avec nginx, un adversaire sans certificat valide ouvre une session TLS avec le PDP avant d’être rejeté par un code 400. Le service a été atteint.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021</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OB-6</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client PDP du cœur DOIT utiliser des connexions persistantes, et vérifier la chaîne ET le nom du serveur.</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SPIKE-4 : 65,8 ms en connexion neuve contre 1,7 ms en persistant. Et un certificat valablement signé mais émis pour un autre nom passerait si seule la chaîne était vérifiée.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021</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OB-7</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RETIRÉE (v1.2, ISC-AMD-01). La révocation différée n’avait de sens que pour la confirmation ou l’annulation par l’ancien dispositif, toutes deux supprimées : un ancien appareil volé donnerait au voleur le pouvoir d’approuver. Remplacée par l’obligation inverse : révocation IMMÉDIATE (ES-14b, ES-20).</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Revue de conception du 30/08/2026 ; vérification empirique du 31/08/2026.</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010 renversé, 029, 031</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OB-1 et OB-2 sont les plus coûteuses à respecter et les plus faciles à violer sans s’en apercevoir : toutes deux imposent la forme la moins performante au profit de la correction. Leur violation ne produit aucun symptôme visible — seulement des résultats faux.</w:t>
            </w:r>
          </w:p>
        </w:tc>
      </w:tr>
    </w:tbl>
    <w:p>
      <w:pPr>
        <w:pStyle w:val="Heading1"/>
        <w:spacing w:after="140" w:before="320"/>
      </w:pPr>
      <w:r>
        <w:rPr>
          <w:rFonts w:ascii="Calibri" w:cs="Calibri" w:eastAsia="Calibri" w:hAnsi="Calibri"/>
        </w:rPr>
        <w:t xml:space="preserve">1ter. Enveloppe de performance mesurée</w:t>
      </w:r>
    </w:p>
    <w:p>
      <w:pPr>
        <w:spacing w:after="100" w:line="264"/>
      </w:pPr>
      <w:r>
        <w:rPr>
          <w:rFonts w:ascii="Calibri" w:cs="Calibri" w:eastAsia="Calibri" w:hAnsi="Calibri"/>
          <w:sz w:val="21"/>
          <w:szCs w:val="21"/>
        </w:rPr>
        <w:t xml:space="preserve">Toutes les valeurs ci-dessous sont mesurées dans la machine virtuelle de démonstration (4 vCPU, 7,8 Gio, PostgreSQL 16). Elles ne sont pas des objectifs : ce sont les plafonds constatés, sur lesquels le développement du mois 4 doit se dimensionner.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Grandeur</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 mesurée</w:t>
            </w:r>
          </w:p>
        </w:tc>
        <w:tc>
          <w:tcPr>
            <w:tcW w:type="dxa" w:w="4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Conséquence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Signature de dispositif (Android, TEE)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p50 10–14 ms, p95 11–18 ms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Négligeable devant le budget ENF-01 de 500 ms.</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Surcoût mTLS, connexions persistantes</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1,7 ms au p95, soit 0,34 % du budget</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ADR-021 confirmé sans réserve.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Surcoût mTLS, connexion neuve par appel</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65,8 ms au p95, soit 13,2 % du budget</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Motive OB-6.</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Écriture d’audit chaînée, régime en ligne (unitaire, durable)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133 écritures/s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PLAFOND RÉEL du journal. Marge de ×2,6 sur SQ-30 (50 tx/s), et non ×56.</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Coût du chaînage, régime unitaire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÷1,25 — le commit durable domine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Le chaînage n’est pas le goulot en ligne.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Coût du chaînage, régime par lots</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÷2,7 — le verrou de sérialisation domine</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coût du chaînage dépend du régime ; les deux chiffres ne se transposent pas.</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Injection du jeu v1 (500 000 transactions, mode par lots)</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 2 822 tx/s, 177 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ISC-EVAL §3.5 tient sans ajustement.</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Injection, un appel HTTP par transaction</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97 tx/s, ≈ 86 min extrapolées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RA-06 confirmé : mode écarté.</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Vérification d’intégrité, incrémentale depuis l’ancre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17 ms sur 500 000 enregistrements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L’acte 4 d’ISC-DEMO est réalisable en direct.</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Vérification d’intégrité, complète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6,8 s sur 500 000 enregistrements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Utilisable aussi en séance.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Empreinte disque du jeu v1</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221,7 Mo, dont ≈ 326 octets/txn pour l’audit</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0,37 % des 60 Go de la VM.</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Démarrage de la pile avec génération de l’autorité</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13,6 s (10,3 s en réutilisation)</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Très en deçà des 10 min d’ENF-05.</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Le chiffre à retenir : le débit d’injection (2 822/s) n’est pas le débit d’évaluation en ligne (133/s). Les deux régimes divergent d’un facteur 21. Confondre les deux donnerait une marge de ×56 là où la marge réelle est de ×2,6.</w:t>
            </w:r>
          </w:p>
        </w:tc>
      </w:tr>
    </w:tbl>
    <w:p>
      <w:pPr>
        <w:pStyle w:val="Heading1"/>
        <w:spacing w:after="140" w:before="320"/>
      </w:pPr>
      <w:r>
        <w:rPr>
          <w:rFonts w:ascii="Calibri" w:cs="Calibri" w:eastAsia="Calibri" w:hAnsi="Calibri"/>
        </w:rPr>
        <w:t xml:space="preserve">2. Contraintes</w:t>
      </w:r>
    </w:p>
    <w:p>
      <w:pPr>
        <w:spacing w:after="100" w:line="264"/>
      </w:pPr>
      <w:r>
        <w:rPr>
          <w:rFonts w:ascii="Calibri" w:cs="Calibri" w:eastAsia="Calibri" w:hAnsi="Calibri"/>
          <w:sz w:val="21"/>
          <w:szCs w:val="21"/>
        </w:rPr>
        <w:t xml:space="preserve">Reprise intégrale d’ISC-ADD §2 (C-01 à C-08). Elles ne sont pas rediscutées ici ; elles bornent l’espace de solutions. Les deux plus structurantes pour ce document : C-02 (le canal USSD n’a aucune capacité cryptographique, donc le moteur de décision doit être indépendant du canal) et C-08 (le temps est injectable, donc aucune règle ne lit l’horloge système).</w:t>
      </w:r>
    </w:p>
    <w:p>
      <w:pPr>
        <w:pStyle w:val="Heading1"/>
        <w:spacing w:after="140" w:before="320"/>
      </w:pPr>
      <w:r>
        <w:rPr>
          <w:rFonts w:ascii="Calibri" w:cs="Calibri" w:eastAsia="Calibri" w:hAnsi="Calibri"/>
        </w:rPr>
        <w:t xml:space="preserve">3. Périmètre et contexte (C4 niveau 1)</w:t>
      </w:r>
    </w:p>
    <w:p>
      <w:pPr>
        <w:pStyle w:val="Heading2"/>
        <w:spacing w:after="100" w:before="220"/>
      </w:pPr>
      <w:r>
        <w:rPr>
          <w:rFonts w:ascii="Calibri" w:cs="Calibri" w:eastAsia="Calibri" w:hAnsi="Calibri"/>
        </w:rPr>
        <w:t xml:space="preserve">3.1 Contexte</w:t>
      </w:r>
    </w:p>
    <w:p>
      <w:pPr>
        <w:spacing w:after="100" w:line="264"/>
      </w:pPr>
      <w:r>
        <w:rPr>
          <w:rFonts w:ascii="Calibri" w:cs="Calibri" w:eastAsia="Calibri" w:hAnsi="Calibri"/>
          <w:sz w:val="21"/>
          <w:szCs w:val="21"/>
        </w:rPr>
        <w:t xml:space="preserve">Le système sous étude est le sandbox complet. Il n’a aucune dépendance externe : toute interface vers le monde réel est simulée (C-03).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Acteur ou système externe</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Nature</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Interaction</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Utilisateur (application)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téléphone Android avec Keystore matériel</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Enrôle, transige, signe, répond aux STEP_UP</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 (USSD)</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Personne, téléphone basique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Transige par sessions de menu, sans capacité cryptographique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Contact de confiance</w:t>
            </w:r>
            <w:r>
              <w:rPr>
                <w:b/>
                <w:color w:val="C00000"/>
              </w:rPr>
              <w:t xml:space="preserve"> [ABANDONNÉ (voir REGISTRE_DECISIONS)]</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tierce désignée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Confirme ou refuse hors-bande (application ou USSD)</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 SOC</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Personne authentifiée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 traite les gels, vérifie l’intégrité du journal</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outil HLR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Remplace une SIM ; légitime ou complice, indistinguable par le système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Attaquant (simulé)</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 en ligne de commande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 AC-01 à AC-13</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Outil en ligne de commande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Génère, injecte, évalue</w:t>
            </w:r>
          </w:p>
        </w:tc>
      </w:tr>
    </w:tbl>
    <w:p>
      <w:pPr>
        <w:spacing w:after="80"/>
      </w:pPr>
    </w:p>
    <w:p>
      <w:pPr>
        <w:pStyle w:val="Heading2"/>
        <w:spacing w:after="100" w:before="220"/>
      </w:pPr>
      <w:r>
        <w:rPr>
          <w:rFonts w:ascii="Calibri" w:cs="Calibri" w:eastAsia="Calibri" w:hAnsi="Calibri"/>
        </w:rPr>
        <w:t xml:space="preserve">3.2 Frontières de confiance</w:t>
      </w:r>
    </w:p>
    <w:p>
      <w:pPr>
        <w:spacing w:after="100" w:line="264"/>
      </w:pPr>
      <w:r>
        <w:rPr>
          <w:rFonts w:ascii="Calibri" w:cs="Calibri" w:eastAsia="Calibri" w:hAnsi="Calibri"/>
          <w:sz w:val="21"/>
          <w:szCs w:val="21"/>
        </w:rPr>
        <w:t xml:space="preserve">Cinq frontières, reprises d’ISC-TM §4 : (a) dispositif ↔ opérateur ; (b) réseau télécom (HLR) ↔ opérateur ; (c) opérateur ↔ PDP ; (d) humains SOC ↔ PDP ; (e) PDP ↔ journal d’audit. Chaque frontière porte une exigence d’authentification distincte (§10.1).</w:t>
      </w:r>
    </w:p>
    <w:p>
      <w:pPr>
        <w:pStyle w:val="Heading1"/>
        <w:spacing w:after="140" w:before="320"/>
      </w:pPr>
      <w:r>
        <w:rPr>
          <w:rFonts w:ascii="Calibri" w:cs="Calibri" w:eastAsia="Calibri" w:hAnsi="Calibri"/>
        </w:rPr>
        <w:t xml:space="preserve">4. Vue conteneurs (C4 niveau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2000"/>
        <w:gridCol w:w="1500"/>
      </w:tblGrid>
      <w:tr>
        <w:trPr>
          <w:tblHeader/>
        </w:trPr>
        <w:tc>
          <w:tcPr>
            <w:tcW w:type="dxa" w:w="1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Conteneur</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Technologie (C-06)</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Persistance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Simule l’opérateur : comptes, soldes, HLR, OTP, sessions USSD, transactions, notifications simulées. Appelle le PDP avant tout commit d’une sortie sensible. Porte le mode sans couche.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Java 21 / Spring Boot</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schéma core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Point de décision : registre de dispositifs, vérification de signature, machine à états de confiance, moteur de règles, gels, contacts de confiance, nonces, journal d’audit chaîné, évaluateur ombre.</w:t>
            </w:r>
            <w:r>
              <w:rPr>
                <w:b/>
                <w:color w:val="C00000"/>
              </w:rPr>
              <w:t xml:space="preserve"> [ABANDONNÉ (voir REGISTRE_DECISIONS)]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Java 21 / Spring Boot</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schéma pdp</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Supervision temps réel, file de travail analyste, chronologie d’attaque, intégrité du journal, page d’évaluation.</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Next.js</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aucune (lecture via API)</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isc-app</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strike/>
              </w:rPr>
              <w:t xml:space="preserve">Application utilisateur : enrôlement, signature, réponse aux STEP_UP, contacts de confiance, récupération.</w:t>
            </w:r>
            <w:r>
              <w:rPr>
                <w:rFonts w:ascii="Calibri" w:cs="Calibri" w:eastAsia="Calibri" w:hAnsi="Calibri"/>
                <w:sz w:val="18"/>
                <w:szCs w:val="18"/>
              </w:rPr>
              <w:t xml:space="preserve"> Application utilisateur (ISC-MOB-CDC/SPEC v1.1) : numéro puis PIN, le serveur décide ; clé EC P-256 dans le Keystore ; signature du canonical ADR-018 ; réponse aux STEP_UP (DEFER) ; alertes signées « c’est moi / ce n’est pas moi » ; ré-enrôlement par code de récupération, sans OTP. Les routes /mobile/v1/* sont portées par isc-core (ADR-036).</w:t>
            </w:r>
            <w:r>
              <w:rPr>
                <w:b/>
                <w:color w:val="C00000"/>
              </w:rPr>
              <w:t xml:space="preserve"> [ABANDONNÉ (voir REGISTRE_DECISIONS)]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Kotlin / Android natif</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matériel + stockage local</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isc-sim</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strike/>
              </w:rPr>
              <w:t xml:space="preserve">Générateur à base d’agents, injection d’attaques étiquetées, rapport de plausibilité.</w:t>
            </w:r>
            <w:r>
              <w:rPr>
                <w:rFonts w:ascii="Calibri" w:cs="Calibri" w:eastAsia="Calibri" w:hAnsi="Calibri"/>
                <w:sz w:val="18"/>
                <w:szCs w:val="18"/>
              </w:rPr>
              <w:t xml:space="preserve"> Générateur de personas (T3-02/T3-03), rejeux AC-02 étiquetés en sidecar (T3-04), rapport de plausibilité ; réseau SMS simulé et boîte de réception par IMSI (ADR-034).</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strike/>
              </w:rPr>
              <w:t xml:space="preserve">Python (Mesa ou SimPy)</w:t>
            </w:r>
            <w:r>
              <w:rPr>
                <w:rFonts w:ascii="Calibri" w:cs="Calibri" w:eastAsia="Calibri" w:hAnsi="Calibri"/>
                <w:sz w:val="18"/>
                <w:szCs w:val="18"/>
              </w:rPr>
              <w:t xml:space="preserve"> Python stdlib (ADR-033)</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fichiers versionnés</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isc-attacker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 attaquant : exécute AC-01 à AC-13, publie la chronologie.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Python (Typer)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isc-hlr-agent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Outil agent opérateur : remplacement de SIM avec motif et identifiant d’agent.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Python (Typer)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isc-eval</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Évaluation : métriques, comparaison règles / modèle appris, sensibilité, figures.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Python (scikit-learn, Matplotlib)</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fichiers versionnés</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Base unique, deux schémas séparés, rôles distincts (C-07).</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PostgreSQL</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pPr>
        <w:spacing w:after="100" w:line="264"/>
      </w:pPr>
      <w:r>
        <w:rPr>
          <w:rFonts w:ascii="Calibri" w:cs="Calibri" w:eastAsia="Calibri" w:hAnsi="Calibri"/>
          <w:sz w:val="21"/>
          <w:szCs w:val="21"/>
          <w:strike/>
        </w:rPr>
        <w:t xml:space="preserve">Neuf conteneurs, dont deux services applicatifs seulement.</w:t>
      </w:r>
      <w:r>
        <w:rPr>
          <w:rFonts w:ascii="Calibri" w:cs="Calibri" w:eastAsia="Calibri" w:hAnsi="Calibri"/>
          <w:sz w:val="21"/>
          <w:szCs w:val="21"/>
        </w:rPr>
        <w:t xml:space="preserve"> Neuf conteneurs, dont deux services applicatifs seulement — inchangé en v1.3 : l’application mobile s’exécute sur un téléphone physique hors de la pile et atteint isc-core par une exposition réseau restreinte des seules routes /mobile/v1/* sur un réseau local fermé (ADR-036) ; aucun service ni conteneur n’est ajouté.</w:t>
      </w:r>
      <w:r>
        <w:rPr>
          <w:rFonts w:ascii="Calibri" w:cs="Calibri" w:eastAsia="Calibri" w:hAnsi="Calibri"/>
          <w:sz w:val="21"/>
          <w:szCs w:val="21"/>
        </w:rPr>
        <w:t xml:space="preserve"> Ce découpage minimal est un arbitrage assumé (ISC-ADD §6, sobriété contre séparation) : le candidat doit pouvoir tout expliquer (CR-05).</w:t>
      </w:r>
    </w:p>
    <w:p>
      <w:pPr>
        <w:pStyle w:val="Heading2"/>
        <w:spacing w:after="100" w:before="220"/>
      </w:pPr>
      <w:r>
        <w:rPr>
          <w:rFonts w:ascii="Calibri" w:cs="Calibri" w:eastAsia="Calibri" w:hAnsi="Calibri"/>
        </w:rPr>
        <w:t xml:space="preserve">4.1 Flux entre conteneurs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Protocole</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isc-app</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Enrôlement, transactions signées, réponses STEP_UP (IR-03)</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isc-attacker, isc-hlr-agent, isc-sim</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jetons d’outil distincts</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Sessions USSD simulées, transactions, remplacement de SIM (IR-08, IR-09)</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 mTLS, délai 800 ms</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POST /evaluate, GET /nonce, POST /freeze/{id}/release (IR-01)</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événement interne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(IR-02)</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Demande d’émission de notification (IR-06)</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isc-pdp, 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 SSE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Supervision, actions analyste (IR-07)</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isc-eval</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lecture seule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Journal d’audit, prédictions ombre (IR-10)</w:t>
            </w:r>
          </w:p>
        </w:tc>
      </w:tr>
    </w:tbl>
    <w:p>
      <w:pPr>
        <w:spacing w:after="80"/>
      </w:pPr>
    </w:p>
    <w:p>
      <w:pPr>
        <w:pStyle w:val="Heading1"/>
        <w:spacing w:after="140" w:before="320"/>
      </w:pPr>
      <w:r>
        <w:rPr>
          <w:rFonts w:ascii="Calibri" w:cs="Calibri" w:eastAsia="Calibri" w:hAnsi="Calibri"/>
        </w:rPr>
        <w:t xml:space="preserve">5. Vue composants — isc-pdp (C4 niveau 3)</w:t>
      </w:r>
    </w:p>
    <w:p>
      <w:pPr>
        <w:spacing w:after="100" w:line="264"/>
      </w:pPr>
      <w:r>
        <w:rPr>
          <w:rFonts w:ascii="Calibri" w:cs="Calibri" w:eastAsia="Calibri" w:hAnsi="Calibri"/>
          <w:sz w:val="21"/>
          <w:szCs w:val="21"/>
        </w:rPr>
        <w:t xml:space="preserve">Le PDP est le composant central de la thèse. Son découpage interne suit une règle unique : ce qui doit être testé isolément est un composant séparé (SQ-23).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300"/>
        <w:gridCol w:w="19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w:t>
            </w:r>
          </w:p>
        </w:tc>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Dépendances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EvaluationOrchestrator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Point d’entrée de /evaluate. Ordonne : vérification de signature → état de confiance → règles → décision → audit. Ne contient aucune règle métier.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tous les suivants</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SignatureVerifier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Vérifie la signature d’un canonical contre une clé ACTIVE du compte ; consomme le nonce. Aucune autre responsabilité.</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 SQ-03</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DeviceRegistry, NonceStore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DeviceRegistry</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Cycle de vie des clés : ACTIVE, REVOKED — plus d’état PENDING. Aiguillage enrôlement / ré-enrôlement sur la seule présence d’une clé (ES-17b). Une seule clé ACTIVE par compte (ES-20) ; révocation immédiate de la précédente (ES-14b).</w:t>
            </w:r>
            <w:r>
              <w:rPr>
                <w:b/>
                <w:color w:val="C00000"/>
              </w:rPr>
              <w:t xml:space="preserve"> [ABANDONNÉ (voir REGISTRE_DECISIONS)]</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SQ-02, OB-1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RecoveryCodeStore, 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RecoveryCodeStore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Génération du code de récupération, stockage de l’empreinte à sel unique seulement, vérification à temps constant, consommation et régénération (ES-18). Ne conserve jamais le code en clair.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EnrolmentThrottle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Délai croissant sur l’appareil demandeur et l’origine réseau, plafonné par LOCK_MAX ; comptage par compte pour l’alerte sans jamais restreindre le compte (ES-21, ES-24) ; réponses uniformes (ES-22).</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SQ-02, SQ-30</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NonceStore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Émission, usage unique, expiration 120 s.</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TRUSTED, PROBATION, FROZEN, LOCKED ; transitions et leurs causes ; restrictions de PROBATION (CAP_PROB, bénéficiaires connus).</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 AuditLog</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RuleEngine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de règles ; exécute chaque règle, collecte les contributions, agrège, applique les seuils 40/70.</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SQ-41</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Rules, ConfigProvider</w:t>
            </w:r>
          </w:p>
        </w:tc>
      </w:tr>
      <w:tr>
        <w:tc>
          <w:tcPr>
            <w:tcW w:type="dxa" w:w="2000"/>
            <w:tcMar>
              <w:top w:type="dxa" w:w="50"/>
              <w:left w:type="dxa" w:w="90"/>
              <w:bottom w:type="dxa" w:w="50"/>
              <w:right w:type="dxa" w:w="90"/>
            </w:tcMar>
          </w:tcPr>
          <w:p>
            <w:pPr>
              <w:spacing w:after="30" w:line="240"/>
            </w:pPr>
            <w:r>
              <w:rPr>
                <w:strike/>
                <w:rFonts w:ascii="Calibri" w:cs="Calibri" w:eastAsia="Calibri" w:hAnsi="Calibri"/>
                <w:sz w:val="18"/>
                <w:szCs w:val="18"/>
              </w:rPr>
              <w:t xml:space="preserve">Rules (BeneficiaryRule, VelocityRule, NightRule, LocalityRule, AmountRule)</w:t>
            </w:r>
            <w:r>
              <w:rPr>
                <w:b/>
                <w:color w:val="C00000"/>
              </w:rPr>
              <w:t xml:space="preserve"> [v1.4 : Rules (BeneficiaryRule, VelocityRule, NightRule, LocalityRule) — pas de règle « montant seul » : le montant ne contribue qu'avec un bénéficiaire nouveau (ES-05b, ADR-016) — REGISTRE_DECISIONS T-04]</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Une règle = une classe = une contribution ; aucune règle ne connaît les autres ; aucune ne lit l’horloge (elle reçoit l’instant en paramètre). OB-1 : fonction pure, fenêtre recalculée à chaque évaluation, aucun état mutable élagué au fil du temps.</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SQ-23, SQ-41, C-08, OB-1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 (injecté)</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FreezeManager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Création avec TTL, levée avec preuve, quatre-yeux au-dessus de THR_4EYES, annulation à expiration (fail-closed).</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SQ-04</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 AuditLog, NotificationClient</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TrustedContactManager</w:t>
            </w:r>
            <w:r>
              <w:rPr>
                <w:b/>
                <w:color w:val="C00000"/>
              </w:rPr>
              <w:t xml:space="preserve"> [ABANDONNÉ (voir REGISTRE_DECISIONS)]</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DIFFÉRÉ (v1.2, QO-19) : retiré du parcours applicatif. Enregistrement, demande, réponse et expiration pour le canal USSD, à trancher. Composant conservé, non implémenté au mois 4 sans décision.</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ES-06 (USSD), QO-19</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NotificationClient, Clock</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Écriture seule, chaînage SHA-256, index d’ordre assigné dans le verrou (OB-2), ancrage périodique signé hors base, vérification complète et incrémentale.</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SQ-05, OB-2</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ConfigProvider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Charge les paramètres nommés depuis une configuration versionnée ; expose la version à chaque décision.</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SQ-40</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ShadowEvaluator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Appelle le modèle appris sur le même contexte, journalise la prédiction, n’influence jamais la décision.</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SQ-42</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Abstraction du temps : horloge réelle ou virtuelle injectée.</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SQ-20, C-08</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Règle d’architecture appliquée ici : les vérifications déterministes (signature, état de confiance) sont des composants distincts du moteur de score. Un veto ne passe jamais par le RuleEngine. Cette séparation est ce qui rend la décision explicable au jury (SQ-10).</w:t>
            </w:r>
          </w:p>
        </w:tc>
      </w:tr>
    </w:tbl>
    <w:p>
      <w:pPr>
        <w:pStyle w:val="Heading1"/>
        <w:spacing w:after="140" w:before="320"/>
      </w:pPr>
      <w:r>
        <w:rPr>
          <w:rFonts w:ascii="Calibri" w:cs="Calibri" w:eastAsia="Calibri" w:hAnsi="Calibri"/>
        </w:rPr>
        <w:t xml:space="preserve">6. Vue composants — autres conteneurs</w:t>
      </w:r>
    </w:p>
    <w:p>
      <w:pPr>
        <w:pStyle w:val="Heading2"/>
        <w:spacing w:after="100" w:before="220"/>
      </w:pPr>
      <w:r>
        <w:rPr>
          <w:rFonts w:ascii="Calibri" w:cs="Calibri" w:eastAsia="Calibri" w:hAnsi="Calibri"/>
        </w:rPr>
        <w:t xml:space="preserve">6.1 isc-core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AccountService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Comptes, soldes, historique.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HlrService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MSISDN → IMSI courant, historique des réassignations avec agent et motif ; émet l’événement de changement.</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motif est journalisé mais jamais transmis au PDP (ES-16b).</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OtpService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Émission vers l’IMSI courant — reproduction fidèle de la faiblesse réelle.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Accepté sur application uniquement à l’enrôlement (ADR-014).</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UssdSessionMachine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session : menu, saisie, confirmation.</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 secret cryptographique (C-02).</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TransactionService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Crée la transaction, appelle le PDP, applique la décision, commit ou non.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Porte la machine à états de la transaction (§7.4, RA-05).</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PdpClient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Appel mTLS sur connexions PERSISTANTES (OB-6), vérification de la chaîne ET du nom du serveur, délai 800 ms, disjoncteur, politique fail-closed paramétrée.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SQ-31, OB-6. Surcoût mesuré : 1,7 ms p95.</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NotificationService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Boîte SMS et push simulée, consultable par la console et l’application.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Contenu contraint par ENF-17 (aucun lien cliquable).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BypassSwitch</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sans couche pour la démonstration avant/après.</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affiché sans ambiguïté en console (EF-36).</w:t>
            </w:r>
          </w:p>
        </w:tc>
      </w:tr>
    </w:tbl>
    <w:p>
      <w:pPr>
        <w:spacing w:after="80"/>
      </w:pPr>
    </w:p>
    <w:p>
      <w:pPr>
        <w:pStyle w:val="Heading2"/>
        <w:spacing w:after="100" w:before="220"/>
      </w:pPr>
      <w:r>
        <w:rPr>
          <w:rFonts w:ascii="Calibri" w:cs="Calibri" w:eastAsia="Calibri" w:hAnsi="Calibri"/>
        </w:rPr>
        <w:t xml:space="preserve">6.2 isc-console</w:t>
      </w:r>
    </w:p>
    <w:p>
      <w:pPr>
        <w:spacing w:after="100" w:line="264"/>
      </w:pPr>
      <w:r>
        <w:rPr>
          <w:rFonts w:ascii="Calibri" w:cs="Calibri" w:eastAsia="Calibri" w:hAnsi="Calibri"/>
          <w:sz w:val="21"/>
          <w:szCs w:val="21"/>
        </w:rPr>
        <w:t xml:space="preserve">Quatre vues : supervision temps réel (flux, décision colorée, raisons, état HLR, état du PDP, mode sans couche) ; file de travail analyste (gels, actions, justification obligatoire, quatre-yeux) ; chronologie d’attaque (alimentée par isc-attacker) ; évaluation (figures produites par isc-eval). L’authentification analyste et le contrôle par rôles sont portés par le PDP, pas par la console (§10.1).</w:t>
      </w:r>
    </w:p>
    <w:p>
      <w:pPr>
        <w:pStyle w:val="Heading2"/>
        <w:spacing w:after="100" w:before="220"/>
      </w:pPr>
      <w:r>
        <w:rPr>
          <w:rFonts w:ascii="Calibri" w:cs="Calibri" w:eastAsia="Calibri" w:hAnsi="Calibri"/>
        </w:rPr>
        <w:t xml:space="preserve">6.3 isc-app</w:t>
      </w:r>
    </w:p>
    <w:p>
      <w:pPr>
        <w:spacing w:after="80"/>
        <w:jc w:val="both"/>
      </w:pPr>
      <w:r>
        <w:rPr>
          <w:rFonts w:ascii="Calibri" w:cs="Calibri" w:eastAsia="Calibri" w:hAnsi="Calibri"/>
          <w:sz w:val="20"/>
          <w:szCs w:val="20"/>
        </w:rPr>
        <w:t xml:space="preserve">Version 1.3 : l’application est spécifiée dans ISC-MOB-CDC v1.1 et ISC-MOB-SPEC v1.1, dont les six diagrammes de séquence (aiguillage serveur, premier enrôlement, ouverture de session, envoi signé, ré-enrôlement, alerte de changement de SIM) sont versionnés sous docs/02-specifications/mobile/diagrams/ et font partie de la vue comportement. Principes fixés par le propriétaire le 25/09/2026 : l’usager saisit le numéro puis le PIN ; l’application n’a aucune logique d’aiguillage, le PDP décide à partir de la présence d’une clé enregistrée et de la validité de la signature (DeviceRegistry, SignatureVerifier) ; l’OTP n’existe qu’au premier enrôlement ; la clé n’est fabriquée qu’après validation ; le contrat /evaluate et le canonical ADR-018 sont inchangés : le PDP calcule lui-même le changement d’IMSI et le nouveau bénéficiaire. Événements d’audit ajoutés (format de chaîne inchangé) : ENROL_START, OTP_ISSUED, OTP_VERIFIED, DEVICE_BOUND, RECOVERY_ISSUED, RECOVERY_CONFIRMED, SESSION_OPENED, TRANSFER_SIGNED, REENROL_FAILED, DEVICE_REBOUND, KEY_REVOKED, RECOVERY_ROTATED, SIM_CHANGED, ALERT_SENT, SIM_CHANGE_ACKNOWLEDGED, NOT_ME, ACCOUNT_FROZEN, REENROL_FROZEN, DEVICE_UNBOUND, ATTESTATION_REJECTED.</w:t>
      </w:r>
    </w:p>
    <w:p>
      <w:pPr>
        <w:spacing w:after="100" w:line="264"/>
      </w:pPr>
      <w:r>
        <w:rPr>
          <w:rFonts w:ascii="Calibri" w:cs="Calibri" w:eastAsia="Calibri" w:hAnsi="Calibri"/>
          <w:sz w:val="21"/>
          <w:szCs w:val="21"/>
          <w:strike/>
        </w:rPr>
        <w:t xml:space="preserve">Trois responsabilités seulement : gestion de la clé (génération dans le Keystore, signature du canonical), écrans utilisateur, réponse aux STEP_UP et aux demandes de contact de confiance.</w:t>
      </w:r>
      <w:r>
        <w:rPr>
          <w:rFonts w:ascii="Calibri" w:cs="Calibri" w:eastAsia="Calibri" w:hAnsi="Calibri"/>
          <w:sz w:val="21"/>
          <w:szCs w:val="21"/>
        </w:rPr>
        <w:t xml:space="preserve"> Trois responsabilités seulement : gestion de la clé (génération dans le Keystore après validation serveur, signature du canonical), écrans utilisateur, réponse aux STEP_UP (DEFER) et aux alertes de sécurité par réponse signée.</w:t>
      </w:r>
      <w:r>
        <w:rPr>
          <w:rFonts w:ascii="Calibri" w:cs="Calibri" w:eastAsia="Calibri" w:hAnsi="Calibri"/>
          <w:sz w:val="21"/>
          <w:szCs w:val="21"/>
        </w:rPr>
        <w:t xml:space="preserve"> Aucune logique de décision côté client : l’application n’est jamais une autorité.</w:t>
      </w:r>
      <w:r>
        <w:rPr>
          <w:b/>
          <w:color w:val="C00000"/>
        </w:rPr>
        <w:t xml:space="preserve"> [ABANDONNÉ (voir REGISTRE_DECISIONS)]</w:t>
      </w:r>
    </w:p>
    <w:p>
      <w:pPr>
        <w:pStyle w:val="Heading2"/>
        <w:spacing w:after="100" w:before="220"/>
      </w:pPr>
      <w:r>
        <w:rPr>
          <w:rFonts w:ascii="Calibri" w:cs="Calibri" w:eastAsia="Calibri" w:hAnsi="Calibri"/>
        </w:rPr>
        <w:t xml:space="preserve">6.4 isc-sim et isc-eval</w:t>
      </w:r>
    </w:p>
    <w:p>
      <w:pPr>
        <w:spacing w:after="100" w:line="264"/>
      </w:pPr>
      <w:r>
        <w:rPr>
          <w:rFonts w:ascii="Calibri" w:cs="Calibri" w:eastAsia="Calibri" w:hAnsi="Calibri"/>
          <w:sz w:val="21"/>
          <w:szCs w:val="21"/>
        </w:rPr>
        <w:t xml:space="preserve">Le générateur produit des transactions étiquetées en temps virtuel. Le mode d’injection est FERMÉ par ADR-017 après SPIKE-5 : injection HTTP par lots de 1 000. Mesuré à 2 822 transactions par seconde, soit 500 000 transactions en 177 secondes. Ce mode a été retenu contre l’appel direct en procédure, à débit comparable (2 563/s), parce qu’il conserve la fidélité du PDP en processus séparé et de la couche réseau. L’appel HTTP unitaire est écarté : 97 transactions par seconde, soit environ 86 minutes — RA-06 confirmé. L’équivalence des décisions entre injection unitaire et par lots est prouvée par empreinte identique de la séquence complète (SPIKE-5, Q7), à la condition OB-1.</w:t>
      </w:r>
    </w:p>
    <w:p>
      <w:pPr>
        <w:pStyle w:val="Heading1"/>
        <w:spacing w:after="140" w:before="320"/>
      </w:pPr>
      <w:r>
        <w:rPr>
          <w:rFonts w:ascii="Calibri" w:cs="Calibri" w:eastAsia="Calibri" w:hAnsi="Calibri"/>
        </w:rPr>
        <w:t xml:space="preserve">7. Vue dynamique</w:t>
      </w:r>
    </w:p>
    <w:p>
      <w:pPr>
        <w:spacing w:after="100" w:line="264"/>
      </w:pPr>
      <w:r>
        <w:rPr>
          <w:rFonts w:ascii="Calibri" w:cs="Calibri" w:eastAsia="Calibri" w:hAnsi="Calibri"/>
          <w:sz w:val="21"/>
          <w:szCs w:val="21"/>
        </w:rPr>
        <w:t xml:space="preserve">Cinq flux critiques. Ils sont maintenus en PlantUML dans docs/diagrams/ et rendus en CI ; les descriptions ci-dessous en sont la version normative.</w:t>
      </w:r>
    </w:p>
    <w:p>
      <w:pPr>
        <w:pStyle w:val="Heading2"/>
        <w:spacing w:after="100" w:before="220"/>
      </w:pPr>
      <w:r>
        <w:rPr>
          <w:rFonts w:ascii="Calibri" w:cs="Calibri" w:eastAsia="Calibri" w:hAnsi="Calibri"/>
        </w:rPr>
        <w:t xml:space="preserve">7.1 Sortie sensible sur le canal application (UC-02)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rPr>
          <w:tblHeader/>
        </w:trPr>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w:t>
            </w:r>
          </w:p>
        </w:tc>
        <w:tc>
          <w:tcPr>
            <w:tcW w:type="dxa" w:w="8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Étape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isc-app demande un nonce : GET /nonce (via isc-core).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8500"/>
            <w:shd w:fill="F2F5FA" w:color="auto" w:val="clear"/>
            <w:tcMar>
              <w:top w:type="dxa" w:w="50"/>
              <w:left w:type="dxa" w:w="90"/>
              <w:bottom w:type="dxa" w:w="50"/>
              <w:right w:type="dxa" w:w="90"/>
            </w:tcMar>
          </w:tcPr>
          <w:p>
            <w:pPr>
              <w:spacing w:after="30" w:line="240"/>
            </w:pPr>
            <w:r>
              <w:rPr>
                <w:strike/>
                <w:rFonts w:ascii="Calibri" w:cs="Calibri" w:eastAsia="Calibri" w:hAnsi="Calibri"/>
                <w:sz w:val="18"/>
                <w:szCs w:val="18"/>
              </w:rPr>
              <w:t xml:space="preserve">isc-app construit le canonical {compte, montant, bénéficiaire, type, nonce} et le signe avec la clé du Keystore.</w:t>
            </w:r>
            <w:r>
              <w:rPr>
                <w:b/>
                <w:color w:val="C00000"/>
              </w:rPr>
              <w:t xml:space="preserve"> [v1.4 : isc-app construit la chaîne canonique à ordre fixe accountId|type|amountXaf|beneficiaryId|nonce (ADR-018) et la signe avec la clé du Keystore]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isc-app envoie la transaction signée à isc-core.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TransactionService crée la transaction à l’état PENDING_DECISION et appelle POST /evaluate.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EvaluationOrchestrator : SignatureVerifier (veto d’exécution) → TrustStateMachine (restrictions de PROBATION) → RuleEngine (score) → décision.</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 écrit l’entrée chaînée ; ShadowEvaluator journalise sa prédiction sans influence.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7a</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ALLOW : commit, transaction → EXECUTED, notification, diffusion console.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7b</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STEP_UP : transaction → AWAITING_PROOF, notification, cf. §7.2.</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7c</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FREEZE : FreezeManager crée un gel avec TTL, transaction → FROZEN, notification à l’utilisateur et aux contacts de confiance.</w:t>
            </w:r>
            <w:r>
              <w:rPr>
                <w:b/>
                <w:color w:val="C00000"/>
              </w:rPr>
              <w:t xml:space="preserve"> [ABANDONNÉ (voir REGISTRE_DECISIONS)]</w:t>
            </w:r>
          </w:p>
        </w:tc>
      </w:tr>
    </w:tbl>
    <w:p>
      <w:pPr>
        <w:spacing w:after="80"/>
      </w:pPr>
    </w:p>
    <w:p>
      <w:pPr>
        <w:pStyle w:val="Heading2"/>
        <w:spacing w:after="100" w:before="220"/>
      </w:pPr>
      <w:r>
        <w:rPr>
          <w:rFonts w:ascii="Calibri" w:cs="Calibri" w:eastAsia="Calibri" w:hAnsi="Calibri"/>
        </w:rPr>
        <w:t xml:space="preserve">7.2 Résolution d’un STEP_UP (UC-04)</w:t>
      </w:r>
    </w:p>
    <w:p>
      <w:pPr>
        <w:spacing w:after="100" w:line="264"/>
      </w:pPr>
      <w:r>
        <w:rPr>
          <w:rFonts w:ascii="Calibri" w:cs="Calibri" w:eastAsia="Calibri" w:hAnsi="Calibri"/>
          <w:sz w:val="21"/>
          <w:szCs w:val="21"/>
        </w:rPr>
        <w:t xml:space="preserve">Sur application : l’utilisateur signe la preuve ; /evaluate est rappelé avec la preuve ; la décision devient ALLOW sauf si une autre règle impose FREEZE. Sur USSD, selon la politique configurée (ES-06) : P1 temporisation DEFER avec notification et possibilité d’annulation ; P2 plafond puis temporisation ; P3 demande OUI/NON à un contact de confiance, temporisation en repli. Sans résolution avant expiration, la transaction est annulée (fail-closed). Ce flux est la source du risque RA-05 : il introduit un état en attente qui doit être porté par la transaction elle-même (§7.4).</w:t>
      </w:r>
      <w:r>
        <w:rPr>
          <w:b/>
          <w:color w:val="C00000"/>
        </w:rPr>
        <w:t xml:space="preserve"> [ABANDONNÉ (voir REGISTRE_DECISIONS)]</w:t>
      </w:r>
    </w:p>
    <w:p>
      <w:pPr>
        <w:pStyle w:val="Heading2"/>
        <w:spacing w:after="100" w:before="220"/>
      </w:pPr>
      <w:r>
        <w:rPr>
          <w:rFonts w:ascii="Calibri" w:cs="Calibri" w:eastAsia="Calibri" w:hAnsi="Calibri"/>
        </w:rPr>
        <w:t xml:space="preserve">7.3 Remplacement de SIM et probation (UC-11)</w:t>
      </w:r>
    </w:p>
    <w:p>
      <w:pPr>
        <w:spacing w:after="100" w:line="264"/>
      </w:pPr>
      <w:r>
        <w:rPr>
          <w:rFonts w:ascii="Calibri" w:cs="Calibri" w:eastAsia="Calibri" w:hAnsi="Calibri"/>
          <w:sz w:val="21"/>
          <w:szCs w:val="21"/>
        </w:rPr>
        <w:t xml:space="preserve">isc-hlr-agent réassigne le MSISDN avec motif et identifiant d’agent → HlrService enregistre et émet l’événement → isc-core notifie le PDP → TrustStateMachine place le compte en PROBATION pour CAR_IMSI → TrustedContactManager notifie les contacts (ES-13) → la console affiche le changement d’IMSI. Le motif n’est jamais transmis à /evaluate (ES-16b) : le système ne distingue pas un agent honnête d’un agent complice.</w:t>
      </w:r>
      <w:r>
        <w:rPr>
          <w:b/>
          <w:color w:val="C00000"/>
        </w:rPr>
        <w:t xml:space="preserve"> [ABANDONNÉ (voir REGISTRE_DECISIONS)]</w:t>
      </w:r>
    </w:p>
    <w:p>
      <w:pPr>
        <w:pStyle w:val="Heading2"/>
        <w:spacing w:after="100" w:before="220"/>
      </w:pPr>
      <w:r>
        <w:rPr>
          <w:rFonts w:ascii="Calibri" w:cs="Calibri" w:eastAsia="Calibri" w:hAnsi="Calibri"/>
        </w:rPr>
        <w:t xml:space="preserve">7.4 Machine à états de la transaction (RA-05)</w:t>
      </w:r>
    </w:p>
    <w:p>
      <w:pPr>
        <w:spacing w:after="100" w:line="264"/>
      </w:pPr>
      <w:r>
        <w:rPr>
          <w:rFonts w:ascii="Calibri" w:cs="Calibri" w:eastAsia="Calibri" w:hAnsi="Calibri"/>
          <w:sz w:val="21"/>
          <w:szCs w:val="21"/>
        </w:rPr>
        <w:t xml:space="preserve">Découverte de l’analyse des drivers : une machine à états du compte ne suffit pas. Une transaction en attente de preuve est un état persistant qui doit résister au redémarrage et à l’expiration.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État</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Transitions sortantes</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PENDING_DECISION</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 EXECUTED (ALLOW) ; → AWAITING_PROOF (STEP_UP) ; → FROZEN (FREEZE) ; → REJECTED (veto de signature)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AWAITING_PROOF</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EXECUTED (preuve valide et réévaluation ALLOW) ; → FROZEN (réévaluation FREEZE ou refus du contact) ; → CANCELLED (expiration DEFER)</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FROZEN</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 EXECUTED (levée autorisée) ; → CANCELLED (expiration TTL_FREEZE ou annulation analyste)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EXECUTED, CANCELLED, REJECTED</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terminaux</w:t>
            </w:r>
          </w:p>
        </w:tc>
      </w:tr>
    </w:tbl>
    <w:p>
      <w:pPr>
        <w:spacing w:after="80"/>
      </w:pPr>
    </w:p>
    <w:p>
      <w:pPr>
        <w:spacing w:after="100" w:line="264"/>
      </w:pPr>
      <w:r>
        <w:rPr>
          <w:rFonts w:ascii="Calibri" w:cs="Calibri" w:eastAsia="Calibri" w:hAnsi="Calibri"/>
          <w:sz w:val="21"/>
          <w:szCs w:val="21"/>
        </w:rPr>
        <w:t xml:space="preserve">Invariant : une transaction ne quitte jamais un état non terminal sans écrire une entrée d’audit. Aucune transition automatique ne mène à EXECUTED depuis FROZEN ou AWAITING_PROOF (fail-closed, ES-07).</w:t>
      </w:r>
    </w:p>
    <w:p>
      <w:pPr>
        <w:pStyle w:val="Heading2"/>
        <w:spacing w:after="100" w:before="220"/>
      </w:pPr>
      <w:r>
        <w:rPr>
          <w:rFonts w:ascii="Calibri" w:cs="Calibri" w:eastAsia="Calibri" w:hAnsi="Calibri"/>
        </w:rPr>
        <w:t xml:space="preserve">7.5 Machine à états de confiance du compte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2000"/>
      </w:tblGrid>
      <w:tr>
        <w:trPr>
          <w:tblHeader/>
        </w:trPr>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État</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Déclencheurs d’entrée</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Restrictions</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Sortie</w:t>
            </w:r>
          </w:p>
        </w:tc>
      </w:tr>
      <w:tr>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TRUSTED</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strike/>
              </w:rPr>
              <w:t xml:space="preserve">Fin de probation sans incident ; confirmation par ancien dispositif ou contact</w:t>
            </w:r>
            <w:r>
              <w:rPr>
                <w:rFonts w:ascii="Calibri" w:cs="Calibri" w:eastAsia="Calibri" w:hAnsi="Calibri"/>
                <w:sz w:val="18"/>
                <w:szCs w:val="18"/>
              </w:rPr>
              <w:t xml:space="preserve"> Fin de probation sans incident (v1.3 : la confirmation par l’ancien dispositif est retirée, ADR-010 ; l’ancien dispositif est informé sans pouvoir, EF-47)</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PROBATION</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(CAR_IMSI) uniquement. L’enrôlement et le ré-enrôlement ne déclenchent plus de probation propre (v1.2) : le code de récupération est la preuve.</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Sorties ≤ CAP_PROB ; bénéficiaires connus uniquement ; violation → FREEZE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Expiration de CAR_IMSI → TRUSTED ; incident → LOCKED</w:t>
            </w:r>
          </w:p>
        </w:tc>
      </w:tr>
      <w:tr>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FROZEN</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strike/>
              </w:rPr>
              <w:t xml:space="preserve">Décision FREEZE en cours de traitement</w:t>
            </w:r>
            <w:r>
              <w:rPr>
                <w:rFonts w:ascii="Calibri" w:cs="Calibri" w:eastAsia="Calibri" w:hAnsi="Calibri"/>
                <w:sz w:val="18"/>
                <w:szCs w:val="18"/>
              </w:rPr>
              <w:t xml:space="preserve"> Décision FREEZE en cours de traitement ; ou réponse « ce n’est pas moi » signée par l’appareil actuellement lié à une alerte de changement de SIM ou de tentative de ré-enrôlement (ES-27) — les ré-enrôlements sont alors gelés pendant REENROL_FREEZE</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Sorties suspendues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Levée → état précédent ; expiration → TRUSTED avec transaction annulée</w:t>
            </w:r>
          </w:p>
        </w:tc>
      </w:tr>
      <w:tr>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LOCKED</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Décision analyste ; incident de sécurité constaté. (v1.2 : le refus d’un contact et l’annulation par l’ancien dispositif ne sont plus des déclencheurs.)</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Toutes sorties interdites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Action analyste à quatre yeux</w:t>
            </w:r>
          </w:p>
        </w:tc>
      </w:tr>
    </w:tbl>
    <w:p>
      <w:pPr>
        <w:spacing w:after="80"/>
      </w:pPr>
    </w:p>
    <w:p>
      <w:pPr>
        <w:spacing w:after="100" w:line="264"/>
      </w:pPr>
      <w:r>
        <w:rPr>
          <w:rFonts w:ascii="Calibri" w:cs="Calibri" w:eastAsia="Calibri" w:hAnsi="Calibri"/>
          <w:sz w:val="21"/>
          <w:szCs w:val="21"/>
        </w:rPr>
        <w:t xml:space="preserve">L’IMSI de référence est mis à jour automatiquement à la sortie de PROBATION vers TRUSTED (définition du glossaire SRS v1.2).</w:t>
      </w:r>
    </w:p>
    <w:p>
      <w:pPr>
        <w:pStyle w:val="Heading1"/>
        <w:spacing w:after="140" w:before="320"/>
      </w:pPr>
      <w:r>
        <w:rPr>
          <w:rFonts w:ascii="Calibri" w:cs="Calibri" w:eastAsia="Calibri" w:hAnsi="Calibri"/>
        </w:rPr>
        <w:t xml:space="preserve">8. Contrats d’interface</w:t>
      </w:r>
    </w:p>
    <w:p>
      <w:pPr>
        <w:pStyle w:val="Heading2"/>
        <w:spacing w:after="100" w:before="220"/>
      </w:pPr>
      <w:r>
        <w:rPr>
          <w:rFonts w:ascii="Calibri" w:cs="Calibri" w:eastAsia="Calibri" w:hAnsi="Calibri"/>
        </w:rPr>
        <w:t xml:space="preserve">8.1 POST /evaluate</w:t>
      </w:r>
    </w:p>
    <w:p>
      <w:pPr>
        <w:spacing w:after="100" w:line="264"/>
      </w:pPr>
      <w:r>
        <w:rPr>
          <w:rFonts w:ascii="Calibri" w:cs="Calibri" w:eastAsia="Calibri" w:hAnsi="Calibri"/>
          <w:sz w:val="21"/>
          <w:szCs w:val="21"/>
        </w:rPr>
        <w:t xml:space="preserve">Contrat central du système. Spécifié en OpenAPI 3.1 dans contracts/evaluate.yaml — le chemin docs/contracts/ indiqué en v1.0 était erroné et contredisait ISC-DEV §3 ; corrigé en v1.1. Validé en CI. Deux écarts entre le contrat et le SRS ont été détectés par relecture humaine alors que le linter était vert : un motif MSISDN acceptant 100 000 numéros au lieu de 10 000, et un format d’horodatage tolérant un décalage horaire contre ED-04. Le vert automatique ne vaut pas conformité à une exigence. Structure normative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Bloc</w:t>
            </w:r>
          </w:p>
        </w:tc>
        <w:tc>
          <w:tcPr>
            <w:tcW w:type="dxa" w:w="7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Requête — identité</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decisionId (UUID v4, idempotence), accountId, msisdn, currentImsi</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Requête — opération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channel (APP | USSD), type (P2P | CASH_OUT | MERCHANT | BILL | AIRTIME | CASH_IN), amountXaf (entier), beneficiaryId, serverTimestamp (UTC), localityCellId</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Requête — preuve</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deviceKeyId, signature (base64), nonce, proofType (SIGNATURE | TRUSTED_CONTACT | NONE)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Réponse — décision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(ALLOW | STEP_UP | FREEZE | REJECTED), score (0–100), requiredAction (SIGNATURE | DEFER | CONTACT_CONFIRMATION | NONE)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Réponse — explication</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triggeredRules[] {ruleId, contribution, explanation}, vetoApplied (IMSI_CHANGE | SIGNATURE_INVALID | PROBATION_VIOLATION | NONE)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Réponse — traçabilité</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decisionId, ruleSetVersion, evaluatedAt, latencyMs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Erreurs</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400 contrat invalide ; 401 mTLS absent ; 409 nonce consommé ; 429 débit dépassé ; 503 indisponible (déclenche la politique fail-closed côté cœur)</w:t>
            </w:r>
          </w:p>
        </w:tc>
      </w:tr>
    </w:tbl>
    <w:p>
      <w:pPr>
        <w:spacing w:after="80"/>
      </w:pPr>
    </w:p>
    <w:p>
      <w:pPr>
        <w:spacing w:after="100" w:line="264"/>
      </w:pPr>
      <w:r>
        <w:rPr>
          <w:rFonts w:ascii="Calibri" w:cs="Calibri" w:eastAsia="Calibri" w:hAnsi="Calibri"/>
          <w:sz w:val="21"/>
          <w:szCs w:val="21"/>
        </w:rPr>
        <w:t xml:space="preserve">Idempotence : deux appels portant le même decisionId renvoient la même décision et n’écrivent qu’une entrée d’audit (ENF-03).</w:t>
      </w:r>
    </w:p>
    <w:p>
      <w:pPr>
        <w:pStyle w:val="Heading2"/>
        <w:spacing w:after="100" w:before="220"/>
      </w:pPr>
      <w:r>
        <w:rPr>
          <w:rFonts w:ascii="Calibri" w:cs="Calibri" w:eastAsia="Calibri" w:hAnsi="Calibri"/>
        </w:rPr>
        <w:t xml:space="preserve">8.2 Canonical signé — FERME (SPIKE-1, ADR-018)</w:t>
      </w:r>
    </w:p>
    <w:p>
      <w:pPr>
        <w:spacing w:after="100" w:line="264"/>
      </w:pPr>
      <w:r>
        <w:rPr>
          <w:rFonts w:ascii="Calibri" w:cs="Calibri" w:eastAsia="Calibri" w:hAnsi="Calibri"/>
          <w:sz w:val="21"/>
          <w:szCs w:val="21"/>
        </w:rPr>
        <w:t xml:space="preserve">Vérifié sur deux appareils. Chaîne UTF-8 sans BOM, champs dans l’ordre fixe accountId | type | amountXaf | beneficiaryId | nonce, séparateur U+007C sans espaces, montant décimal sans signe, nonce hexadécimal de 32 caractères en minuscules. Jamais de JSON sérialisé : la sérialisation n’est pas déterministe et ne peut servir de base à une signature. Algorithme ECDSA sur courbe P-256, empreinte SHA-256, signature DER encodée en base64 — 70 à 72 octets, taille variable, donc le contrat NE DOIT PAS imposer de longueur fixe. Clé publique transmise en X.509 SubjectPublicKeyInfo base64. Ed25519 écarté par prudence, sa disponibilité dans le Keystore n’ayant pas été vérifiée. L’identité des chaînes d’octets entre Android et Java est prouvée par empreinte SHA-256 sur trois cas de test, dont un comportant des caractères accentués.</w:t>
      </w:r>
    </w:p>
    <w:p>
      <w:pPr>
        <w:pStyle w:val="Heading2"/>
        <w:spacing w:after="100" w:before="220"/>
      </w:pPr>
      <w:r>
        <w:rPr>
          <w:rFonts w:ascii="Calibri" w:cs="Calibri" w:eastAsia="Calibri" w:hAnsi="Calibri"/>
        </w:rPr>
        <w:t xml:space="preserve">8.3 Autres interfaces</w:t>
      </w:r>
    </w:p>
    <w:p>
      <w:pPr>
        <w:spacing w:after="100" w:line="264"/>
      </w:pPr>
      <w:r>
        <w:rPr>
          <w:rFonts w:ascii="Calibri" w:cs="Calibri" w:eastAsia="Calibri" w:hAnsi="Calibri"/>
          <w:sz w:val="21"/>
          <w:szCs w:val="21"/>
        </w:rPr>
        <w:t xml:space="preserve">GET /nonce (émission, 128 bits, 120 s) ; POST /freeze/{id}/release (acteur, preuve, justification) ; événement interne de changement d’IMSI (MSISDN, ancien IMSI, nouvel IMSI, horodatage, agent, motif) ; interface de notification (destinataire, type, contenu contraint par ENF-17) ; flux temps réel console (SSE, un événement par décision et par action analyste).</w:t>
      </w:r>
    </w:p>
    <w:p>
      <w:pPr>
        <w:pStyle w:val="Heading1"/>
        <w:spacing w:after="140" w:before="320"/>
      </w:pPr>
      <w:r>
        <w:rPr>
          <w:rFonts w:ascii="Calibri" w:cs="Calibri" w:eastAsia="Calibri" w:hAnsi="Calibri"/>
        </w:rPr>
        <w:t xml:space="preserve">9. Vue données</w:t>
      </w:r>
    </w:p>
    <w:p>
      <w:pPr>
        <w:pStyle w:val="Heading2"/>
        <w:spacing w:after="100" w:before="220"/>
      </w:pPr>
      <w:r>
        <w:rPr>
          <w:rFonts w:ascii="Calibri" w:cs="Calibri" w:eastAsia="Calibri" w:hAnsi="Calibri"/>
        </w:rPr>
        <w:t xml:space="preserve">9.1 Schéma 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Entité</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 structurants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account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balanceXaf (entier), createdAt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Plage MSISDN fictive (ED-09, QO-17)</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hlr_subscriber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msisdn, currentImsi, updatedAt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courant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hlr_reassignment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oldImsi, newImsi, agentId, reason, occurredAt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Historique immuable ; source de l’événement</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accountId, type, amountXaf, beneficiaryId, channel, state, decisionId, createdAt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state = machine §7.4</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ussd_session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step, payload, expiresAt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session</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otp</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msisdn, targetImsi, codeHash, expiresAt, consumedAt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Émis vers l’IMSI courant (EF-03)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notification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recipientRef, channel, type, body, sentAt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Contenu contraint (ENF-17)</w:t>
            </w:r>
          </w:p>
        </w:tc>
      </w:tr>
    </w:tbl>
    <w:p>
      <w:pPr>
        <w:spacing w:after="80"/>
      </w:pPr>
    </w:p>
    <w:p>
      <w:pPr>
        <w:pStyle w:val="Heading2"/>
        <w:spacing w:after="100" w:before="220"/>
      </w:pPr>
      <w:r>
        <w:rPr>
          <w:rFonts w:ascii="Calibri" w:cs="Calibri" w:eastAsia="Calibri" w:hAnsi="Calibri"/>
        </w:rPr>
        <w:t xml:space="preserve">9.2 Schéma pdp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Entité</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 structurants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device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publicKey, state (ACTIVE|REVOKED), enrolledAt, revokedAt. Contrainte : au plus une ligne ACTIVE par accountId.</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Révocation immédiate (ES-14b), unicité (ES-20)</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recovery_code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hash (empreinte à sel unique), salt, generatedAt, consumedAt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Jamais le code en clair (ES-18). Un seul code non consommé par compte.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enrolment_attempt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installationId, originAddress, targetAccountId, attemptedAt, outcome</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Sert au délai croissant et à l’alerte ; ne produit jamais de restriction sur le compte (ES-21, ES-24).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trust_state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accountId, state, since, expiresAt, referenceImsi</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courant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trust_transition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fromState, toState, cause, occurredAt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Historique ; toute transition journalisée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 decisionId), accountId, channel, type, amountXaf, score, decision, vetoApplied, ruleSetVersion, latencyMs, evaluatedAt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Objet de première classe (SQ-10)</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decision_rule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decisionId, ruleId, contribution, explanation</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Explication persistée, pas recalculée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decisionId, accountId, amountXaf, createdAt, ttlExpiresAt, releasedBy[], releaseProof, closedAt, outcome</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Quatre-yeux : releasedBy est une liste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trusted_contact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contactMsisdn, state, designatedVia (USSD|KYC), confirmedAt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DIFFÉRÉ (QO-19) : retiré du parcours applicatif ; rôle sur USSD à trancher. Table conservée.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value, accountId, issuedAt, expiresAt, consumedAt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Usage unique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audit_entry</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seq (bigint GENERATED ALWAYS AS IDENTITY, OB-4), chainIndex (assigné dans le verrou, OB-2), payload (jsonb), prevHash, hash, writtenAt (timestamptz UTC)</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INSERT seul (ED-06). Empreinte couvrant seq, payload, prevHash, writtenAt. Aucun DEFAULT d’horloge base : l’horodatage vient de l’application (ED-04).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audit_anchor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headSeq, headHash, signature, anchoredAt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Ancrage périodique signé hors base. La clé privée Ed25519 vit sur le système de fichiers de l’hôte, jamais dans la base ni dans le conteneur.</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chain_head</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lastSeq, headHash, entryCount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Tête courante, maintenue uniquement par le déclencheur. Le rôle applicatif n’y a AUCUN accès : c’est elle qui détecte la suppression du dernier enregistrement, que le chaînage seul ne voit pas.</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config_version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version, parameters (JSON), activatedAt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Paramètres nommés (ES-15)</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shadow_prediction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decisionId, modelVersion, prediction, confidence</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Hors chemin de décision</w:t>
            </w:r>
          </w:p>
        </w:tc>
      </w:tr>
    </w:tbl>
    <w:p>
      <w:pPr>
        <w:spacing w:after="80"/>
      </w:pPr>
    </w:p>
    <w:p>
      <w:pPr>
        <w:pStyle w:val="Heading2"/>
        <w:spacing w:after="100" w:before="220"/>
      </w:pPr>
      <w:r>
        <w:rPr>
          <w:rFonts w:ascii="Calibri" w:cs="Calibri" w:eastAsia="Calibri" w:hAnsi="Calibri"/>
        </w:rPr>
        <w:t xml:space="preserve">9.3 Règles transverses de données</w:t>
      </w:r>
    </w:p>
    <w:p>
      <w:pPr>
        <w:pStyle w:val="ListParagraph"/>
        <w:numPr>
          <w:ilvl w:val="0"/>
          <w:numId w:val="2"/>
        </w:numPr>
        <w:spacing w:after="60" w:line="264"/>
      </w:pPr>
      <w:r>
        <w:rPr>
          <w:rFonts w:ascii="Calibri" w:cs="Calibri" w:eastAsia="Calibri" w:hAnsi="Calibri"/>
          <w:sz w:val="21"/>
          <w:szCs w:val="21"/>
        </w:rPr>
        <w:t xml:space="preserve">Montants en entiers de FCFA ; aucun flottant nulle part, y compris dans les exports d’évaluation (ED-05).</w:t>
      </w:r>
    </w:p>
    <w:p>
      <w:pPr>
        <w:pStyle w:val="ListParagraph"/>
        <w:numPr>
          <w:ilvl w:val="0"/>
          <w:numId w:val="2"/>
        </w:numPr>
        <w:spacing w:after="60" w:line="264"/>
      </w:pPr>
      <w:r>
        <w:rPr>
          <w:rFonts w:ascii="Calibri" w:cs="Calibri" w:eastAsia="Calibri" w:hAnsi="Calibri"/>
          <w:sz w:val="21"/>
          <w:szCs w:val="21"/>
        </w:rPr>
        <w:t xml:space="preserve">Horodatages UTC générés par le serveur via l’abstraction Clock, jamais par la base ni par le client (ED-04, C-08).</w:t>
      </w:r>
    </w:p>
    <w:p>
      <w:pPr>
        <w:pStyle w:val="ListParagraph"/>
        <w:numPr>
          <w:ilvl w:val="0"/>
          <w:numId w:val="2"/>
        </w:numPr>
        <w:spacing w:after="60" w:line="264"/>
      </w:pPr>
      <w:r>
        <w:rPr>
          <w:rFonts w:ascii="Calibri" w:cs="Calibri" w:eastAsia="Calibri" w:hAnsi="Calibri"/>
          <w:sz w:val="21"/>
          <w:szCs w:val="21"/>
        </w:rPr>
        <w:t xml:space="preserve">Rôles PostgreSQL : isc_pdp_app dispose de SELECT et INSERT sur audit_entry, jamais UPDATE, DELETE ni TRUNCATE ; USAGE sans UPDATE sur la séquence, ce qui interdit setval ; aucun accès à chain_head. Huit tentatives de modification ont été vérifiées en échec, et les privilèges EFFECTIFS mesurés sur les catalogues système — non déduits des GRANT écrits.</w:t>
      </w:r>
    </w:p>
    <w:p>
      <w:pPr>
        <w:pStyle w:val="ListParagraph"/>
        <w:numPr>
          <w:ilvl w:val="0"/>
          <w:numId w:val="2"/>
        </w:numPr>
        <w:spacing w:after="60" w:line="264"/>
      </w:pPr>
      <w:r>
        <w:rPr>
          <w:rFonts w:ascii="Calibri" w:cs="Calibri" w:eastAsia="Calibri" w:hAnsi="Calibri"/>
          <w:sz w:val="21"/>
          <w:szCs w:val="21"/>
        </w:rPr>
        <w:t xml:space="preserve">OB-3 : </w:t>
      </w:r>
      <w:r>
        <w:rPr>
          <w:rFonts w:ascii="Calibri" w:cs="Calibri" w:eastAsia="Calibri" w:hAnsi="Calibri"/>
          <w:sz w:val="21"/>
          <w:szCs w:val="21"/>
          <w:strike/>
        </w:rPr>
        <w:t xml:space="preserve">REVOKE EXECUTE ON ALL FUNCTIONS IN SCHEMA audit FROM PUBLIC est appliqué par défaut.</w:t>
      </w:r>
      <w:r>
        <w:rPr>
          <w:rFonts w:ascii="Calibri" w:cs="Calibri" w:eastAsia="Calibri" w:hAnsi="Calibri"/>
          <w:sz w:val="21"/>
          <w:szCs w:val="21"/>
        </w:rPr>
        <w:t xml:space="preserve"> Le REVOKE EXECUTE est appliqué explicitement à chaque fonction du schéma d’audit (et vérifié par la porte de contrôle), car la mesure T2-01 a établi qu’un réglage « par défaut » n’enregistre rien en PostgreSQL 16 (E-01).</w:t>
      </w:r>
      <w:r>
        <w:rPr>
          <w:rFonts w:ascii="Calibri" w:cs="Calibri" w:eastAsia="Calibri" w:hAnsi="Calibri"/>
          <w:sz w:val="21"/>
          <w:szCs w:val="21"/>
        </w:rPr>
        <w:t xml:space="preserve"> Sans lui, une fonction SECURITY DEFINER est exécutable par tout rôle et écrit avec les droits de son propriétaire : toutes les restrictions sur la table deviennent inopérantes.</w:t>
      </w:r>
    </w:p>
    <w:p>
      <w:pPr>
        <w:pStyle w:val="ListParagraph"/>
        <w:numPr>
          <w:ilvl w:val="0"/>
          <w:numId w:val="2"/>
        </w:numPr>
        <w:spacing w:after="60" w:line="264"/>
      </w:pPr>
      <w:r>
        <w:rPr>
          <w:rFonts w:ascii="Calibri" w:cs="Calibri" w:eastAsia="Calibri" w:hAnsi="Calibri"/>
          <w:sz w:val="21"/>
          <w:szCs w:val="21"/>
        </w:rPr>
        <w:t xml:space="preserve">Aucune clé étrangère entre schémas ; la cohérence inter-services passe par les identifiants et les contrats (C-07).</w:t>
      </w:r>
    </w:p>
    <w:p>
      <w:pPr>
        <w:pStyle w:val="Heading1"/>
        <w:spacing w:after="140" w:before="320"/>
      </w:pPr>
      <w:r>
        <w:rPr>
          <w:rFonts w:ascii="Calibri" w:cs="Calibri" w:eastAsia="Calibri" w:hAnsi="Calibri"/>
        </w:rPr>
        <w:t xml:space="preserve">10. Vue sécurité</w:t>
      </w:r>
    </w:p>
    <w:p>
      <w:pPr>
        <w:pStyle w:val="Heading2"/>
        <w:spacing w:after="100" w:before="220"/>
      </w:pPr>
      <w:r>
        <w:rPr>
          <w:rFonts w:ascii="Calibri" w:cs="Calibri" w:eastAsia="Calibri" w:hAnsi="Calibri"/>
        </w:rPr>
        <w:t xml:space="preserve">10.1 Authentification par frontière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Frontière</w:t>
            </w:r>
          </w:p>
        </w:tc>
        <w:tc>
          <w:tcPr>
            <w:tcW w:type="dxa" w:w="5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Mécanisme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isc-app → isc-core</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PIN + session ; signature de dispositif pour toute sortie sensible (l’OTP ne subsiste qu’à l’enrôlement, ADR-014)</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USSD → isc-core</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PIN + OTP, fidèle à la réalité (C-02)</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isc-core ↔ isc-pdp</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mTLS, autorité locale générée au démarrage, connexions persistantes, vérification de la chaîne ET du nom, rejet au niveau de la poignée de main</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(SPIKE-4, ADR-021)</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 → console → pdp</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Authentification portée par le PDP, contrôle par rôles, justification obligatoire, quatre-yeux au-dessus de THR_4EYES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Outils CLI → isc-core</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Jetons distincts par outil (attaquant, agent HLR, chercheur) pour que le journal distingue les origines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 → audit</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Rôle base restreint à SELECT et INSERT ; EXECUTE révoqué de PUBLIC ; aucun accès à chain_head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 ADR-020)</w:t>
            </w:r>
          </w:p>
        </w:tc>
      </w:tr>
    </w:tbl>
    <w:p>
      <w:pPr>
        <w:spacing w:after="80"/>
      </w:pPr>
    </w:p>
    <w:p>
      <w:pPr>
        <w:pStyle w:val="Heading2"/>
        <w:spacing w:after="100" w:before="220"/>
      </w:pPr>
      <w:r>
        <w:rPr>
          <w:rFonts w:ascii="Calibri" w:cs="Calibri" w:eastAsia="Calibri" w:hAnsi="Calibri"/>
        </w:rPr>
        <w:t xml:space="preserve">10.2 Cryptographie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Choix</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Clé de dispositif</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EC P-256 dans le Keystore matériel, non exportable, usage signature. setIsStrongBoxBacked(true) avec repli TEE journalisé : StrongBox absent des deux appareils du projet, TEE présent sur les deux.</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Signature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SHA256withECDSA, signature DER en base64, 70 à 72 octets — taille variable, aucune longueur fixe dans le contrat. Latence mesurée p95 : 11 à 18 ms.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Canonical</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Chaîne à ordre fixe, séparateur U+007C, UTF-8 sans BOM, jamais du JSON sérialisé (§8.2). Identité des octets Android/Java prouvée par empreinte sur trois cas.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Anti-rejeu</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 serveur 128 bits, usage unique, 120 s, lié au compte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Attestation de clé</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Demandée à la génération ; chaîne lisible sur les deux appareils (5 et 4 certificats).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Chaînage d’audit</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SHA-256 de l’entrée précédente ; index d’ordre dans le verrou (OB-2) ; ancrage signé Ed25519 hors base, clé sur le système de fichiers de l’hôte.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Secrets de la pile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Générés au démarrage, jamais versionnés ; aucun secret en clair dans le dépôt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bl>
    <w:p>
      <w:pPr>
        <w:spacing w:after="80"/>
      </w:pPr>
    </w:p>
    <w:p>
      <w:pPr>
        <w:pStyle w:val="Heading2"/>
        <w:spacing w:after="100" w:before="220"/>
      </w:pPr>
      <w:r>
        <w:rPr>
          <w:rFonts w:ascii="Calibri" w:cs="Calibri" w:eastAsia="Calibri" w:hAnsi="Calibri"/>
        </w:rPr>
        <w:t xml:space="preserve">10.3 Principes appliqués</w:t>
      </w:r>
    </w:p>
    <w:p>
      <w:pPr>
        <w:pStyle w:val="ListParagraph"/>
        <w:numPr>
          <w:ilvl w:val="0"/>
          <w:numId w:val="2"/>
        </w:numPr>
        <w:spacing w:after="60" w:line="264"/>
      </w:pPr>
      <w:r>
        <w:rPr>
          <w:rFonts w:ascii="Calibri" w:cs="Calibri" w:eastAsia="Calibri" w:hAnsi="Calibri"/>
          <w:sz w:val="21"/>
          <w:szCs w:val="21"/>
        </w:rPr>
        <w:t xml:space="preserve">Fail-closed par défaut : toute absence de décision, toute expiration, toute indisponibilité au-dessus de CAP_PROB conduit au refus, jamais à l’exécution.</w:t>
      </w:r>
    </w:p>
    <w:p>
      <w:pPr>
        <w:pStyle w:val="ListParagraph"/>
        <w:numPr>
          <w:ilvl w:val="0"/>
          <w:numId w:val="2"/>
        </w:numPr>
        <w:spacing w:after="60" w:line="264"/>
      </w:pPr>
      <w:r>
        <w:rPr>
          <w:rFonts w:ascii="Calibri" w:cs="Calibri" w:eastAsia="Calibri" w:hAnsi="Calibri"/>
          <w:sz w:val="21"/>
          <w:szCs w:val="21"/>
        </w:rPr>
        <w:t xml:space="preserve">Le client n’est jamais une autorité : horodatage, localité et empreinte fournis par le client sont de la télémétrie ; seul le serveur décide.</w:t>
      </w:r>
    </w:p>
    <w:p>
      <w:pPr>
        <w:pStyle w:val="ListParagraph"/>
        <w:numPr>
          <w:ilvl w:val="0"/>
          <w:numId w:val="2"/>
        </w:numPr>
        <w:spacing w:after="60" w:line="264"/>
      </w:pPr>
      <w:r>
        <w:rPr>
          <w:rFonts w:ascii="Calibri" w:cs="Calibri" w:eastAsia="Calibri" w:hAnsi="Calibri"/>
          <w:sz w:val="21"/>
          <w:szCs w:val="21"/>
        </w:rPr>
        <w:t xml:space="preserve">Séparation des vetos et du score : un veto ne traverse jamais le moteur de règles ; il est déterministe et explicable en une phrase.</w:t>
      </w:r>
    </w:p>
    <w:p>
      <w:pPr>
        <w:pStyle w:val="ListParagraph"/>
        <w:numPr>
          <w:ilvl w:val="0"/>
          <w:numId w:val="2"/>
        </w:numPr>
        <w:spacing w:after="60" w:line="264"/>
      </w:pPr>
      <w:r>
        <w:rPr>
          <w:rFonts w:ascii="Calibri" w:cs="Calibri" w:eastAsia="Calibri" w:hAnsi="Calibri"/>
          <w:sz w:val="21"/>
          <w:szCs w:val="21"/>
        </w:rPr>
        <w:t xml:space="preserve">Journalisation avant effet : l’entrée d’audit est écrite avant que la décision ne soit appliquée par le cœur.</w:t>
      </w:r>
    </w:p>
    <w:p>
      <w:pPr>
        <w:pStyle w:val="ListParagraph"/>
        <w:numPr>
          <w:ilvl w:val="0"/>
          <w:numId w:val="2"/>
        </w:numPr>
        <w:spacing w:after="60" w:line="264"/>
      </w:pPr>
      <w:r>
        <w:rPr>
          <w:rFonts w:ascii="Calibri" w:cs="Calibri" w:eastAsia="Calibri" w:hAnsi="Calibri"/>
          <w:sz w:val="21"/>
          <w:szCs w:val="21"/>
        </w:rPr>
        <w:t xml:space="preserve">Aucune dépendance externe : conformément à C-03, aucun service tiers n’est appelé, y compris pour les notifications.</w:t>
      </w:r>
    </w:p>
    <w:p>
      <w:pPr>
        <w:pStyle w:val="Heading1"/>
        <w:spacing w:after="140" w:before="320"/>
      </w:pPr>
      <w:r>
        <w:rPr>
          <w:rFonts w:ascii="Calibri" w:cs="Calibri" w:eastAsia="Calibri" w:hAnsi="Calibri"/>
        </w:rPr>
        <w:t xml:space="preserve">11. Gestion du temps</w:t>
      </w:r>
    </w:p>
    <w:p>
      <w:pPr>
        <w:spacing w:after="100" w:line="264"/>
      </w:pPr>
      <w:r>
        <w:rPr>
          <w:rFonts w:ascii="Calibri" w:cs="Calibri" w:eastAsia="Calibri" w:hAnsi="Calibri"/>
          <w:sz w:val="21"/>
          <w:szCs w:val="21"/>
        </w:rPr>
        <w:t xml:space="preserve">Le temps est un composant, pas une commodité. Trois exigences le rendent structurant : la testabilité des carences (SQ-20), la simulation en temps virtuel (SQ-21) et l’impossibilité de faire confiance à l’horloge du client.</w:t>
      </w:r>
    </w:p>
    <w:p>
      <w:pPr>
        <w:pStyle w:val="ListParagraph"/>
        <w:numPr>
          <w:ilvl w:val="0"/>
          <w:numId w:val="2"/>
        </w:numPr>
        <w:spacing w:after="60" w:line="264"/>
      </w:pPr>
      <w:r>
        <w:rPr>
          <w:rFonts w:ascii="Calibri" w:cs="Calibri" w:eastAsia="Calibri" w:hAnsi="Calibri"/>
          <w:sz w:val="21"/>
          <w:szCs w:val="21"/>
        </w:rPr>
        <w:t xml:space="preserve">Une interface Clock unique, injectée dans isc-core et isc-pdp ; deux implémentations : SystemClock et VirtualClock.</w:t>
      </w:r>
    </w:p>
    <w:p>
      <w:pPr>
        <w:pStyle w:val="ListParagraph"/>
        <w:numPr>
          <w:ilvl w:val="0"/>
          <w:numId w:val="2"/>
        </w:numPr>
        <w:spacing w:after="60" w:line="264"/>
      </w:pPr>
      <w:r>
        <w:rPr>
          <w:rFonts w:ascii="Calibri" w:cs="Calibri" w:eastAsia="Calibri" w:hAnsi="Calibri"/>
          <w:sz w:val="21"/>
          <w:szCs w:val="21"/>
        </w:rPr>
        <w:t xml:space="preserve">Aucune règle, aucun service métier n’appelle une horloge statique ; une règle reçoit l’instant d’évaluation en paramètre, lu une seule fois à la frontière de l’évaluateur. La règle d’architecture TA-CLOCK-01 couvre dix-huit appels, dont les chemins INDIRECTS : new Random() sans argument, bibliothèque tierce lisant l’heure, journalisation horodatée, UUID.randomUUID(). Quatre de ces six chemins échappaient à la version initiale de la règle. Une règle d’interdiction ne couvre que ce qu’elle nomme : la défense qui ne dépend d’aucune énumération est OB-1.</w:t>
      </w:r>
    </w:p>
    <w:p>
      <w:pPr>
        <w:pStyle w:val="ListParagraph"/>
        <w:numPr>
          <w:ilvl w:val="0"/>
          <w:numId w:val="2"/>
        </w:numPr>
        <w:spacing w:after="60" w:line="264"/>
      </w:pPr>
      <w:r>
        <w:rPr>
          <w:rFonts w:ascii="Calibri" w:cs="Calibri" w:eastAsia="Calibri" w:hAnsi="Calibri"/>
          <w:sz w:val="21"/>
          <w:szCs w:val="21"/>
        </w:rPr>
        <w:t xml:space="preserve">Les échéances (TTL de gel, fin de carence, expiration de nonce et de temporisation) sont évaluées À LA LECTURE. SPIKE-2 a établi qu’aucun ordonnanceur n’est nécessaire pour décider ; le SAD v1.0 laissait les deux options ouvertes, elles sont fermées par ADR-019.</w:t>
      </w:r>
    </w:p>
    <w:p>
      <w:pPr>
        <w:pStyle w:val="ListParagraph"/>
        <w:numPr>
          <w:ilvl w:val="0"/>
          <w:numId w:val="2"/>
        </w:numPr>
        <w:spacing w:after="60" w:line="264"/>
      </w:pPr>
      <w:r>
        <w:rPr>
          <w:rFonts w:ascii="Calibri" w:cs="Calibri" w:eastAsia="Calibri" w:hAnsi="Calibri"/>
          <w:sz w:val="21"/>
          <w:szCs w:val="21"/>
        </w:rPr>
        <w:t xml:space="preserve">En temps virtuel, l’avance d’horloge est explicite et ordonnée ; aucune règle ne doit produire un résultat différent selon la vitesse d’exécution. Cet invariant est testé (SQ-21).</w:t>
      </w:r>
    </w:p>
    <w:p>
      <w:pPr>
        <w:pStyle w:val="Heading1"/>
        <w:spacing w:after="140" w:before="320"/>
      </w:pPr>
      <w:r>
        <w:rPr>
          <w:rFonts w:ascii="Calibri" w:cs="Calibri" w:eastAsia="Calibri" w:hAnsi="Calibri"/>
        </w:rPr>
        <w:t xml:space="preserve">12. Configuration et versionnement des règles</w:t>
      </w:r>
    </w:p>
    <w:p>
      <w:pPr>
        <w:spacing w:after="100" w:line="264"/>
      </w:pPr>
      <w:r>
        <w:rPr>
          <w:rFonts w:ascii="Calibri" w:cs="Calibri" w:eastAsia="Calibri" w:hAnsi="Calibri"/>
          <w:sz w:val="21"/>
          <w:szCs w:val="21"/>
        </w:rPr>
        <w:t xml:space="preserve">Les paramètres nommés (CAR_IMSI, CAR_ENROL, CAP_PROB, THR_HIGH, THR_4EYES, TTL_FREEZE, NIGHT, VEL, DEFER) et les poids des règles vivent dans une configuration versionnée chargée par ConfigProvider. Chaque décision porte la version active. L’analyse de sensibilité (QR-4) consiste à rejouer le même jeu gelé sous plusieurs versions et à comparer. Aucun redéploiement d’image n’est requis (SQ-40).</w:t>
      </w:r>
    </w:p>
    <w:p>
      <w:pPr>
        <w:spacing w:after="100" w:line="264"/>
      </w:pPr>
      <w:r>
        <w:rPr>
          <w:rFonts w:ascii="Calibri" w:cs="Calibri" w:eastAsia="Calibri" w:hAnsi="Calibri"/>
          <w:sz w:val="21"/>
          <w:szCs w:val="21"/>
        </w:rPr>
        <w:t xml:space="preserve">Deux paramètres nommés s’ajoutent en v1.1, issus de SPIKE-3 : ANCHOR_INTERVAL (nombre d’enregistrements entre deux ancres) et ANCHOR_MAX_DELAY (durée maximale entre deux ancres). Valeurs de départ proposées : 1 000 et 10 s. Le second n’est pas un confort : à faible trafic — la nuit, précisément quand un insider agirait — un seuil exprimé en nombre d’enregistrements ne se déclenche jamais et la fenêtre de vulnérabilité devient illimitée en temps. La fenêtre est exactement égale à ANCHOR_INTERVAL : tout enregistrement postérieur à la dernière ancre peut être réécrit sans être vu.</w:t>
      </w:r>
    </w:p>
    <w:p>
      <w:pPr>
        <w:spacing w:after="100" w:line="264"/>
      </w:pPr>
      <w:r>
        <w:rPr>
          <w:rFonts w:ascii="Calibri" w:cs="Calibri" w:eastAsia="Calibri" w:hAnsi="Calibri"/>
          <w:sz w:val="21"/>
          <w:szCs w:val="21"/>
        </w:rPr>
        <w:t xml:space="preserve">Fonction d’agrégation du score : demeure PROVISOIRE, ADR-016. C’est la seule décision encore ouverte du document, et elle ne dépendait d’aucun spike : elle se tranche sur le jeu de développement avant le gel du jeu v1, au mois 3. Proposition — somme bornée à 100 des contributions. Alternatives à comparer : maximum des contributions (plus explicable, moins sensible aux cumuls) ; somme pondérée normalisée. Le choix se tranche sur données, pas sur préférence.</w:t>
      </w:r>
    </w:p>
    <w:p>
      <w:pPr>
        <w:pStyle w:val="Heading1"/>
        <w:spacing w:after="140" w:before="320"/>
      </w:pPr>
      <w:r>
        <w:rPr>
          <w:rFonts w:ascii="Calibri" w:cs="Calibri" w:eastAsia="Calibri" w:hAnsi="Calibri"/>
        </w:rPr>
        <w:t xml:space="preserve">13. Vue déploiement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Topologie</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Docker Compose, une seule machine (C-05) : postgres, isc-core, isc-pdp, isc-console. Les outils Python s’exécutent en conteneurs éphémères sur le même réseau.</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Réseau</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réseau Docker interne isolé, sans accès sortant ; seuls la console et les ports d’outillage sont exposés à l’hôte (C-03, ENF-07).</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Application Android</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Installée sur deux appareils physiques ; joint isc-core par le réseau local de démonstration.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Certificats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Autorité locale P-256 générée automatiquement au premier démarrage, réutilisée ensuite ; régénérée si le volume est supprimé. Certificats montés en volume, validité un an, aucun secret versionné — vérifié par commande sur le dépôt et sur les images. Une porte de validité dans check-stack DOIT échouer avant expiration. FERME (SPIKE-4, ADR-021).</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Démarrage</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make up démarre la pile ; make demo-attack, make demo-defend, make evaluate constituent les trois commandes de démonstration (ENF-04, SQ-11).</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Données de démonstration</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Jeu réduit chargé au démarrage pour que la console ne soit jamais vide devant le jury ; distinct du jeu gelé v1.</w:t>
            </w:r>
          </w:p>
        </w:tc>
      </w:tr>
    </w:tbl>
    <w:p>
      <w:pPr>
        <w:spacing w:after="80"/>
      </w:pPr>
    </w:p>
    <w:p>
      <w:pPr>
        <w:pStyle w:val="Heading1"/>
        <w:spacing w:after="140" w:before="320"/>
      </w:pPr>
      <w:r>
        <w:rPr>
          <w:rFonts w:ascii="Calibri" w:cs="Calibri" w:eastAsia="Calibri" w:hAnsi="Calibri"/>
        </w:rPr>
        <w:t xml:space="preserve">14. Concepts transverses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Concept</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Règle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Identifiants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UUID v4 pour transactions, décisions, gels. Le decisionId est généré par le cœur et porté de bout en bout : il corrèle transaction, décision, audit, journaux et événements console (ENF-06).</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Journalisation applicative</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JSON structuré, un champ decisionId systématique ; distincte du journal d’audit, qui est une preuve et non un journal technique.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Gestion des erreurs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Toute erreur du PDP est une non-décision : le cœur applique la politique fail-closed. Aucun code d’erreur ne peut être interprété comme un ALLOW implicite.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Internationalisation</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Français par défaut pour l’application et la console (EF-26, EF-38) ; les identifiants techniques et le code restent en anglais.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Explicabilité</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Chaque règle expose un libellé en langage naturel stocké avec la décision ; la console n’invente jamais d’explication (SQ-10).</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Tests d’architecture</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Des règles automatisées vérifient en CI : aucune lecture d’horloge statique, aucune dépendance du RuleEngine vers l’infrastructure, aucun accès croisé entre schémas.</w:t>
            </w:r>
          </w:p>
        </w:tc>
      </w:tr>
    </w:tbl>
    <w:p>
      <w:pPr>
        <w:spacing w:after="80"/>
      </w:pPr>
    </w:p>
    <w:p>
      <w:pPr>
        <w:pStyle w:val="Heading1"/>
        <w:spacing w:after="140" w:before="320"/>
      </w:pPr>
      <w:r>
        <w:rPr>
          <w:rFonts w:ascii="Calibri" w:cs="Calibri" w:eastAsia="Calibri" w:hAnsi="Calibri"/>
        </w:rPr>
        <w:t xml:space="preserve">15. Décisions d’architecture (ADR)</w:t>
      </w:r>
    </w:p>
    <w:p>
      <w:pPr>
        <w:spacing w:after="100" w:line="264"/>
      </w:pPr>
      <w:r>
        <w:rPr>
          <w:rFonts w:ascii="Calibri" w:cs="Calibri" w:eastAsia="Calibri" w:hAnsi="Calibri"/>
          <w:sz w:val="21"/>
          <w:szCs w:val="21"/>
        </w:rPr>
        <w:t xml:space="preserve">Règle : chaque ADR expose le contexte, la décision, les alternatives rejetées et pourquoi, les conséquences. La colonne des alternatives est celle qu’un relecteur senior lit en premier. Les ADR complets vivent dans docs/01-decisions/ ; ce tableau en est l’index normatif.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350"/>
        <w:gridCol w:w="4200"/>
        <w:gridCol w:w="16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23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Alternatives rejetées et motif</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PDP séparé appelé par le cœur avant commit ; décision graduée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Bibliothèque embarquée dans le cœur : ne démontre pas le découplage, rend le contrat invisible au jury. Post-traitement asynchrone : ne peut pas empêcher une transaction.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 en veto, comportemental en score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comportemental : AC-03 et AC-11 non couverts. Tout cryptographique : ne protège pas l’USSD ni AC-01.</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Stack imposée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Flutter/React Native : masquent le Keystore, affaiblissent l’argument cryptographique. Node pour le PDP : moins crédible en contexte bancaire. MongoDB : pas de garanties transactionnelles utiles ici.</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(écart de méthode assumé : antérieur aux exigences)</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Poste attaquant : CLI + chronologie en console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web attaquant seule : paraît artificielle. CLI seul : illisible pour un jury non technique.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ML en évaluateur ombre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ML dans le chemin de décision : détruit l’explicabilité (rang 1 des qualités) et empêche la comparaison loyale.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du code par outillage sous spécification et revue du candidat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Implémentation manuelle intégrale : incompatible avec le périmètre en 7 mois à une personne.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Fail-closed au-dessus de CAP_PROB si PDP indisponible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Fail-open : crée une fenêtre d’attaque triviale (AC-12). Fail-closed total : bloque les micro-paiements sans gain de sécurité proportionné.</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Agent complice dans le modèle de menace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L’exclure : décrirait un pays qui n’existe pas (sources MINPOSTEL, Financial Afrik).</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ADR-009</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Journal d’audit par chaînage d’empreintes</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Blockchain : théâtre technique, coût sans gain dans un sandbox mono-organisation. Journal applicatif simple : ne prouve rien.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RENVERSÉ (v1.2) : révocation IMMÉDIATE de l’ancienne clé</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révocation différée (v1.0) ne servait qu’à la confirmation ou l’annulation par l’ancien dispositif. Un ancien appareil volé est aux mains de l’attaquant : lui laisser un pouvoir d’approbation est une faille. Constat 2 d’ISC-AMD-01.</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(renversé)</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Probation indifférente au motif de remplacement de SIM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Utiliser le motif saisi par l’agent : un agent complice saisit le motif qu’il veut.</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 PROBATION plafonnée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FROZEN total 72 h : friction inacceptable pour un vol de téléphone légitime, incompatible avec H4.</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RENVERSÉ (v1.2) : aiguillage sur la seule présence d’une clé (ES-17b)</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Le refus du premier enrôlement sous CAR_IMSI (v1.0) pénalisait la victime légitime qui refait sa puce après un vol : le serveur ne peut pas distinguer une reconduction légitime d’une frauduleuse. L’attaquant qui s’enrôle reste borné par la probation transactionnelle (ES-01b). Constat 4.</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(renversé)</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 application, la signature remplace l’OTP</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Conserver l’OTP en plus : maintient un vecteur d’ingénierie sociale sans gain, contraire à [N2].</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PÉRIMÈTRE RÉDUIT (v1.2) : contacts de confiance retirés du parcours applicatif</w:t>
            </w:r>
            <w:r>
              <w:rPr>
                <w:b/>
                <w:color w:val="C00000"/>
              </w:rPr>
              <w:t xml:space="preserve"> [ABANDONNÉ (voir REGISTRE_DECISIONS)]</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Le code de récupération (ADR-029) rend le parcours applicatif autonome. Le rôle des contacts sur le canal USSD, seule voie hors-bande possible sans smartphone, est DIFFÉRÉ (QO-19).</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(réduit)</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Fonction d’agrégation du score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Somme bornée proposée ; maximum et somme pondérée à comparer sur données.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 seule décision ouverte ; se tranche au mois 3</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Injection HTTP par lots de 1 000</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Appel HTTP unitaire : 97 tx/s, ≈ 86 min — écarté par mesure. Appel direct : débit comparable mais perd la fidélité du processus séparé et du réseau.</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ECDSA P-256 / SHA-256, canonical à ordre fixe, DER base64</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Ed25519 écarté par prudence ; RSA écarté (taille et latence) ; JSON sérialisé écarté (non déterministe, prouvé).</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ADR-019</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Clock + VirtualClock ; instant en paramètre ; échéances à la lecture ; obligation de pureté</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Horloge statique : règles intestables. Ordonnanceur : inutile, mesuré. Compteur incrémental : plus rapide mais évaluation irreproductible.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(SPIKE-2)</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Journal INSERT seul, GENERATED ALWAYS, index d’ordre dans le verrou, REVOKE EXECUTE FROM PUBLIC, ancre signée hors base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Contrôle applicatif seul : contournable. Chaîne de blocs : théâtre technique. Index hors verrou : 4 589 fausses ruptures sur 5 000.</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 — plafond 133/s</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mTLS, autorité locale, rejet au handshake, connexions persistantes, vérification chaîne ET nom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Jeton partagé : authentifie dans un seul sens. Refus applicatif : expose le service. Connexion neuve : 65,8 ms contre 1,7 ms.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(SPIKE-4)</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VM Ubuntu Server 24.04 sous VirtualBox, démonstration locale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Docker sur l’hôte : non reproductible. Serveur distant : dépendance au réseau de la salle.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Portes légères hébergées, portes lourdes dans la VM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Tout sur exécuteurs hébergés : mesures sans valeur publiable.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d’images local</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public : contraire à C-03.</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Aucun runtime applicatif dans la VM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Runtimes installés : divergence de versions.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 en mode compile seul sous Windows</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Bloquer sur le bug amont ; construire par conteneur à chaque vérification.</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 obsolète au correctif amont</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Compléments au contrat : /nonce, release, états, nonce hexadécimal, horodatage UTC, UUID v4</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date-time sans motif acceptait un décalage horaire, contraire à ED-04.</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PROVISOIRE — relecture ligne à ligne requise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Tailscale comme accès d’administration</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Accès par pont seul : insuffisant en mobilité. Dépendance externe assumée ; la pile reste sans accès sortant.</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À RÉDIGER</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ADR-029</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de récupération à affichage unique comme facteur de ré-enrôlement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Confirmation par l’ancien appareil : donne au voleur le pouvoir d’approuver. Expiration automatique : récompense l’attaquant patient (T-05). Contact de confiance obligatoire : suppose une désignation que la majorité n’effectue pas. Modèle : clés à affichage unique (AWS IAM, codes de secours TOTP).</w:t>
            </w:r>
            <w:r>
              <w:rPr>
                <w:b/>
                <w:color w:val="C00000"/>
              </w:rPr>
              <w:t xml:space="preserve"> [ABANDONNÉ (voir REGISTRE_DECISIONS)]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Limitation par délai croissant sur l’appareil demandeur, jamais par verrouillage de compte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Verrouillage de compte après N échecs : transforme la protection en arme de déni de service (AC-14). Fondement : OWASP Authentication Cheat Sheet, CWE-645.</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ADR-031</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Unicité de la clé ACTIVE par compte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Appareils multiples : c’est le comportement de l’application déployée, vérifié le 31/08/2026 sur trois appareils simultanés sans notification. Propriété observable en démonstration.</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ADR-033</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Outils en Python stdlib</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Attaquant, agent HLR et simulateur sans dépendance externe : reproductibilité et lisibilité par le jury.</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Transport SMS et interception dans isc-sim, jamais dans le cœur</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Revue T2-16 : GET /sim/inbox et POST /operation dans le cœur auraient été des portes dérobées ; le cœur émet, le réseau livre ; /operation remplacé par le canal USSD réel.</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ADR-035</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Identifiants MTN : MSISDN 677 000 000 – 677 009 999, IMSI 624-01</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699 est un préfixe Orange ; cohérence avec les preuves du projet (MTN). Aucune plage fictive réservée au Cameroun : sûreté par isolement.</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(25/09/2026)</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Exposition réseau restreinte du cœur pour le téléphone physique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isc-net est fermé ; seules les routes /mobile/v1/* sont publiées sur un réseau local sans Internet, TLS avec la CA du bac à sable épinglée ; aucun conteneur supplémentaire ; pas de FCM, pas de vérification de révocation d’attestation (limites déclarées).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PROPOSÉ (QM-01)</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ADR-037</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Pile mobile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Kotlin, Jetpack Compose, Android Keystore, AndroidX Biometric, OkHttp/Retrofit, kotlinx.serialization, DataStore ; versions exactes fixées à l’échafaudage (M-05) ; aucune bibliothèque utilisée avant clôture.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PROPOSÉ</w:t>
            </w:r>
          </w:p>
        </w:tc>
      </w:tr>
    </w:tbl>
    <w:p>
      <w:pPr>
        <w:spacing w:after="80"/>
      </w:pPr>
    </w:p>
    <w:p>
      <w:pPr>
        <w:pStyle w:val="Heading1"/>
        <w:spacing w:after="140" w:before="320"/>
      </w:pPr>
      <w:r>
        <w:rPr>
          <w:rFonts w:ascii="Calibri" w:cs="Calibri" w:eastAsia="Calibri" w:hAnsi="Calibri"/>
        </w:rPr>
        <w:t xml:space="preserve">16. Traçabilité driver → structure → vérification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0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 (ISC-ADD)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 d’architecture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Vérification</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 + restrictions de PROBATION (§5, §7.5)</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T-AC-02, T-AC-04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DeviceRegistry, règle d’enrôlement consommant hlr_reassignment</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NonceStore, canonical à ordre fixe (§8.2)</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T-AC-11</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FreezeManager, quatre-yeux, releasedBy en liste (§9.2)</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T-AC-09</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AuditLog chaîné + OB-2, OB-3, OB-4 ; ancre signée hors base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SPIKE-3 : 8 tentatives refusées, 6 altérations localisées, réécriture complète vue par l’ancre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SQ-10</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et decision_rule persistés ; explication stockée, jamais recalculée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Démonstration jury</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SQ-11, SQ-12</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Docker Compose une machine, trois commandes make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Répétition chronométrée, essai par un tiers</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SQ-20, SQ-21</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Clock + test d’architecture interdisant l’horloge statique (§11, §14)</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SPIKE-2, ArchUnit en CI</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SQ-30, SQ-31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PdpClient, connexions persistantes (OB-6), délai, disjoncteur, fail-closed</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SPIKE-4 : 1,7 ms p95 ; SPIKE-5 : plafond audit 133/s, marge ×2,6 sur SQ-30</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SQ-40, SQ-43</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ConfigProvider, config_version, version portée par chaque décision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Analyse de sensibilité</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SQ-41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RuleEngine à registre, une règle = une classe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Tests unitaires par règle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ShadowEvaluator hors chemin de décision, shadow_prediction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EVAL-03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RA-05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la transaction (§7.4)</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Tests d’expiration et de redémarrage</w:t>
            </w:r>
          </w:p>
        </w:tc>
      </w:tr>
    </w:tbl>
    <w:p>
      <w:pPr>
        <w:spacing w:after="80"/>
      </w:pPr>
    </w:p>
    <w:p>
      <w:pPr>
        <w:pStyle w:val="Heading1"/>
        <w:spacing w:after="140" w:before="320"/>
      </w:pPr>
      <w:r>
        <w:rPr>
          <w:rFonts w:ascii="Calibri" w:cs="Calibri" w:eastAsia="Calibri" w:hAnsi="Calibri"/>
        </w:rPr>
        <w:t xml:space="preserve">17. Risques levés, risques résiduels et dette assumée</w:t>
      </w:r>
    </w:p>
    <w:p>
      <w:pPr>
        <w:pStyle w:val="Heading2"/>
        <w:spacing w:after="100" w:before="220"/>
      </w:pPr>
      <w:r>
        <w:rPr>
          <w:rFonts w:ascii="Calibri" w:cs="Calibri" w:eastAsia="Calibri" w:hAnsi="Calibri"/>
        </w:rPr>
        <w:t xml:space="preserve">17.1 Risques levés par les spikes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 de la v1.0</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Ce que la mesure a établi</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RA-01</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La signature Keystore ne se vérifie pas côté serveur</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Vérifiée sur deux appareils ; quatre cas négatifs refusés ; export de la clé privée impossible, exception citée.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RA-02</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L’horloge injectable ne traverse pas tout le moteur</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LEVÉ, mais déplacé : la règle d’architecture laissait passer quatre chemins indirects. Durcie sur dix-huit appels. La défense réelle est OB-1, qui ne dépend d’aucune énumération.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RA-03</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Le chaînage est contournable ou impossible à imposer</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Huit tentatives de modification refusées. Un chemin non anticipé a été trouvé et fermé : fonction SECURITY DEFINER exposée par PUBLIC (OB-3).</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RA-04</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mTLS coûte plus qu’il ne démontre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LEVÉ. 1,7 ms au p95 en connexions persistantes, soit 0,34 % du budget. Mais 65,8 ms en connexion neuve, d’où OB-6.</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RA-06</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Le débit du simulateur est incompatible avec l’évaluation</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pour le mode par lots : 177 s pour 500 000 transactions. CONFIRMÉ pour l’appel unitaire : ≈ 86 min, mode écarté.</w:t>
            </w:r>
          </w:p>
        </w:tc>
      </w:tr>
    </w:tbl>
    <w:p>
      <w:pPr>
        <w:spacing w:after="80"/>
      </w:pPr>
    </w:p>
    <w:p>
      <w:pPr>
        <w:pStyle w:val="Heading2"/>
        <w:spacing w:after="100" w:before="220"/>
      </w:pPr>
      <w:r>
        <w:rPr>
          <w:rFonts w:ascii="Calibri" w:cs="Calibri" w:eastAsia="Calibri" w:hAnsi="Calibri"/>
        </w:rPr>
        <w:t xml:space="preserve">17.2 Risques résiduels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Position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RA-05</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État asynchrone des transactions en attente de preuve : orphelines, doubles exécutions</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NON LEVÉ — aucun spike ne l’adressait. La machine à états de la transaction (§7.4) le modélise ; les tests d’expiration et de redémarrage du mois 4 devront le prouver.</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RA-07</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ré-enrôlement est la principale surface d’attaque résiduelle du device binding</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MIS À JOUR v1.2 : la surface est désormais couverte par ES-18 à ES-22 (code de récupération, unicité, limitation, réponses uniformes). Le risque résiduel se déplace vers la perte du code par l’utilisateur, dont la voie de résolution — vérification physique au comptoir — reste à formaliser (ISC-AMD-01 §8, point 1).</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RA-08</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Marge de ×2,6 seulement sur SQ-30 en régime en ligne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SPIKE-5 : le plafond d’écriture d’audit est de 133 par seconde, non les 2 822 de l’injection. Une règle plus coûteuse ou une VM plus chargée rapprochent du plafond.</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RA-09</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clé de signature de l’ancre vit sur la même machine que la base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SPIKE-3. Limite du MODÈLE, non du dispositif : ISC-TM §9 exclut l’adversaire qui possède le système de fichiers. En déploiement réel, la clé irait sur une machine distincte ou un module matériel.</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RA-10</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Expiration d’un certificat le jour de la soutenance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SPIKE-4. Une porte de validité dans check-stack DOIT échouer avant l’échéance.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RA-11</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niveau de refus TLS dépend du terminateur ; le spike a utilisé nginx et openssl, le produit utilisera Spring Boot</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SPIKE-4. Les quatre tentatives DOIVENT être rejouées sur le PDP réel au mois 4, avec le même tableau de niveaux.</w:t>
            </w:r>
          </w:p>
        </w:tc>
      </w:tr>
    </w:tbl>
    <w:p>
      <w:pPr>
        <w:spacing w:after="80"/>
      </w:pPr>
    </w:p>
    <w:p>
      <w:pPr>
        <w:pStyle w:val="Heading2"/>
        <w:spacing w:after="100" w:before="220"/>
      </w:pPr>
      <w:r>
        <w:rPr>
          <w:rFonts w:ascii="Calibri" w:cs="Calibri" w:eastAsia="Calibri" w:hAnsi="Calibri"/>
        </w:rPr>
        <w:t xml:space="preserve">17.3 Dette assumée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Dette</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Position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D-01</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Concentration du PDP : règles, état, gels, contacts, nonces et audit dans un seul service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En contexte industriel, l’audit serait un service séparé. Assumé au nom de C-04 et CR-05.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D-02</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Notification simulée instantanée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résultats sur AC-04 sont optimistes dans cette mesure. À énoncer comme limite dans le mémoire.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D-03</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Un seul serveur PostgreSQL</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Démontre le découplage logique, pas l’isolation physique. Assumé (C-05).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D-04</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Absence de rotation de clé de dispositif</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Hors périmètre ; travaux futurs.</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D-05</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Validité des résultats de SPIKE-3 bornée à PostgreSQL 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Toute montée de version DOIT rejouer les huit tentatives de modification.</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D-06</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Image d’injection de SPIKE-5 construite sur le poste Windows puis chargée dans la VM</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Écart à la parité exigée par ISC-DEPLOY §6.2. Sans conséquence présumée, à revérifier par reconstruction en intégration continue au mois 3.</w:t>
            </w:r>
          </w:p>
        </w:tc>
      </w:tr>
    </w:tbl>
    <w:p>
      <w:pPr>
        <w:spacing w:after="80"/>
      </w:pPr>
    </w:p>
    <w:p>
      <w:pPr>
        <w:pStyle w:val="Heading1"/>
        <w:spacing w:after="140" w:before="320"/>
      </w:pPr>
      <w:r>
        <w:rPr>
          <w:rFonts w:ascii="Calibri" w:cs="Calibri" w:eastAsia="Calibri" w:hAnsi="Calibri"/>
        </w:rPr>
        <w:t xml:space="preserve">18. Ce que ce document ne décide pas</w:t>
      </w:r>
    </w:p>
    <w:p>
      <w:pPr>
        <w:pStyle w:val="ListParagraph"/>
        <w:numPr>
          <w:ilvl w:val="0"/>
          <w:numId w:val="2"/>
        </w:numPr>
        <w:spacing w:after="60" w:line="264"/>
      </w:pPr>
      <w:r>
        <w:rPr>
          <w:rFonts w:ascii="Calibri" w:cs="Calibri" w:eastAsia="Calibri" w:hAnsi="Calibri"/>
          <w:sz w:val="21"/>
          <w:szCs w:val="21"/>
        </w:rPr>
        <w:t xml:space="preserve">Les ratios, découpages et seuils de l’évaluation : ISC-EVAL. La taille du jeu, elle, est confirmée par SPIKE-5 — ISC-EVAL §3.5 tient sans ajustement.</w:t>
      </w:r>
    </w:p>
    <w:p>
      <w:pPr>
        <w:pStyle w:val="ListParagraph"/>
        <w:numPr>
          <w:ilvl w:val="0"/>
          <w:numId w:val="2"/>
        </w:numPr>
        <w:spacing w:after="60" w:line="264"/>
      </w:pPr>
      <w:r>
        <w:rPr>
          <w:rFonts w:ascii="Calibri" w:cs="Calibri" w:eastAsia="Calibri" w:hAnsi="Calibri"/>
          <w:sz w:val="21"/>
          <w:szCs w:val="21"/>
        </w:rPr>
        <w:t xml:space="preserve">La stratégie de test détaillée et la matrice exigence → test : ISC-TEST.</w:t>
      </w:r>
    </w:p>
    <w:p>
      <w:pPr>
        <w:pStyle w:val="ListParagraph"/>
        <w:numPr>
          <w:ilvl w:val="0"/>
          <w:numId w:val="2"/>
        </w:numPr>
        <w:spacing w:after="60" w:line="264"/>
      </w:pPr>
      <w:r>
        <w:rPr>
          <w:rFonts w:ascii="Calibri" w:cs="Calibri" w:eastAsia="Calibri" w:hAnsi="Calibri"/>
          <w:sz w:val="21"/>
          <w:szCs w:val="21"/>
        </w:rPr>
        <w:t xml:space="preserve">Le processus d’ingénierie (cadence, Definition of Ready et of Done, portes CI) : ISC-PROC.</w:t>
      </w:r>
    </w:p>
    <w:p>
      <w:pPr>
        <w:pStyle w:val="ListParagraph"/>
        <w:numPr>
          <w:ilvl w:val="0"/>
          <w:numId w:val="2"/>
        </w:numPr>
        <w:spacing w:after="60" w:line="264"/>
      </w:pPr>
      <w:r>
        <w:rPr>
          <w:rFonts w:ascii="Calibri" w:cs="Calibri" w:eastAsia="Calibri" w:hAnsi="Calibri"/>
          <w:sz w:val="21"/>
          <w:szCs w:val="21"/>
        </w:rPr>
        <w:t xml:space="preserve">Le déroulé minuté de la soutenance : ISC-DEMO.</w:t>
      </w:r>
    </w:p>
    <w:p>
      <w:pPr>
        <w:pStyle w:val="ListParagraph"/>
        <w:numPr>
          <w:ilvl w:val="0"/>
          <w:numId w:val="2"/>
        </w:numPr>
        <w:spacing w:after="60" w:line="264"/>
      </w:pPr>
      <w:r>
        <w:rPr>
          <w:rFonts w:ascii="Calibri" w:cs="Calibri" w:eastAsia="Calibri" w:hAnsi="Calibri"/>
          <w:sz w:val="21"/>
          <w:szCs w:val="21"/>
        </w:rPr>
        <w:t xml:space="preserve">Les paramètres des personas du générateur : ISC-EVAL et le rapport de plausibilité.</w:t>
      </w:r>
    </w:p>
    <w:p>
      <w:pPr>
        <w:pStyle w:val="ListParagraph"/>
        <w:numPr>
          <w:ilvl w:val="0"/>
          <w:numId w:val="2"/>
        </w:numPr>
        <w:spacing w:after="60" w:line="264"/>
      </w:pPr>
      <w:r>
        <w:rPr>
          <w:rFonts w:ascii="Calibri" w:cs="Calibri" w:eastAsia="Calibri" w:hAnsi="Calibri"/>
          <w:sz w:val="21"/>
          <w:szCs w:val="21"/>
        </w:rPr>
        <w:t xml:space="preserve">La fonction d’agrégation du score (ADR-016) : seule décision d’architecture encore ouverte, à trancher sur le jeu de développement au mois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Les cinq spikes sont exécutés et leurs résultats consignés. ADR-017 à 021 sont FERMES ; ADR-016 demeure la seule décision d’architecture ouverte, et elle ne bloque pas le squelette marchant. La conception est close au sens de ce document : le développement peut commencer, à la condition que les sept obligations du §1bis soient respectées dès la première ligne de code. Aucune d’elles ne produit de symptôme visible lorsqu’elle est violée — seulement des résultats faux.</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ISC-SAD v1.3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Document d’architecture logicielle v1.1</dc:title>
  <dc:creator>IdentiShield-CM</dc:creator>
  <cp:lastModifiedBy>Un-named</cp:lastModifiedBy>
  <cp:revision>1</cp:revision>
  <dcterms:created xsi:type="dcterms:W3CDTF">2026-08-29T17:19:40.287Z</dcterms:created>
  <dcterms:modified xsi:type="dcterms:W3CDTF">2026-08-29T17:19:40.287Z</dcterms:modified>
</cp:coreProperties>
</file>

<file path=docProps/custom.xml><?xml version="1.0" encoding="utf-8"?>
<Properties xmlns="http://schemas.openxmlformats.org/officeDocument/2006/custom-properties" xmlns:vt="http://schemas.openxmlformats.org/officeDocument/2006/docPropsVTypes"/>
</file>