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0"/>
        <w:jc w:val="center"/>
      </w:pPr>
      <w:r>
        <w:rPr>
          <w:rFonts w:ascii="Calibri" w:cs="Calibri" w:eastAsia="Calibri" w:hAnsi="Calibri"/>
          <w:b/>
          <w:bCs/>
          <w:color w:val="1F3864"/>
          <w:sz w:val="60"/>
          <w:szCs w:val="60"/>
        </w:rPr>
        <w:t xml:space="preserve">IdentiShield-CM</w:t>
      </w:r>
    </w:p>
    <w:p>
      <w:pPr>
        <w:spacing w:after="380"/>
        <w:jc w:val="center"/>
      </w:pPr>
      <w:r>
        <w:rPr>
          <w:rFonts w:ascii="Calibri" w:cs="Calibri" w:eastAsia="Calibri" w:hAnsi="Calibri"/>
          <w:i/>
          <w:iCs/>
          <w:sz w:val="24"/>
          <w:szCs w:val="24"/>
        </w:rPr>
        <w:t xml:space="preserve">Secure Identity &amp; Behavioral Trust Layer for Mobile Money Platforms in Cameroon</w:t>
      </w:r>
    </w:p>
    <w:p>
      <w:pPr>
        <w:spacing w:after="120"/>
        <w:jc w:val="center"/>
      </w:pPr>
      <w:r>
        <w:rPr>
          <w:rFonts w:ascii="Calibri" w:cs="Calibri" w:eastAsia="Calibri" w:hAnsi="Calibri"/>
          <w:b/>
          <w:bCs/>
          <w:sz w:val="34"/>
          <w:szCs w:val="34"/>
        </w:rPr>
        <w:t xml:space="preserve">CAHIER DES CHARGES</w:t>
      </w:r>
    </w:p>
    <w:p>
      <w:pPr>
        <w:spacing w:after="460"/>
        <w:jc w:val="center"/>
      </w:pPr>
      <w:r>
        <w:rPr>
          <w:rFonts w:ascii="Calibri" w:cs="Calibri" w:eastAsia="Calibri" w:hAnsi="Calibri"/>
          <w:sz w:val="21"/>
          <w:szCs w:val="21"/>
        </w:rPr>
        <w:t xml:space="preserve">Software Requirements Specification — structure ISO/IEC/IEEE 29148:2018, amendée pour un projet de recherche en sécurité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6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Valeur</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Identifiant</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ISC-SRS-FR</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Version</w:t>
            </w:r>
          </w:p>
        </w:tc>
        <w:tc>
          <w:tcPr>
            <w:tcW w:type="dxa" w:w="6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1.4</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Statut</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REVIEW — soumis au candidat (propriétaire) et au superviseur académique</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Date</w:t>
            </w:r>
          </w:p>
        </w:tc>
        <w:tc>
          <w:tcPr>
            <w:tcW w:type="dxa" w:w="6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25 septembre 2026</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Auteur</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Encadrement technique (rédaction) ; YENGUE MESSAH KATE YVANA (propriétaire : valide ou amende chaque exigence)</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Superviseur académique</w:t>
            </w:r>
          </w:p>
        </w:tc>
        <w:tc>
          <w:tcPr>
            <w:tcW w:type="dxa" w:w="6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Engr. Moune Daniel, ICT University, Yaoundé</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Documents amont</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ISC-CHARTE v0.1 (dossier de cadrage) ; ISC-TM v1.1 (modèle de menace) ; journal de défauts de la revue v1.1</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Documents aval</w:t>
            </w:r>
          </w:p>
        </w:tc>
        <w:tc>
          <w:tcPr>
            <w:tcW w:type="dxa" w:w="6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ISC-SAD ; ISC-EVAL ; ISC-TEST ; ISC-DEMO ; mémoire</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Langues</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Ce document existe en français (ISC-SRS-FR) et en anglais (ISC-SRS-EN). En cas de divergence, la version française fait foi jusqu’à décision contraire du superviseur.</w:t>
            </w:r>
          </w:p>
        </w:tc>
      </w:tr>
    </w:tbl>
    <w:p>
      <w:pPr>
        <w:spacing w:after="80"/>
      </w:pPr>
    </w:p>
    <w:p>
      <w:pPr>
        <w:pStyle w:val="Heading3"/>
        <w:spacing w:after="80" w:before="160"/>
      </w:pPr>
      <w:r>
        <w:rPr>
          <w:rFonts w:ascii="Calibri" w:cs="Calibri" w:eastAsia="Calibri" w:hAnsi="Calibri"/>
        </w:rPr>
        <w:t xml:space="preserve">Historique des révisions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400"/>
        <w:gridCol w:w="55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Version</w:t>
            </w:r>
          </w:p>
        </w:tc>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Date</w:t>
            </w:r>
          </w:p>
        </w:tc>
        <w:tc>
          <w:tcPr>
            <w:tcW w:type="dxa" w:w="1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Auteur</w:t>
            </w:r>
          </w:p>
        </w:tc>
        <w:tc>
          <w:tcPr>
            <w:tcW w:type="dxa" w:w="5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Modification</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1.0</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20/08/2026</w:t>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Encadrement</w:t>
            </w:r>
          </w:p>
        </w:tc>
        <w:tc>
          <w:tcPr>
            <w:tcW w:type="dxa" w:w="5500"/>
            <w:tcMar>
              <w:top w:type="dxa" w:w="50"/>
              <w:left w:type="dxa" w:w="90"/>
              <w:bottom w:type="dxa" w:w="50"/>
              <w:right w:type="dxa" w:w="90"/>
            </w:tcMar>
          </w:tcPr>
          <w:p>
            <w:pPr>
              <w:spacing w:after="30" w:line="240"/>
            </w:pPr>
            <w:r>
              <w:rPr>
                <w:rFonts w:ascii="Calibri" w:cs="Calibri" w:eastAsia="Calibri" w:hAnsi="Calibri"/>
                <w:sz w:val="18"/>
                <w:szCs w:val="18"/>
              </w:rPr>
              <w:t xml:space="preserve">Première rédaction complète.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1.1</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20/08/2026</w:t>
            </w:r>
          </w:p>
        </w:tc>
        <w:tc>
          <w:tcPr>
            <w:tcW w:type="dxa" w:w="1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Encadrement</w:t>
            </w:r>
          </w:p>
        </w:tc>
        <w:tc>
          <w:tcPr>
            <w:tcW w:type="dxa" w:w="5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Audit de complétude : ajout interfaces externes (§9), exigences de données (§10), cas d’utilisation détaillés (§6bis), sous-système de notification, remplacement légitime de SIM, sauvegarde des artefacts, déclaration d’usage d’outil IA, références normatives, bloc d’approbation. Éclatement des exigences non atomiques (EF-26, ES-05, ENF-08). Colonne RACI « outil » reformulée.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1.2</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20/08/2026</w:t>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Encadrement</w:t>
            </w:r>
          </w:p>
        </w:tc>
        <w:tc>
          <w:tcPr>
            <w:tcW w:type="dxa" w:w="5500"/>
            <w:tcMar>
              <w:top w:type="dxa" w:w="50"/>
              <w:left w:type="dxa" w:w="90"/>
              <w:bottom w:type="dxa" w:w="50"/>
              <w:right w:type="dxa" w:w="90"/>
            </w:tcMar>
          </w:tcPr>
          <w:p>
            <w:pPr>
              <w:spacing w:after="30" w:line="240"/>
            </w:pPr>
            <w:r>
              <w:rPr>
                <w:rFonts w:ascii="Calibri" w:cs="Calibri" w:eastAsia="Calibri" w:hAnsi="Calibri"/>
                <w:sz w:val="18"/>
                <w:szCs w:val="18"/>
              </w:rPr>
              <w:t xml:space="preserve">Revue formelle v1.1 (21 défauts). ES-01 et ES-16 RETIRÉES, remplacées par ES-01b et ES-16b (changement d’IMSI → PROBATION, carence portée par le PDP). Ajouts : ES-17 (premier enrôlement), EF-38 (langue console), EF-44 (contacts de confiance via USSD), ED-10 (localité), ED-09 plage MSISDN, ENF-17 (contenu des notifications), SQ-30 (charge), tableau des facteurs d’authentification par canal, UC-01 détaillé, définition de l’IMSI de référence, granularité du FPR, AC-13, ADR-012 à 015.</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1.4</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25/09/2026</w:t>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Encadrement</w:t>
            </w:r>
          </w:p>
        </w:tc>
        <w:tc>
          <w:tcPr>
            <w:tcW w:type="dxa" w:w="5500"/>
            <w:tcMar>
              <w:top w:type="dxa" w:w="50"/>
              <w:left w:type="dxa" w:w="90"/>
              <w:bottom w:type="dxa" w:w="50"/>
              <w:right w:type="dxa" w:w="90"/>
            </w:tcMar>
          </w:tcPr>
          <w:p>
            <w:pPr>
              <w:spacing w:after="30" w:line="240"/>
            </w:pPr>
            <w:r>
              <w:rPr>
                <w:rFonts w:ascii="Calibri" w:cs="Calibri" w:eastAsia="Calibri" w:hAnsi="Calibri"/>
                <w:sz w:val="18"/>
                <w:szCs w:val="18"/>
              </w:rPr>
              <w:t xml:space="preserve">Intégration de l’application mobile (ISC-AMD-02 v1.1) et ADR-035. Déroulé d’authentification fixé par le propriétaire : numéro puis PIN, le serveur décide ; OTP au premier enrôlement seulement ; liaison après validation. ES-19, UC-01, UC-05 réordonnés (PIN avant le code de récupération). Nouvelles : ES-25 à ES-28, ED-11. ED-09 : plage MSISDN 677 000 000 – 677 009 999 (MTN, IMSI 624-01). ED-07 : horizon 6 mois confirmé, fraude par rejeux indépendants. Paramètres ajoutés : REENROL_FREEZE, ENROL_TTL, APP_SESSION_TTL, POLL_FOREGROUND, POLL_BACKGROUND, OTP_ATTEMPTS, OTP_RESENDS, OTP_TTL ; renvoi des paramètres corrigé (config/ruleset.yaml). UC-05 A1 RETIRÉ (contredit EF-47/ADR-010 et ES-03c). Questions ouvertes QM-05, QM-14, QF-01. Propriétaire harmonisé. Rien n’est supprimé.</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1.3</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07/09/2026</w:t>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Encadrement</w:t>
            </w:r>
          </w:p>
        </w:tc>
        <w:tc>
          <w:tcPr>
            <w:tcW w:type="dxa" w:w="5500"/>
            <w:tcMar>
              <w:top w:type="dxa" w:w="50"/>
              <w:left w:type="dxa" w:w="90"/>
              <w:bottom w:type="dxa" w:w="50"/>
              <w:right w:type="dxa" w:w="90"/>
            </w:tcMar>
          </w:tcPr>
          <w:p>
            <w:pPr>
              <w:spacing w:after="30" w:line="240"/>
            </w:pPr>
            <w:r>
              <w:rPr>
                <w:rFonts w:ascii="Calibri" w:cs="Calibri" w:eastAsia="Calibri" w:hAnsi="Calibri"/>
                <w:sz w:val="18"/>
                <w:szCs w:val="18"/>
              </w:rPr>
              <w:t xml:space="preserve">Refonte du modèle d’authentification (ISC-AMD-01). Fondée sur une vérification empirique du 31/08/2026 (trois appareils, un compte, sessions simultanées, aucune notification, fonctionnement sans SIM) et sur les référentiels OWASP. RETIRÉES : ES-03, ES-03b, ES-13, ES-14, ES-17, EF-28. Remplaçantes : ES-03c, ES-13b, ES-14b, ES-17b. Nouvelles : ES-18 à ES-24 (code de récupération, facteurs de ré-enrôlement sans OTP, unicité de la clé, limitation sans déni de service, réponses uniformes, protection d’affichage, alerte), EF-45 à EF-47. Paramètres ajoutés : REENROL_ATTEMPTS, LOCK_BASE, LOCK_MAX, ALERT_REENROL, CODE_LENGTH ; CAR_ENROL retiré. ADR-010, 013 renversés ; ADR-015 réduit ; ADR-029 à 031. Contacts de confiance : retirés du parcours applicatif, DIFFÉRÉS pour l’USSD (QO-19). UC-01 et UC-05 réécrits. AC-08, AC-13 révisés ; AC-14 à AC-16 ajoutés.</w:t>
            </w:r>
          </w:p>
        </w:tc>
      </w:tr>
    </w:tbl>
    <w:p>
      <w:pPr>
        <w:spacing w:after="80"/>
      </w:pPr>
    </w:p>
    <w:p>
      <w:pPr>
        <w:pStyle w:val="Heading3"/>
        <w:spacing w:after="80" w:before="160"/>
      </w:pPr>
      <w:r>
        <w:rPr>
          <w:rFonts w:ascii="Calibri" w:cs="Calibri" w:eastAsia="Calibri" w:hAnsi="Calibri"/>
        </w:rPr>
        <w:t xml:space="preserve">Approbation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400"/>
        <w:gridCol w:w="16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Rôle</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Nom</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Décision</w:t>
            </w:r>
          </w:p>
        </w:tc>
        <w:tc>
          <w:tcPr>
            <w:tcW w:type="dxa" w:w="1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Date</w:t>
            </w:r>
          </w:p>
        </w:tc>
        <w:tc>
          <w:tcPr>
            <w:tcW w:type="dxa" w:w="1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Signature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Candidat (propriétaire)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YENGUE MESSAH KATE YVANA</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Superviseur académique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Engr. Moune Daniel</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w:r>
          </w:p>
        </w:tc>
        <w:tc>
          <w:tcPr>
            <w:tcW w:type="dxa" w:w="1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Encadrement technique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Rédigé, revu (v1.1), corrigé (v1.2), soumis</w:t>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20/08/2026</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bl>
    <w:p>
      <w:pPr>
        <w:spacing w:after="80"/>
      </w:pPr>
    </w:p>
    <w:p>
      <w:r>
        <w:br w:type="page"/>
      </w:r>
    </w:p>
    <w:p>
      <w:pPr>
        <w:pStyle w:val="Heading1"/>
      </w:pPr>
      <w:r>
        <w:rPr>
          <w:rFonts w:ascii="Calibri" w:cs="Calibri" w:eastAsia="Calibri" w:hAnsi="Calibri"/>
        </w:rPr>
        <w:t xml:space="preserve">Table des matières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rPr>
        <w:t xml:space="preserve">0. Conventions de lecture</w:t>
      </w:r>
    </w:p>
    <w:p>
      <w:pPr>
        <w:spacing w:after="100" w:line="264"/>
      </w:pPr>
      <w:r>
        <w:rPr>
          <w:rFonts w:ascii="Calibri" w:cs="Calibri" w:eastAsia="Calibri" w:hAnsi="Calibri"/>
          <w:sz w:val="21"/>
          <w:szCs w:val="21"/>
        </w:rPr>
        <w:t xml:space="preserve">Vocabulaire normatif (RFC 2119 / ISO 29148) : DOIT = obligatoire ; DEVRAIT = recommandé, tout écart justifié par écrit ; PEUT = optionnel. Priorité MoSCoW : M (Must), S (Should), C (Could), W (Won’t, cette version). Méthode de vérification : T = test automatisé ; D = démonstration ; I = inspection ; A = analyse ou mesure.</w:t>
      </w:r>
    </w:p>
    <w:p>
      <w:pPr>
        <w:spacing w:after="100" w:line="264"/>
      </w:pPr>
      <w:r>
        <w:rPr>
          <w:rFonts w:ascii="Calibri" w:cs="Calibri" w:eastAsia="Calibri" w:hAnsi="Calibri"/>
          <w:sz w:val="21"/>
          <w:szCs w:val="21"/>
        </w:rPr>
        <w:t xml:space="preserve">Familles d’identifiants : EF (fonctionnelle), ES (sécurité, tracée vers un cas d’abus AC), ENF (non fonctionnelle), EAR (artefacts de recherche), ED (données), EI (interface), CT (contrainte), UC (cas d’utilisation), AC (cas d’abus), QR/H (question de recherche / hypothèse), R (risque), L (livrable), CR (critère de recette), ADR (décision d’architecture).</w:t>
      </w:r>
    </w:p>
    <w:p>
      <w:pPr>
        <w:spacing w:after="100" w:line="264"/>
      </w:pPr>
      <w:r>
        <w:rPr>
          <w:rFonts w:ascii="Calibri" w:cs="Calibri" w:eastAsia="Calibri" w:hAnsi="Calibri"/>
          <w:sz w:val="21"/>
          <w:szCs w:val="21"/>
        </w:rPr>
        <w:t xml:space="preserve">Une exigence RETIRÉE conserve son identifiant, est marquée comme telle avec le défaut qui l’a retirée, et est remplacée par un nouvel identifiant suffixé (ex. ES-01b). Rien n’est supprimé.</w:t>
      </w:r>
    </w:p>
    <w:p>
      <w:pPr>
        <w:spacing w:after="100" w:line="264"/>
      </w:pPr>
      <w:r>
        <w:rPr>
          <w:rFonts w:ascii="Calibri" w:cs="Calibri" w:eastAsia="Calibri" w:hAnsi="Calibri"/>
          <w:sz w:val="21"/>
          <w:szCs w:val="21"/>
        </w:rPr>
        <w:t xml:space="preserve">Règle d’atomicité : une exigence = une obligation = une priorité = une méthode de vérification. Les paramètres nommés (CAR_IMSI, CAP_PROB, THR_HIGH, THR_4EYES, TTL_FREEZE, NIGHT, VEL, DEFER, ANCHOR_INTERVAL, ANCHOR_MAX_DELAY, REENROL_ATTEMPTS, LOCK_BASE, LOCK_MAX, ALERT_REENROL, CODE_LENGTH ; CAR_ENROL retiré en v1.3) </w:t>
      </w:r>
      <w:r>
        <w:rPr>
          <w:rFonts w:ascii="Calibri" w:cs="Calibri" w:eastAsia="Calibri" w:hAnsi="Calibri"/>
          <w:sz w:val="21"/>
          <w:szCs w:val="21"/>
          <w:strike/>
        </w:rPr>
        <w:t xml:space="preserve">sont définis dans ISC-TM §7</w:t>
      </w:r>
      <w:r>
        <w:rPr>
          <w:rFonts w:ascii="Calibri" w:cs="Calibri" w:eastAsia="Calibri" w:hAnsi="Calibri"/>
          <w:sz w:val="21"/>
          <w:szCs w:val="21"/>
        </w:rPr>
        <w:t xml:space="preserve"> sont définis, avec leurs valeurs, dans config/ruleset.yaml (ISC-TM §7 ne les définissait pas : renvoi corrigé en v1.4). Ajoutés en v1.4 : REENROL_FREEZE, ENROL_TTL, APP_SESSION_TTL, POLL_FOREGROUND, POLL_BACKGROUND, OTP_ATTEMPTS, OTP_RESENDS, OTP_TTL ; LOCK_MAX est réglable par le propriétaire (par exemple 24 h). CAR_ENROL, retiré, est aussi retiré de ruleset.yaml</w:t>
      </w:r>
      <w:r>
        <w:rPr>
          <w:rFonts w:ascii="Calibri" w:cs="Calibri" w:eastAsia="Calibri" w:hAnsi="Calibri"/>
          <w:sz w:val="21"/>
          <w:szCs w:val="21"/>
        </w:rPr>
        <w:t xml:space="preserve"> ; ce document les référence par nom, jamais par valeur.</w:t>
      </w:r>
    </w:p>
    <w:p>
      <w:pPr>
        <w:pStyle w:val="Heading3"/>
        <w:spacing w:after="80" w:before="160"/>
      </w:pPr>
      <w:r>
        <w:rPr>
          <w:rFonts w:ascii="Calibri" w:cs="Calibri" w:eastAsia="Calibri" w:hAnsi="Calibri"/>
        </w:rPr>
        <w:t xml:space="preserve">Références normatives et informatives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Réf.</w:t>
            </w:r>
          </w:p>
        </w:tc>
        <w:tc>
          <w:tcPr>
            <w:tcW w:type="dxa" w:w="8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Document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[N1]</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ISO/IEC/IEEE 29148:2018 — Systems and software engineering — Life cycle processes — Requirements engineering.</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[N2]</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NIST SP 800-63B, Digital Identity Guidelines: Authentication and Lifecycle Management (rev 3, 2017 ; rev 4, 2024) — §5.1.3.3 (PSTN restreint), §6.1.2 (liaison d’un nouvel authentifiant).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[N3]</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GSMA Open Gateway / CAMARA — Sim Swap API, Device Swap API.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[N4]</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RFC 2119 — Key words for use in RFCs to Indicate Requirement Levels.</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[N5]</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Microsoft Security Development Lifecycle — Threat Modeling (STRIDE).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[I1]</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Loi n° 2010/012 du 21 décembre 2010 relative à la cybersécurité et la cybercriminalité au Cameroun.</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[I2]</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Loi camerounaise de 2024 relative à la protection des données à caractère personnel (numéro exact à vérifier avant citation).</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[I3]</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Safaricom, communiqué du 9 novembre 2021, mesures anti-SIM swap.</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[I4]</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MoMTSim — A labeled synthetic mobile money transaction dataset (2025) ; PaySim (Lopez-Rojas et al., 2016).</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[I5]</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Sayibu et al., Fraud Prediction and Prevention in MMPS: A Systematic Literature Review (2025).</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[I6]</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MINPOSTEL, « Arnaque via Mobile Money — la riposte du Ministre » ; FHNW, Mobile Money &amp; Social Engineering in Cameroon (2025).</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[I7]</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ISC-CHARTE v0.1 ; ISC-TM v1.1 ; journal de défauts ISC-SRS v1.1.</w:t>
            </w:r>
          </w:p>
        </w:tc>
      </w:tr>
    </w:tbl>
    <w:p>
      <w:pPr>
        <w:spacing w:after="80"/>
      </w:pPr>
    </w:p>
    <w:p>
      <w:pPr>
        <w:pStyle w:val="Heading1"/>
        <w:spacing w:after="140" w:before="320"/>
      </w:pPr>
      <w:r>
        <w:rPr>
          <w:rFonts w:ascii="Calibri" w:cs="Calibri" w:eastAsia="Calibri" w:hAnsi="Calibri"/>
        </w:rPr>
        <w:t xml:space="preserve">PARTIE I — CADRAGE</w:t>
      </w:r>
    </w:p>
    <w:p>
      <w:pPr>
        <w:pStyle w:val="Heading2"/>
        <w:spacing w:after="100" w:before="220"/>
      </w:pPr>
      <w:r>
        <w:rPr>
          <w:rFonts w:ascii="Calibri" w:cs="Calibri" w:eastAsia="Calibri" w:hAnsi="Calibri"/>
        </w:rPr>
        <w:t xml:space="preserve">1. Résumé exécutif</w:t>
      </w:r>
    </w:p>
    <w:p>
      <w:pPr>
        <w:spacing w:after="100" w:line="264"/>
      </w:pPr>
      <w:r>
        <w:rPr>
          <w:rFonts w:ascii="Calibri" w:cs="Calibri" w:eastAsia="Calibri" w:hAnsi="Calibri"/>
          <w:sz w:val="21"/>
          <w:szCs w:val="21"/>
        </w:rPr>
        <w:t xml:space="preserve">Les plateformes de Mobile Money au Cameroun authentifient une transaction par PIN et OTP SMS. L’OTP prouve la possession du numéro, pas l’identité : un échange de SIM (SIM swap), obtenu par ingénierie sociale ou agent complice, transfère ce facteur à l’attaquant. NIST SP 800-63B [N2] classe cet authentifiant comme restreint et impose de lier le numéro à un appareil physique et de traiter le changement de SIM comme indicateur de risque. IdentiShield-CM est un point de décision de politique (PDP) inséré dans le flux d’autorisation d’un opérateur simulé : il combine un veto cryptographique (clé de dispositif), un veto de transition (changement d’IMSI → probation) et un score comportemental pour rendre une décision graduée ALLOW / STEP_UP / FREEZE avant tout commit. Le changement d’IMSI place le compte en probation plafonnée plutôt qu’en blocage total, afin que la protection reste supportable pour un utilisateur dont le téléphone a été volé. Le projet livre un testbed ouvert, reproductible, calibré sur le Cameroun, couvrant les canaux application et USSD, un générateur de transactions à base d’agents et une évaluation quantifiée comparant règles et apprentissage. Durée : 7 mois. Périmètre strictement sandbox. Réussite : treize cas d’abus rejoués devant le jury, attaque réussie sans la couche, neutralisée avec, métriques régénérables par une commande.</w:t>
      </w:r>
    </w:p>
    <w:p>
      <w:pPr>
        <w:pStyle w:val="Heading2"/>
        <w:spacing w:after="100" w:before="220"/>
      </w:pPr>
      <w:r>
        <w:rPr>
          <w:rFonts w:ascii="Calibri" w:cs="Calibri" w:eastAsia="Calibri" w:hAnsi="Calibri"/>
        </w:rPr>
        <w:t xml:space="preserve">2. Contexte et justification</w:t>
      </w:r>
    </w:p>
    <w:p>
      <w:pPr>
        <w:spacing w:after="100" w:line="264"/>
      </w:pPr>
      <w:r>
        <w:rPr>
          <w:rFonts w:ascii="Calibri" w:cs="Calibri" w:eastAsia="Calibri" w:hAnsi="Calibri"/>
          <w:sz w:val="21"/>
          <w:szCs w:val="21"/>
        </w:rPr>
        <w:t xml:space="preserve">Situation actuelle : contrôle d’accès par PIN + OTP SMS sur USSD et application ; reprogrammation de SIM décrite par les acteurs comme faillible et accessible aux fraudeurs [I6]. Les opérateurs attribuent la fraude à l’ingénierie sociale ; ce projet traite les deux explications comme compatibles et ferme l’écart architectural indépendamment de la cause attribuée.</w:t>
      </w:r>
    </w:p>
    <w:p>
      <w:pPr>
        <w:spacing w:after="100" w:line="264"/>
      </w:pPr>
      <w:r>
        <w:rPr>
          <w:rFonts w:ascii="Calibri" w:cs="Calibri" w:eastAsia="Calibri" w:hAnsi="Calibri"/>
          <w:sz w:val="21"/>
          <w:szCs w:val="21"/>
        </w:rPr>
        <w:t xml:space="preserve">Coût de l’inaction : perte irréversible des fonds, absence de mécanisme de gel, érosion de la confiance dans un service porteur de l’inclusion financière.</w:t>
      </w:r>
    </w:p>
    <w:p>
      <w:pPr>
        <w:spacing w:after="100" w:line="264"/>
      </w:pPr>
      <w:r>
        <w:rPr>
          <w:rFonts w:ascii="Calibri" w:cs="Calibri" w:eastAsia="Calibri" w:hAnsi="Calibri"/>
          <w:sz w:val="21"/>
          <w:szCs w:val="21"/>
        </w:rPr>
        <w:t xml:space="preserve">Traçabilité : document de description initial (Draft v1.0) ; audit d’encadrement (8 failles, ISC-CHARTE §3) ; état de l’art (ISC-CHARTE §9) ; modèle de menace (ISC-TM).</w:t>
      </w:r>
    </w:p>
    <w:p>
      <w:pPr>
        <w:pStyle w:val="Heading2"/>
        <w:spacing w:after="100" w:before="220"/>
      </w:pPr>
      <w:r>
        <w:rPr>
          <w:rFonts w:ascii="Calibri" w:cs="Calibri" w:eastAsia="Calibri" w:hAnsi="Calibri"/>
        </w:rPr>
        <w:t xml:space="preserve">3. Objectifs SMART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3000"/>
        <w:gridCol w:w="16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3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Objectif</w:t>
            </w:r>
          </w:p>
        </w:tc>
        <w:tc>
          <w:tcPr>
            <w:tcW w:type="dxa" w:w="3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Mesure</w:t>
            </w:r>
          </w:p>
        </w:tc>
        <w:tc>
          <w:tcPr>
            <w:tcW w:type="dxa" w:w="1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Échéance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OBJ-1</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Reproduire dans le sandbox les treize cas d’abus AC-01 à AC-13, scriptés et rejouables</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13/13 exécutables par l’outil attaquant ; attaque réussie sans la couche</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M2 (AC-02 à 07), M4 (tous)</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OBJ-2</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Neutraliser par la couche tous les cas d’abus couverts par un veto</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100 % FREEZE / refus sur AC-02, 03, 05, 06, 08, 09, 10, 11, 12, 13 ; perte plafonnée à CAP_PROB sur AC-07 avec IMSI</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OBJ-3</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Quantifier la protection résiduelle du score comportemental sans veto</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Rappel, FPR, latence sur AC-01, 04, 05, 06, 07 sans IMSI, par canal et persona</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M5</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OBJ-4</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Comparer règles et modèle appris sur le même jeu</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Rappel / FPR / latence / explicabilité</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M5</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OBJ-5</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Livrer un testbed reproductible</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Démo lancée en une commande en &lt; 10 min par un tiers</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M6</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OBJ-6</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Livrer le mémoire et soutenir</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Chapitres complets ; figures régénérables</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M7</w:t>
            </w:r>
          </w:p>
        </w:tc>
      </w:tr>
    </w:tbl>
    <w:p>
      <w:pPr>
        <w:spacing w:after="80"/>
      </w:pPr>
    </w:p>
    <w:p>
      <w:pPr>
        <w:pStyle w:val="Heading2"/>
        <w:spacing w:after="100" w:before="220"/>
      </w:pPr>
      <w:r>
        <w:rPr>
          <w:rFonts w:ascii="Calibri" w:cs="Calibri" w:eastAsia="Calibri" w:hAnsi="Calibri"/>
        </w:rPr>
        <w:t xml:space="preserve">3bis. Questions de recherche et hypothèses falsifiables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2500"/>
      </w:tblGrid>
      <w:tr>
        <w:trPr>
          <w:tblHeader/>
        </w:trPr>
        <w:tc>
          <w:tcPr>
            <w:tcW w:type="dxa" w:w="1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Question / hypothèse</w:t>
            </w:r>
          </w:p>
        </w:tc>
        <w:tc>
          <w:tcPr>
            <w:tcW w:type="dxa" w:w="2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Infirmée si</w:t>
            </w:r>
          </w:p>
        </w:tc>
      </w:tr>
      <w:tr>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QR-1 / H1</w:t>
            </w:r>
          </w:p>
        </w:tc>
        <w:tc>
          <w:tcPr>
            <w:tcW w:type="dxa" w:w="5400"/>
            <w:tcMar>
              <w:top w:type="dxa" w:w="50"/>
              <w:left w:type="dxa" w:w="90"/>
              <w:bottom w:type="dxa" w:w="50"/>
              <w:right w:type="dxa" w:w="90"/>
            </w:tcMar>
          </w:tcPr>
          <w:p>
            <w:pPr>
              <w:spacing w:after="30" w:line="240"/>
            </w:pPr>
            <w:r>
              <w:rPr>
                <w:rFonts w:ascii="Calibri" w:cs="Calibri" w:eastAsia="Calibri" w:hAnsi="Calibri"/>
                <w:sz w:val="18"/>
                <w:szCs w:val="18"/>
              </w:rPr>
              <w:t xml:space="preserve">Le device binding neutralise-t-il tous les cas d’abus par SIM swap sur le canal application ? H1 : 100 % de refus sur AC-03 et AC-11.</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Une sortie passe sans signature valide.</w:t>
            </w:r>
          </w:p>
        </w:tc>
      </w:tr>
      <w:tr>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QR-2 / H2</w:t>
            </w:r>
          </w:p>
        </w:tc>
        <w:tc>
          <w:tcPr>
            <w:tcW w:type="dxa" w:w="5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Sur USSD, quelle protection offrent les seuls signaux réseau et comportementaux ? H2 : avec IMSI, 100 % FREEZE sur AC-02, 04, 05, 06 et perte ≤ CAP_PROB sur AC-07 ; sans IMSI, rappel &gt; 70 % et FPR &lt; 5 % par persona (reporté par canal) sur AC-04, 05, 06 ; rappel ≈ 0 sur AC-07.</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Rappel &lt; 70 % ou FPR &gt; 5 % sur au moins un persona ; ou AC-07 détecté sans IMSI (biais du générateur).</w:t>
            </w:r>
          </w:p>
        </w:tc>
      </w:tr>
      <w:tr>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QR-3 / H3</w:t>
            </w:r>
          </w:p>
        </w:tc>
        <w:tc>
          <w:tcPr>
            <w:tcW w:type="dxa" w:w="5400"/>
            <w:tcMar>
              <w:top w:type="dxa" w:w="50"/>
              <w:left w:type="dxa" w:w="90"/>
              <w:bottom w:type="dxa" w:w="50"/>
              <w:right w:type="dxa" w:w="90"/>
            </w:tcMar>
          </w:tcPr>
          <w:p>
            <w:pPr>
              <w:spacing w:after="30" w:line="240"/>
            </w:pPr>
            <w:r>
              <w:rPr>
                <w:rFonts w:ascii="Calibri" w:cs="Calibri" w:eastAsia="Calibri" w:hAnsi="Calibri"/>
                <w:sz w:val="18"/>
                <w:szCs w:val="18"/>
              </w:rPr>
              <w:t xml:space="preserve">Règles ou modèle appris : meilleur compromis détection / FP / explicabilité ? H3 : écart de rappel &lt; 5 points, explicabilité supérieure pour les règles.</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Écart &gt; 5 points en faveur du ML.</w:t>
            </w:r>
          </w:p>
        </w:tc>
      </w:tr>
      <w:tr>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QR-4 / H4</w:t>
            </w:r>
          </w:p>
        </w:tc>
        <w:tc>
          <w:tcPr>
            <w:tcW w:type="dxa" w:w="5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Quelle carence post-IMSI minimise la friction à protection égale ? H4 : 72 h bloque AC-04, 24 h non ; friction &lt; 1 % des transactions légitimes.</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Friction &gt; 1 % à 72 h.</w:t>
            </w:r>
          </w:p>
        </w:tc>
      </w:tr>
      <w:tr>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QR-5 / H5</w:t>
            </w:r>
          </w:p>
        </w:tc>
        <w:tc>
          <w:tcPr>
            <w:tcW w:type="dxa" w:w="5400"/>
            <w:tcMar>
              <w:top w:type="dxa" w:w="50"/>
              <w:left w:type="dxa" w:w="90"/>
              <w:bottom w:type="dxa" w:w="50"/>
              <w:right w:type="dxa" w:w="90"/>
            </w:tcMar>
          </w:tcPr>
          <w:p>
            <w:pPr>
              <w:spacing w:after="30" w:line="240"/>
            </w:pPr>
            <w:r>
              <w:rPr>
                <w:rFonts w:ascii="Calibri" w:cs="Calibri" w:eastAsia="Calibri" w:hAnsi="Calibri"/>
                <w:sz w:val="18"/>
                <w:szCs w:val="18"/>
              </w:rPr>
              <w:t xml:space="preserve">Le fail-closed au-dessus de CAP_PROB est-il soutenable ? H5 : &lt; 2 % des transactions légitimes affectées par 10 min d’indisponibilité.</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&gt; 2 %.</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Une hypothèse infirmée est un résultat, pas un échec. Les hypothèses sont figées avant toute mesure.</w:t>
            </w:r>
          </w:p>
        </w:tc>
      </w:tr>
    </w:tbl>
    <w:p>
      <w:pPr>
        <w:pStyle w:val="Heading1"/>
        <w:spacing w:after="140" w:before="320"/>
      </w:pPr>
      <w:r>
        <w:rPr>
          <w:rFonts w:ascii="Calibri" w:cs="Calibri" w:eastAsia="Calibri" w:hAnsi="Calibri"/>
        </w:rPr>
        <w:t xml:space="preserve">PARTIE II — PÉRIMÈTRE</w:t>
      </w:r>
    </w:p>
    <w:p>
      <w:pPr>
        <w:pStyle w:val="Heading2"/>
        <w:spacing w:after="100" w:before="220"/>
      </w:pPr>
      <w:r>
        <w:rPr>
          <w:rFonts w:ascii="Calibri" w:cs="Calibri" w:eastAsia="Calibri" w:hAnsi="Calibri"/>
        </w:rPr>
        <w:t xml:space="preserve">4. Périmètre fonctionnel et limites de validité</w:t>
      </w:r>
    </w:p>
    <w:p>
      <w:pPr>
        <w:pStyle w:val="Heading3"/>
        <w:spacing w:after="80" w:before="160"/>
      </w:pPr>
      <w:r>
        <w:rPr>
          <w:rFonts w:ascii="Calibri" w:cs="Calibri" w:eastAsia="Calibri" w:hAnsi="Calibri"/>
        </w:rPr>
        <w:t xml:space="preserve">4.1 Dans le périmètre</w:t>
      </w:r>
    </w:p>
    <w:p>
      <w:pPr>
        <w:pStyle w:val="ListParagraph"/>
        <w:numPr>
          <w:ilvl w:val="0"/>
          <w:numId w:val="2"/>
        </w:numPr>
        <w:spacing w:after="60" w:line="264"/>
      </w:pPr>
      <w:r>
        <w:rPr>
          <w:rFonts w:ascii="Calibri" w:cs="Calibri" w:eastAsia="Calibri" w:hAnsi="Calibri"/>
          <w:sz w:val="21"/>
          <w:szCs w:val="21"/>
        </w:rPr>
        <w:t xml:space="preserve">Cœur opérateur simulé : comptes, soldes, HLR (MSISDN → IMSI), OTP, sessions, transferts P2P, cash-in/out, paiement marchand, facture, crédit.</w:t>
      </w:r>
    </w:p>
    <w:p>
      <w:pPr>
        <w:pStyle w:val="ListParagraph"/>
        <w:numPr>
          <w:ilvl w:val="0"/>
          <w:numId w:val="2"/>
        </w:numPr>
        <w:spacing w:after="60" w:line="264"/>
      </w:pPr>
      <w:r>
        <w:rPr>
          <w:rFonts w:ascii="Calibri" w:cs="Calibri" w:eastAsia="Calibri" w:hAnsi="Calibri"/>
          <w:sz w:val="21"/>
          <w:szCs w:val="21"/>
        </w:rPr>
        <w:t xml:space="preserve">Deux canaux : application Android native (clé de dispositif) et USSD simulé (machine à états de session).</w:t>
      </w:r>
    </w:p>
    <w:p>
      <w:pPr>
        <w:pStyle w:val="ListParagraph"/>
        <w:numPr>
          <w:ilvl w:val="0"/>
          <w:numId w:val="2"/>
        </w:numPr>
        <w:spacing w:after="60" w:line="264"/>
      </w:pPr>
      <w:r>
        <w:rPr>
          <w:rFonts w:ascii="Calibri" w:cs="Calibri" w:eastAsia="Calibri" w:hAnsi="Calibri"/>
          <w:sz w:val="21"/>
          <w:szCs w:val="21"/>
        </w:rPr>
        <w:t xml:space="preserve">PDP : registre de dispositifs, vérification de signature, détection de changement d’IMSI, moteur de règles, machine à états de confiance, décision graduée, journal d’audit chaîné.</w:t>
      </w:r>
    </w:p>
    <w:p>
      <w:pPr>
        <w:pStyle w:val="ListParagraph"/>
        <w:numPr>
          <w:ilvl w:val="0"/>
          <w:numId w:val="2"/>
        </w:numPr>
        <w:spacing w:after="60" w:line="264"/>
      </w:pPr>
      <w:r>
        <w:rPr>
          <w:rFonts w:ascii="Calibri" w:cs="Calibri" w:eastAsia="Calibri" w:hAnsi="Calibri"/>
          <w:sz w:val="21"/>
          <w:szCs w:val="21"/>
        </w:rPr>
        <w:t xml:space="preserve">Sous-système de notification simulé (SMS, push) et gestion des contacts de confiance.</w:t>
      </w:r>
    </w:p>
    <w:p>
      <w:pPr>
        <w:pStyle w:val="ListParagraph"/>
        <w:numPr>
          <w:ilvl w:val="0"/>
          <w:numId w:val="2"/>
        </w:numPr>
        <w:spacing w:after="60" w:line="264"/>
      </w:pPr>
      <w:r>
        <w:rPr>
          <w:rFonts w:ascii="Calibri" w:cs="Calibri" w:eastAsia="Calibri" w:hAnsi="Calibri"/>
          <w:sz w:val="21"/>
          <w:szCs w:val="21"/>
        </w:rPr>
        <w:t xml:space="preserve">Console opérateur / SOC : supervision, file de travail, chronologie d’attaque, intégrité du journal, page d’évaluation.</w:t>
      </w:r>
    </w:p>
    <w:p>
      <w:pPr>
        <w:pStyle w:val="ListParagraph"/>
        <w:numPr>
          <w:ilvl w:val="0"/>
          <w:numId w:val="2"/>
        </w:numPr>
        <w:spacing w:after="60" w:line="264"/>
      </w:pPr>
      <w:r>
        <w:rPr>
          <w:rFonts w:ascii="Calibri" w:cs="Calibri" w:eastAsia="Calibri" w:hAnsi="Calibri"/>
          <w:sz w:val="21"/>
          <w:szCs w:val="21"/>
        </w:rPr>
        <w:t xml:space="preserve">Outil attaquant CLI (AC-01 à AC-13) ; outil agent HLR (remplacement légitime ou complice).</w:t>
      </w:r>
    </w:p>
    <w:p>
      <w:pPr>
        <w:pStyle w:val="ListParagraph"/>
        <w:numPr>
          <w:ilvl w:val="0"/>
          <w:numId w:val="2"/>
        </w:numPr>
        <w:spacing w:after="60" w:line="264"/>
      </w:pPr>
      <w:r>
        <w:rPr>
          <w:rFonts w:ascii="Calibri" w:cs="Calibri" w:eastAsia="Calibri" w:hAnsi="Calibri"/>
          <w:sz w:val="21"/>
          <w:szCs w:val="21"/>
        </w:rPr>
        <w:t xml:space="preserve">Générateur à base d’agents calibré sur sources publiques ; évaluation règles vs ML ; sensibilité des paramètres.</w:t>
      </w:r>
    </w:p>
    <w:p>
      <w:pPr>
        <w:pStyle w:val="ListParagraph"/>
        <w:numPr>
          <w:ilvl w:val="0"/>
          <w:numId w:val="2"/>
        </w:numPr>
        <w:spacing w:after="60" w:line="264"/>
      </w:pPr>
      <w:r>
        <w:rPr>
          <w:rFonts w:ascii="Calibri" w:cs="Calibri" w:eastAsia="Calibri" w:hAnsi="Calibri"/>
          <w:sz w:val="21"/>
          <w:szCs w:val="21"/>
        </w:rPr>
        <w:t xml:space="preserve">Documentation : SRS, SAD, protocole d’évaluation, stratégie de test, script de démo, mémoire.</w:t>
      </w:r>
    </w:p>
    <w:p>
      <w:pPr>
        <w:pStyle w:val="Heading3"/>
        <w:spacing w:after="80" w:before="160"/>
      </w:pPr>
      <w:r>
        <w:rPr>
          <w:rFonts w:ascii="Calibri" w:cs="Calibri" w:eastAsia="Calibri" w:hAnsi="Calibri"/>
        </w:rPr>
        <w:t xml:space="preserve">4.2 Hors périmètre</w:t>
      </w:r>
    </w:p>
    <w:p>
      <w:pPr>
        <w:pStyle w:val="ListParagraph"/>
        <w:numPr>
          <w:ilvl w:val="0"/>
          <w:numId w:val="2"/>
        </w:numPr>
        <w:spacing w:after="60" w:line="264"/>
      </w:pPr>
      <w:r>
        <w:rPr>
          <w:rFonts w:ascii="Calibri" w:cs="Calibri" w:eastAsia="Calibri" w:hAnsi="Calibri"/>
          <w:sz w:val="21"/>
          <w:szCs w:val="21"/>
        </w:rPr>
        <w:t xml:space="preserve">Toute interaction avec un système réel (MTN MoMo, Orange Money, HLR réel, numéros réels).</w:t>
      </w:r>
    </w:p>
    <w:p>
      <w:pPr>
        <w:pStyle w:val="ListParagraph"/>
        <w:numPr>
          <w:ilvl w:val="0"/>
          <w:numId w:val="2"/>
        </w:numPr>
        <w:spacing w:after="60" w:line="264"/>
      </w:pPr>
      <w:r>
        <w:rPr>
          <w:rFonts w:ascii="Calibri" w:cs="Calibri" w:eastAsia="Calibri" w:hAnsi="Calibri"/>
          <w:sz w:val="21"/>
          <w:szCs w:val="21"/>
        </w:rPr>
        <w:t xml:space="preserve">Interception SS7 ; compromission du téléphone de la victime ; insider technique opérateur (ISC-TM §9).</w:t>
      </w:r>
    </w:p>
    <w:p>
      <w:pPr>
        <w:pStyle w:val="ListParagraph"/>
        <w:numPr>
          <w:ilvl w:val="0"/>
          <w:numId w:val="2"/>
        </w:numPr>
        <w:spacing w:after="60" w:line="264"/>
      </w:pPr>
      <w:r>
        <w:rPr>
          <w:rFonts w:ascii="Calibri" w:cs="Calibri" w:eastAsia="Calibri" w:hAnsi="Calibri"/>
          <w:sz w:val="21"/>
          <w:szCs w:val="21"/>
        </w:rPr>
        <w:t xml:space="preserve">Traçabilité aval, anti-blanchiment, outillage judiciaire ; KYC / biométrie nationale.</w:t>
      </w:r>
    </w:p>
    <w:p>
      <w:pPr>
        <w:pStyle w:val="ListParagraph"/>
        <w:numPr>
          <w:ilvl w:val="0"/>
          <w:numId w:val="2"/>
        </w:numPr>
        <w:spacing w:after="60" w:line="264"/>
      </w:pPr>
      <w:r>
        <w:rPr>
          <w:rFonts w:ascii="Calibri" w:cs="Calibri" w:eastAsia="Calibri" w:hAnsi="Calibri"/>
          <w:sz w:val="21"/>
          <w:szCs w:val="21"/>
        </w:rPr>
        <w:t xml:space="preserve">Administration des politiques du PDP en production (rôle déclaré, non démontré) ; SSO ; haute disponibilité multi-site ; déploiement commercial ; iOS.</w:t>
      </w:r>
    </w:p>
    <w:p>
      <w:pPr>
        <w:pStyle w:val="Heading3"/>
        <w:spacing w:after="80" w:before="160"/>
      </w:pPr>
      <w:r>
        <w:rPr>
          <w:rFonts w:ascii="Calibri" w:cs="Calibri" w:eastAsia="Calibri" w:hAnsi="Calibri"/>
        </w:rPr>
        <w:t xml:space="preserve">4.3 Limites de validité</w:t>
      </w:r>
    </w:p>
    <w:p>
      <w:pPr>
        <w:spacing w:after="100" w:line="264"/>
      </w:pPr>
      <w:r>
        <w:rPr>
          <w:rFonts w:ascii="Calibri" w:cs="Calibri" w:eastAsia="Calibri" w:hAnsi="Calibri"/>
          <w:sz w:val="21"/>
          <w:szCs w:val="21"/>
        </w:rPr>
        <w:t xml:space="preserve">Les métriques sont obtenues sur données synthétiques calibrées à partir de sources publiques ; elles sont indicatives. L’hypothèse H-T6 (exposition fidèle de l’événement de changement d’IMSI) conditionne la transposition au réel. AC-01 (victime consentante) est hors de portée de toute contre-mesure technique : le système ralentit et informe, il n’interdit pas. Le système ne peut pas distinguer un remplacement de SIM légitime d’une reprogrammation complice : la probation s’applique aux deux, et la friction qui en résulte est mesurée (QR-4).</w:t>
      </w:r>
    </w:p>
    <w:p>
      <w:pPr>
        <w:pStyle w:val="Heading2"/>
        <w:spacing w:after="100" w:before="220"/>
      </w:pPr>
      <w:r>
        <w:rPr>
          <w:rFonts w:ascii="Calibri" w:cs="Calibri" w:eastAsia="Calibri" w:hAnsi="Calibri"/>
        </w:rPr>
        <w:t xml:space="preserve">5. Parties prenantes et RACI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300"/>
        <w:gridCol w:w="1500"/>
        <w:gridCol w:w="1500"/>
        <w:gridCol w:w="1200"/>
      </w:tblGrid>
      <w:tr>
        <w:trPr>
          <w:tblHeader/>
        </w:trPr>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Activité</w:t>
            </w:r>
          </w:p>
        </w:tc>
        <w:tc>
          <w:tcPr>
            <w:tcW w:type="dxa" w:w="1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Candidat</w:t>
            </w:r>
          </w:p>
        </w:tc>
        <w:tc>
          <w:tcPr>
            <w:tcW w:type="dxa" w:w="1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Superviseur</w:t>
            </w:r>
          </w:p>
        </w:tc>
        <w:tc>
          <w:tcPr>
            <w:tcW w:type="dxa" w:w="1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Encadrement technique</w:t>
            </w:r>
          </w:p>
        </w:tc>
        <w:tc>
          <w:tcPr>
            <w:tcW w:type="dxa" w:w="1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Outillage IA (exécution)</w:t>
            </w:r>
          </w:p>
        </w:tc>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Jury</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Cadrage, SRS, modèle de menace</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SAD, contrat /evaluate</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Implémentation</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A</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Revue de code, tests</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 (génération)</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Protocole d’évaluation</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Exécution de l’évaluation</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Mémoire</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C (validation)</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Soutenance</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bl>
    <w:p>
      <w:pPr>
        <w:spacing w:after="80"/>
      </w:pPr>
    </w:p>
    <w:p>
      <w:pPr>
        <w:spacing w:after="100" w:line="264"/>
      </w:pPr>
      <w:r>
        <w:rPr>
          <w:rFonts w:ascii="Calibri" w:cs="Calibri" w:eastAsia="Calibri" w:hAnsi="Calibri"/>
          <w:sz w:val="21"/>
          <w:szCs w:val="21"/>
        </w:rPr>
        <w:t xml:space="preserve">R = réalise ; A = responsable ultime ; C = consulté ; I = informé. Le candidat porte seul la responsabilité de tout ce qui est présenté au jury, y compris le code généré par outillage (CT-03, ENF-15).</w:t>
      </w:r>
    </w:p>
    <w:p>
      <w:pPr>
        <w:pStyle w:val="Heading2"/>
        <w:spacing w:after="100" w:before="220"/>
      </w:pPr>
      <w:r>
        <w:rPr>
          <w:rFonts w:ascii="Calibri" w:cs="Calibri" w:eastAsia="Calibri" w:hAnsi="Calibri"/>
        </w:rPr>
        <w:t xml:space="preserve">6. Modèle métier et glossaire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Terme</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Définition</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MSISDN</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Numéro de téléphone, identifiant public du compte.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IMSI</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Identifiant de la SIM physique. Un SIM swap réassigne un MSISDN à un nouvel IMSI.</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IMSI de référence</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Dernier IMSI dont la carence CAR_IMSI est expirée sans incident ; mis à jour automatiquement à la sortie de PROBATION.</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Localité</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Identifiant entier de cellule simulée ; chaque agent possède une à trois cellules habituelles.</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HLR</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Registre d’abonnés (simulé) portant MSISDN → IMSI et l’historique des réassignations.</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Device binding</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Liaison cryptographique compte ↔ clé privée non exportable du Keystore matériel.</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PDP</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Point de décision de politique.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ALLOW / STEP_UP / FREEZE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Exécuter ; exiger une vérification supplémentaire ; suspendre en attente de levée.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Veto</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Règle déterministe imposant une décision sans passer par le score.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Score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Valeur 0–100 des règles comportementales ; seuils 40 (STEP_UP), 70 (FREEZE).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État de confiance</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TRUSTED, PROBATION, FROZEN, LOCKED. PROBATION est déclenchée par un changement d’IMSI (CAR_IMSI), un ré-enrôlement (CAR_ENROL) ou un premier enrôlement (CAR_ENROL).</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Carence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Durée de blocage ou plafonnement des sorties après un événement sensible.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Contact de confiance</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Tiers désigné pour confirmer hors-bande.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Quatre-yeux</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Deux analystes distincts au-dessus de THR_4EYES.</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Persona</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Profil d’agent simulé.</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Cas d’abus</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Cas d’utilisation du point de vue de l’attaquant (ISC-TM §8).</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Sortie sensible</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Transaction qui diminue le solde.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Mode sans couche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Mode de démonstration où le cœur n’appelle pas le PDP.</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Mode dégradé</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Comportement du cœur quand le PDP est indisponible (ES-11).</w:t>
            </w:r>
          </w:p>
        </w:tc>
      </w:tr>
    </w:tbl>
    <w:p>
      <w:pPr>
        <w:spacing w:after="80"/>
      </w:pPr>
    </w:p>
    <w:p>
      <w:pPr>
        <w:pStyle w:val="Heading3"/>
        <w:spacing w:after="80" w:before="160"/>
      </w:pPr>
      <w:r>
        <w:rPr>
          <w:rFonts w:ascii="Calibri" w:cs="Calibri" w:eastAsia="Calibri" w:hAnsi="Calibri"/>
        </w:rPr>
        <w:t xml:space="preserve">Facteurs d’authentification par canal (ADR-014)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Canal</w:t>
            </w:r>
          </w:p>
        </w:tc>
        <w:tc>
          <w:tcPr>
            <w:tcW w:type="dxa" w:w="3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Facteurs requis pour une sortie sensible</w:t>
            </w:r>
          </w:p>
        </w:tc>
        <w:tc>
          <w:tcPr>
            <w:tcW w:type="dxa" w:w="3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Justification</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USSD</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PIN + OTP (vers l’IMSI courant)</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Reproduction fidèle de la faiblesse réelle ; aucune capacité cryptographique.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Application</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PIN + signature de dispositif (clé ACTIVE) ; PAS d’OTP</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signature remplace l’OTP conformément à [N2] ; conserver l’OTP maintiendrait un vecteur d’ingénierie sociale inutile.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Enrôlement</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Premier enrôlement : PIN + OTP. Ré-enrôlement : code de récupération + PIN, jamais d’OTP (ES-19).</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L’OTP n’est sollicité qu’une seule fois dans la vie du compte, au premier enrôlement. L’aiguillage repose sur la présence d’une clé enregistrée (ES-17b).</w:t>
            </w:r>
          </w:p>
        </w:tc>
      </w:tr>
    </w:tbl>
    <w:p>
      <w:pPr>
        <w:spacing w:after="80"/>
      </w:pPr>
    </w:p>
    <w:p>
      <w:pPr>
        <w:pStyle w:val="Heading3"/>
        <w:spacing w:after="80" w:before="160"/>
      </w:pPr>
      <w:r>
        <w:rPr>
          <w:rFonts w:ascii="Calibri" w:cs="Calibri" w:eastAsia="Calibri" w:hAnsi="Calibri"/>
        </w:rPr>
        <w:t xml:space="preserve">Entités métier</w:t>
      </w:r>
    </w:p>
    <w:p>
      <w:pPr>
        <w:spacing w:after="100" w:line="264"/>
      </w:pPr>
      <w:r>
        <w:rPr>
          <w:rFonts w:ascii="Calibri" w:cs="Calibri" w:eastAsia="Calibri" w:hAnsi="Calibri"/>
          <w:sz w:val="21"/>
          <w:szCs w:val="21"/>
        </w:rPr>
        <w:t xml:space="preserve">Compte (MSISDN, solde, état de confiance, contacts de confiance) ; Abonné HLR (MSISDN, IMSI courant, historique) ; Dispositif (clé publique, état, dates) ; Transaction (type, montant, bénéficiaire, canal, horodatage serveur, décision) ; Décision (score, règles, version, latence) ; Gel (TTL, preuves, levée) ; Notification ; Analyste ; Entrée d’audit (empreinte, précédent). Le modèle logique détaillé est en §10.</w:t>
      </w:r>
    </w:p>
    <w:p>
      <w:pPr>
        <w:pStyle w:val="Heading2"/>
        <w:spacing w:after="100" w:before="220"/>
      </w:pPr>
      <w:r>
        <w:rPr>
          <w:rFonts w:ascii="Calibri" w:cs="Calibri" w:eastAsia="Calibri" w:hAnsi="Calibri"/>
        </w:rPr>
        <w:t xml:space="preserve">6bis. Cas d’utilisation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2000"/>
        <w:gridCol w:w="10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Cas d’utilisation</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Acteur</w:t>
            </w:r>
          </w:p>
        </w:tc>
        <w:tc>
          <w:tcPr>
            <w:tcW w:type="dxa" w:w="1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Canal</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UC-01</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Enrôler un appareil</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Utilisateur</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App</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UC-02</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Effectuer une sortie sensible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Utilisateur</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 / USSD</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UC-03</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Recevoir / consulter</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Utilisateur</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App / USSD</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UC-04</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Répondre à un STEP_UP</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Utilisateur, contact</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 / USSD</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UC-05</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Récupérer un compte après perte d’appareil</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Utilisateur, contact, agent KYC</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App</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UC-06</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Gérer ses contacts de confiance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Utilisateur</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UC-07</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Superviser le flux</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Analyste</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Console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UC-08</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Traiter un gel</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Analyste</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Console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UC-09</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Bloquer / débloquer un compte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Analyste</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Console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UC-10</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Vérifier l’intégrité du journal</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Analyste</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Console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UC-11</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Remplacer une SIM (légitime ou complice)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Agent opérateur (simulé)</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CLI / Console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UC-12</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Exécuter un scénario d’attaque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Attaquant (simulé)</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CLI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UC-13</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Générer et injecter un jeu de données</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Chercheur</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CLI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UC-14</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Lancer l’évaluation</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Chercheur</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CLI</w:t>
            </w:r>
          </w:p>
        </w:tc>
      </w:tr>
    </w:tbl>
    <w:p>
      <w:pPr>
        <w:spacing w:after="80"/>
      </w:pPr>
    </w:p>
    <w:p>
      <w:pPr>
        <w:pStyle w:val="Heading3"/>
        <w:spacing w:after="80" w:before="160"/>
      </w:pPr>
      <w:r>
        <w:rPr>
          <w:rFonts w:ascii="Calibri" w:cs="Calibri" w:eastAsia="Calibri" w:hAnsi="Calibri"/>
        </w:rPr>
        <w:t xml:space="preserve">UC-01 — Enrôler un premier appareil (détaillé)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Contenu</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Préconditions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Compte existant sans clé ACTIVE ; utilisateur authentifié PIN + OTP sur l’appareil.</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Flux principal</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strike/>
              </w:rPr>
              <w:t xml:space="preserve">1. L’application constate l’absence de clé dans le Keystore et transmet le numéro sans signature.</w:t>
            </w:r>
            <w:r>
              <w:rPr>
                <w:rFonts w:ascii="Calibri" w:cs="Calibri" w:eastAsia="Calibri" w:hAnsi="Calibri"/>
                <w:sz w:val="18"/>
                <w:szCs w:val="18"/>
              </w:rPr>
              <w:t xml:space="preserve"> 1. L’utilisateur saisit son numéro puis son PIN ; l’application, sans clé dans le Keystore, les transmet sans signature (aucune logique d’aiguillage dans l’application, ES-26).</w:t>
            </w:r>
            <w:r>
              <w:rPr>
                <w:rFonts w:ascii="Calibri" w:cs="Calibri" w:eastAsia="Calibri" w:hAnsi="Calibri"/>
                <w:sz w:val="18"/>
                <w:szCs w:val="18"/>
              </w:rPr>
              <w:t xml:space="preserve"> 2. Le PDP ne trouve aucune clé enregistrée → premier enrôlement (ES-17b). </w:t>
            </w:r>
            <w:r>
              <w:rPr>
                <w:rFonts w:ascii="Calibri" w:cs="Calibri" w:eastAsia="Calibri" w:hAnsi="Calibri"/>
                <w:sz w:val="18"/>
                <w:szCs w:val="18"/>
                <w:strike/>
              </w:rPr>
              <w:t xml:space="preserve">3. Le cœur émet un OTP ; l’utilisateur saisit l’OTP puis le PIN.</w:t>
            </w:r>
            <w:r>
              <w:rPr>
                <w:rFonts w:ascii="Calibri" w:cs="Calibri" w:eastAsia="Calibri" w:hAnsi="Calibri"/>
                <w:sz w:val="18"/>
                <w:szCs w:val="18"/>
              </w:rPr>
              <w:t xml:space="preserve"> 3. PIN vérifié → le cœur émet un OTP vers l’IMSI courant ; l’utilisateur saisit l’OTP. La clé n’est fabriquée qu’après validation de l’OTP (ES-25).</w:t>
            </w:r>
            <w:r>
              <w:rPr>
                <w:rFonts w:ascii="Calibri" w:cs="Calibri" w:eastAsia="Calibri" w:hAnsi="Calibri"/>
                <w:sz w:val="18"/>
                <w:szCs w:val="18"/>
              </w:rPr>
              <w:t xml:space="preserve"> 4. Génération de la paire de clés dans le Keystore ; clé publique enregistrée ACTIVE. 5. Le PDP génère le code de récupération, le transmet une seule fois et n’en conserve que l’empreinte (ES-18). 6. L’application l’affiche sur une vue protégée contre la capture (ES-23, EF-45) ; l’utilisateur confirme l’avoir noté. 7. L’état de confiance du compte reste celui déterminé par le signal réseau (ES-01b) ; aucune probation propre à l’enrôlement.</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Flux alternatifs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A1. Contact de confiance répond NON → clé supprimée, compte LOCKED. A2. Violation des restrictions de PROBATION → FREEZE.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 plus une clé ACTIVE ; transitions journalisées.</w:t>
            </w:r>
          </w:p>
        </w:tc>
      </w:tr>
    </w:tbl>
    <w:p>
      <w:pPr>
        <w:spacing w:after="80"/>
      </w:pPr>
    </w:p>
    <w:p>
      <w:pPr>
        <w:pStyle w:val="Heading3"/>
        <w:spacing w:after="80" w:before="160"/>
      </w:pPr>
      <w:r>
        <w:rPr>
          <w:rFonts w:ascii="Calibri" w:cs="Calibri" w:eastAsia="Calibri" w:hAnsi="Calibri"/>
        </w:rPr>
        <w:t xml:space="preserve">UC-02 — Effectuer une sortie sensible (détaillé)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Contenu</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Préconditions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Compte existant ; utilisateur authentifié selon le tableau des facteurs par canal ; sur app, clé ACTIVE.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Flux principal</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L’utilisateur saisit type, montant, bénéficiaire. 2. Le cœur demande un nonce au PDP (app) ou passe directement (USSD). 3. Sur app, l’application signe le canonical et envoie. 4. Le cœur appelle /evaluate. 5a. ALLOW : commit, reçu, notification. 5b. STEP_UP : UC-04. 5c. FREEZE : gel créé (TTL), notification à l’utilisateur et aux contacts de confiance, affichage console.</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Flux alternatifs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A1. Signature invalide → refus (ES-02). A2. Nonce expiré → refus, nouveau nonce. A3. PDP indisponible → mode dégradé (ES-11). A4. Compte PROBATION et montant &gt; CAP_PROB ou nouveau bénéficiaire → FREEZE (ES-04).</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Une et une seule entrée d’audit ; solde cohérent ; décision visible en console.</w:t>
            </w:r>
          </w:p>
        </w:tc>
      </w:tr>
    </w:tbl>
    <w:p>
      <w:pPr>
        <w:spacing w:after="80"/>
      </w:pPr>
    </w:p>
    <w:p>
      <w:pPr>
        <w:pStyle w:val="Heading3"/>
        <w:spacing w:after="80" w:before="160"/>
      </w:pPr>
      <w:r>
        <w:rPr>
          <w:rFonts w:ascii="Calibri" w:cs="Calibri" w:eastAsia="Calibri" w:hAnsi="Calibri"/>
        </w:rPr>
        <w:t xml:space="preserve">UC-04 — Répondre à un STEP_UP (détaillé)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Contenu</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Préconditions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Décision STEP_UP émise.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Flux principal (app)</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Notification avec détail de la transaction. 2. L’utilisateur confirme par signature (clé enrôlée). 3. /evaluate réévalue avec preuve → ALLOW ou FREEZE si une autre règle l’impose.</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Flux principal (USSD)</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Selon la politique configurée (ES-06) : P1 DEFER : transaction différée de DEFER, notification « vous êtes peut-être victime d’une arnaque », annulable par l’utilisateur ; P2 plafond : exécution si ≤ CAP_PROB sinon DEFER ; P3 contact de confiance : demande OUI/NON au contact, DEFER en repli.</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Flux alternatifs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Aucune réponse avant expiration → annulation (fail-closed). Contact répond NON → FREEZE + LOCKED proposé.</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Décision finale journalisée avec la preuve utilisée.</w:t>
            </w:r>
          </w:p>
        </w:tc>
      </w:tr>
    </w:tbl>
    <w:p>
      <w:pPr>
        <w:spacing w:after="80"/>
      </w:pPr>
    </w:p>
    <w:p>
      <w:pPr>
        <w:pStyle w:val="Heading3"/>
        <w:spacing w:after="80" w:before="160"/>
      </w:pPr>
      <w:r>
        <w:rPr>
          <w:rFonts w:ascii="Calibri" w:cs="Calibri" w:eastAsia="Calibri" w:hAnsi="Calibri"/>
        </w:rPr>
        <w:t xml:space="preserve">UC-05 — Récupérer un compte après perte d’appareil (détaillé)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Contenu</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Préconditions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strike/>
              </w:rPr>
              <w:t xml:space="preserve">Utilisateur authentifié PIN + OTP sur nouvel appareil.</w:t>
            </w:r>
            <w:r>
              <w:rPr>
                <w:rFonts w:ascii="Calibri" w:cs="Calibri" w:eastAsia="Calibri" w:hAnsi="Calibri"/>
                <w:sz w:val="18"/>
                <w:szCs w:val="18"/>
              </w:rPr>
              <w:t xml:space="preserve"> Utilisateur ayant saisi son numéro et son PIN sur le nouvel appareil ; aucun OTP (ES-19).</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Flux principal</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L’application constate l’absence de clé et transmet le numéro sans signature. 2. Le PDP trouve une clé enregistrée → ré-enrôlement (ES-17b). </w:t>
            </w:r>
            <w:r>
              <w:rPr>
                <w:rFonts w:ascii="Calibri" w:cs="Calibri" w:eastAsia="Calibri" w:hAnsi="Calibri"/>
                <w:sz w:val="18"/>
                <w:szCs w:val="18"/>
                <w:strike/>
              </w:rPr>
              <w:t xml:space="preserve">3. Le PDP demande le code de récupération ; aucun OTP n’est émis (ES-19).</w:t>
            </w:r>
            <w:r>
              <w:rPr>
                <w:rFonts w:ascii="Calibri" w:cs="Calibri" w:eastAsia="Calibri" w:hAnsi="Calibri"/>
                <w:sz w:val="18"/>
                <w:szCs w:val="18"/>
              </w:rPr>
              <w:t xml:space="preserve"> 3. PIN vérifié → le PDP demande le code de récupération ; aucun OTP n’est émis (ES-19, ordre fixé le 25/09/2026).</w:t>
            </w:r>
            <w:r>
              <w:rPr>
                <w:rFonts w:ascii="Calibri" w:cs="Calibri" w:eastAsia="Calibri" w:hAnsi="Calibri"/>
                <w:sz w:val="18"/>
                <w:szCs w:val="18"/>
              </w:rPr>
              <w:t xml:space="preserve"> 4. Code vérifié contre son empreinte ; en cas d’échec, délai croissant appliqué à l’appareil demandeur, jamais au compte (ES-21), réponse uniforme (ES-22). </w:t>
            </w:r>
            <w:r>
              <w:rPr>
                <w:rFonts w:ascii="Calibri" w:cs="Calibri" w:eastAsia="Calibri" w:hAnsi="Calibri"/>
                <w:sz w:val="18"/>
                <w:szCs w:val="18"/>
                <w:strike/>
              </w:rPr>
              <w:t xml:space="preserve">5. Code valide → demande du PIN. 6. PIN valide → nouvelle paire de clés générée</w:t>
            </w:r>
            <w:r>
              <w:rPr>
                <w:rFonts w:ascii="Calibri" w:cs="Calibri" w:eastAsia="Calibri" w:hAnsi="Calibri"/>
                <w:sz w:val="18"/>
                <w:szCs w:val="18"/>
              </w:rPr>
              <w:t xml:space="preserve"> 5–6. Code valide → nouvelle paire de clés générée (liaison après validation, ES-25)</w:t>
            </w:r>
            <w:r>
              <w:rPr>
                <w:rFonts w:ascii="Calibri" w:cs="Calibri" w:eastAsia="Calibri" w:hAnsi="Calibri"/>
                <w:sz w:val="18"/>
                <w:szCs w:val="18"/>
              </w:rPr>
              <w:t xml:space="preserve">, clé publique enregistrée ACTIVE, ancienne clé révoquée immédiatement (ES-14b, ES-20). 7. Code consommé ; nouveau code généré et affiché une seule fois sur vue protégée. 8. Notification informative à l’appareil précédent (EF-47).</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Flux alternatifs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strike/>
              </w:rPr>
              <w:t xml:space="preserve">A1. Ancien dispositif signe une annulation pendant la probation → nouvelle clé supprimée, compte LOCKED, analyste notifié.</w:t>
            </w:r>
            <w:r>
              <w:rPr>
                <w:rFonts w:ascii="Calibri" w:cs="Calibri" w:eastAsia="Calibri" w:hAnsi="Calibri"/>
                <w:sz w:val="18"/>
                <w:szCs w:val="18"/>
              </w:rPr>
              <w:t xml:space="preserve"> [RETIRÉ en v1.4 : contredit EF-47 et ADR-010 (l’appareil précédent est informé sans pouvoir d’action) et ES-03c (aucune probation propre au ré-enrôlement).]</w:t>
            </w:r>
            <w:r>
              <w:rPr>
                <w:rFonts w:ascii="Calibri" w:cs="Calibri" w:eastAsia="Calibri" w:hAnsi="Calibri"/>
                <w:sz w:val="18"/>
                <w:szCs w:val="18"/>
              </w:rPr>
              <w:t xml:space="preserve"> A2. Contact répond NON → LOCKED. A3. Agent KYC (simulé) valide en présentiel → TRUSTED, action à quatre yeux et journalisée.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 plus une clé active ; transitions journalisées.</w:t>
            </w:r>
          </w:p>
        </w:tc>
      </w:tr>
    </w:tbl>
    <w:p>
      <w:pPr>
        <w:spacing w:after="80"/>
      </w:pPr>
    </w:p>
    <w:p>
      <w:pPr>
        <w:pStyle w:val="Heading3"/>
        <w:spacing w:after="80" w:before="160"/>
      </w:pPr>
      <w:r>
        <w:rPr>
          <w:rFonts w:ascii="Calibri" w:cs="Calibri" w:eastAsia="Calibri" w:hAnsi="Calibri"/>
        </w:rPr>
        <w:t xml:space="preserve">UC-08 — Traiter un gel (détaillé)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Contenu</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Préconditions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Analyste authentifié (ES-12) ; gel en file.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Flux principal</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Consultation du contexte, du score, des règles, de l’historique. 2. Action : lever / annuler / marquer faux positif / demander second avis. 3. Justification obligatoire. 4. Si montant &gt; THR_4EYES, second analyste distinct requis avant effet. 5. Effet appliqué, audit, notification utilisateur.</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Flux alternatifs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Tentative de levée seule au-dessus du seuil → refusée, journalisée (AC-09). Expiration TTL avant action → annulation automatique.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Gel clos avec acteur(s), preuve, horodatage.</w:t>
            </w:r>
          </w:p>
        </w:tc>
      </w:tr>
    </w:tbl>
    <w:p>
      <w:pPr>
        <w:spacing w:after="80"/>
      </w:pPr>
    </w:p>
    <w:p>
      <w:pPr>
        <w:pStyle w:val="Heading3"/>
        <w:spacing w:after="80" w:before="160"/>
      </w:pPr>
      <w:r>
        <w:rPr>
          <w:rFonts w:ascii="Calibri" w:cs="Calibri" w:eastAsia="Calibri" w:hAnsi="Calibri"/>
        </w:rPr>
        <w:t xml:space="preserve">UC-11 — Remplacer une SIM (détaillé)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Contenu</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Préconditions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Agent opérateur (simulé) authentifié dans l’outil HLR.</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Flux principal</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L’agent saisit MSISDN et nouvel IMSI, motif (perte, vol, défaut) et identifiant d’agent. 2. Le HLR enregistre la réassignation avec horodatage et agent. 3. Le cœur émet l’événement « changement d’IMSI ». 4. Le PDP place le compte en PROBATION pour CAR_IMSI (ES-01b, ES-03) et notifie les contacts de confiance (ES-13).</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Flux alternatifs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Agent complice (AC-02) : flux identique ; le système ne distingue pas l’intention, d’où l’application systématique de la probation.</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Historique HLR immuable ; carence active.</w:t>
            </w:r>
          </w:p>
        </w:tc>
      </w:tr>
    </w:tbl>
    <w:p>
      <w:pPr>
        <w:spacing w:after="80"/>
      </w:pPr>
    </w:p>
    <w:p>
      <w:pPr>
        <w:pStyle w:val="Heading2"/>
        <w:spacing w:after="100" w:before="220"/>
      </w:pPr>
      <w:r>
        <w:rPr>
          <w:rFonts w:ascii="Calibri" w:cs="Calibri" w:eastAsia="Calibri" w:hAnsi="Calibri"/>
        </w:rPr>
        <w:t xml:space="preserve">6ter. Modèle de menace et cas d’abus</w:t>
      </w:r>
    </w:p>
    <w:p>
      <w:pPr>
        <w:spacing w:after="100" w:line="264"/>
      </w:pPr>
      <w:r>
        <w:rPr>
          <w:rFonts w:ascii="Calibri" w:cs="Calibri" w:eastAsia="Calibri" w:hAnsi="Calibri"/>
          <w:sz w:val="21"/>
          <w:szCs w:val="21"/>
        </w:rPr>
        <w:t xml:space="preserve">Référence normative : ISC-TM v1.1. Cinq attaquants T-01 à T-05, treize cas d’abus AC-01 à AC-13, sept exclusions, six hypothèses de confiance. Toute modification du modèle entraîne une revue de la partie III dans la semaine.</w:t>
      </w:r>
    </w:p>
    <w:p>
      <w:pPr>
        <w:pStyle w:val="Heading1"/>
        <w:spacing w:after="140" w:before="320"/>
      </w:pPr>
      <w:r>
        <w:rPr>
          <w:rFonts w:ascii="Calibri" w:cs="Calibri" w:eastAsia="Calibri" w:hAnsi="Calibri"/>
        </w:rPr>
        <w:t xml:space="preserve">PARTIE III — EXIGENCES</w:t>
      </w:r>
    </w:p>
    <w:p>
      <w:pPr>
        <w:pStyle w:val="Heading2"/>
        <w:spacing w:after="100" w:before="220"/>
      </w:pPr>
      <w:r>
        <w:rPr>
          <w:rFonts w:ascii="Calibri" w:cs="Calibri" w:eastAsia="Calibri" w:hAnsi="Calibri"/>
        </w:rPr>
        <w:t xml:space="preserve">7. Exigences fonctionnelles (EF)</w:t>
      </w:r>
    </w:p>
    <w:p>
      <w:pPr>
        <w:pStyle w:val="Heading3"/>
        <w:spacing w:after="80" w:before="160"/>
      </w:pPr>
      <w:r>
        <w:rPr>
          <w:rFonts w:ascii="Calibri" w:cs="Calibri" w:eastAsia="Calibri" w:hAnsi="Calibri"/>
        </w:rPr>
        <w:t xml:space="preserve">7.1 Cœur opérateur simulé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EF-01</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cœur DOIT gérer des comptes identifiés par MSISDN dans une plage fictive réservée, avec solde, historique et état de confiance.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UC-02, CT-02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EF-02</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cœur DOIT maintenir un HLR simulé associant chaque MSISDN à un IMSI courant et conservant l’historique des réassignations (horodatage serveur, agent, motif).</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UC-11, ES-01b</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EF-03</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cœur DOIT émettre un OTP à usage unique vers l’IMSI courant du MSISDN afin de reproduire la faiblesse réelle.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EF-04</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cœur DOIT supporter : transfert P2P, cash-in, cash-out, paiement marchand, facture, achat de crédit.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UC-02, EAR-02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EF-05</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Avant tout commit d’une sortie sensible, le cœur DOIT appeler POST /evaluate et appliquer la décision.</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ADR-001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EF-06</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cœur DOIT exposer un canal USSD simulé sous forme de machine à états de session sans capacité cryptographique côté client.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EF-07</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cœur DOIT offrir un mode sans couche pour la démonstration avant/après, affiché sans ambiguïté en console.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OBJ-1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EF-08</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cœur DOIT émettre un événement « changement d’IMSI » (horodatage du dernier changement), équivalent fonctionnel de l’API CAMARA Sim Swap [N3].</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H-T6, ES-01b</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EF-09</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cœur DOIT exposer un sous-système de notification simulé (SMS vers IMSI courant, push vers dispositif enrôlé) consultable en console et par l’app.</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ES-13, UC-04</w:t>
            </w:r>
          </w:p>
        </w:tc>
      </w:tr>
    </w:tbl>
    <w:p>
      <w:pPr>
        <w:spacing w:after="80"/>
      </w:pPr>
    </w:p>
    <w:p>
      <w:pPr>
        <w:pStyle w:val="Heading3"/>
        <w:spacing w:after="80" w:before="160"/>
      </w:pPr>
      <w:r>
        <w:rPr>
          <w:rFonts w:ascii="Calibri" w:cs="Calibri" w:eastAsia="Calibri" w:hAnsi="Calibri"/>
        </w:rPr>
        <w:t xml:space="preserve">7.2 PDP IdentiShield-CM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EF-10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exposer POST /evaluate recevant : compte, MSISDN, IMSI courant, canal, type, montant, bénéficiaire, horodatage serveur, localité, empreinte et signature de dispositif (optionnelles), nonce.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I</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EI-01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EF-11</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réponse DOIT contenir : décision, score, règles déclenchées avec contribution, action requise, identifiant de décision, version du jeu de règles.</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ES-09, OBJ-4</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EF-12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maintenir un registre de dispositifs (compte → clés publiques, état PENDING/ACTIVE/REVOKED, dates).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EF-13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PDP DOIT implémenter la machine à états TRUSTED / PROBATION / FROZEN / LOCKED et journaliser chaque transition avec sa cause.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I</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ES-04</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EF-14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émettre des nonces serveur (GET /nonce).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ES-10</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EF-15</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PDP DOIT gérer le cycle de vie des gels : création avec TTL, levée (acteur, preuve), annulation à expiration, notification.</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ES-07, ES-08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EF-16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gérer les contacts de confiance : enregistrement, demande, réponse, expiration.</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ES-06, ES-13</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EF-17</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PDP DOIT charger règles et paramètres depuis une configuration versionnée ; la version DOIT figurer dans chaque décision.</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EAR-05</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EF-18</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accepter une horloge injectable (temps réel ou virtuel).</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I</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ENF-11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EF-19</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PDP PEUT exposer un évaluateur ombre (modèle appris) appelé sur le même contexte sans influence sur la décision, et journaliser sa prédiction à côté de la décision.</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QR-3</w:t>
            </w:r>
          </w:p>
        </w:tc>
      </w:tr>
    </w:tbl>
    <w:p>
      <w:pPr>
        <w:spacing w:after="80"/>
      </w:pPr>
    </w:p>
    <w:p>
      <w:pPr>
        <w:pStyle w:val="Heading3"/>
        <w:spacing w:after="80" w:before="160"/>
      </w:pPr>
      <w:r>
        <w:rPr>
          <w:rFonts w:ascii="Calibri" w:cs="Calibri" w:eastAsia="Calibri" w:hAnsi="Calibri"/>
        </w:rPr>
        <w:t xml:space="preserve">7.3 Application Android</w:t>
      </w:r>
    </w:p>
    <w:p>
      <w:pPr>
        <w:spacing w:after="80"/>
        <w:jc w:val="both"/>
      </w:pPr>
      <w:r>
        <w:rPr>
          <w:rFonts w:ascii="Calibri" w:cs="Calibri" w:eastAsia="Calibri" w:hAnsi="Calibri"/>
          <w:sz w:val="18"/>
          <w:szCs w:val="18"/>
        </w:rPr>
        <w:t xml:space="preserve">Les exigences détaillées de l’application mobile sont spécifiées dans ISC-MOB-CDC v1.1 (MOB-F, MOB-S, MOB-NF) et ISC-MOB-SPEC v1.1 (flux, diagrammes de séquence, écrans, contrat d’API) ; le présent document les référence sans les recopier. Déroulé fixé par le propriétaire le 25/09/2026 : numéro, puis PIN, puis le serveur décide ; OTP au premier enrôlement seulement ; liaison après validation ; ré-enrôlement par code de récupération.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EF-20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générer à l’enrôlement une paire de clés asymétrique non exportable dans le Keystore matériel et transmettre la clé publique au PDP.</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EF-21</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signer toute sortie sensible sur le canonical {compte, montant, bénéficiaire, type, nonce}.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ES-02, ES-10</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EF-22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afficher solde, historique, décisions reçues et permettre de répondre à un STEP_UP par signature.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UC-04</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EF-23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permettre la désignation de contacts de confiance et la confirmation d’une demande reçue en tant que contact.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UC-06</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EF-24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permettre le ré-enrôlement (UC-05) et afficher l’état PROBATION et ses restrictions.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ES-04</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EF-25</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afficher une notification lorsqu’une sortie est gelée ou escaladée.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ISC-DEMO</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EF-26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L’interface DOIT être disponible en français.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Contexte</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EF-27</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L’interface DEVRAIT être disponible en anglais.</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Contexte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EF-28</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RETIRÉE (v1.3, ISC-AMD-01 constat 2 : la confirmation ou l’annulation par l’ancien dispositif donne à un voleur le pouvoir d’approuver). Parcours supprimé avec ES-14.</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EF-45</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afficher le code de récupération une seule fois, avec un avertissement indiquant qu’il doit être conservé hors de l’appareil et qu’aucun agent ne le demandera jamais ; l’utilisateur DOIT confirmer explicitement l’avoir noté avant de poursuivre.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ES-18, AC-08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EF-46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présenter le parcours de ré-enrôlement sans jamais solliciter de mot de passe à usage unique.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ES-19</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EF-47</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cœur DOIT notifier l’appareil précédemment enrôlé de toute tentative de ré-enrôlement, échouée ou réussie ; cette notification est informative et NE DOIT comporter aucune action à confirmer ni à refuser.</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AC-14</w:t>
            </w:r>
          </w:p>
        </w:tc>
      </w:tr>
    </w:tbl>
    <w:p>
      <w:pPr>
        <w:spacing w:after="80"/>
      </w:pPr>
    </w:p>
    <w:p>
      <w:pPr>
        <w:pStyle w:val="Heading3"/>
        <w:spacing w:after="80" w:before="160"/>
      </w:pPr>
      <w:r>
        <w:rPr>
          <w:rFonts w:ascii="Calibri" w:cs="Calibri" w:eastAsia="Calibri" w:hAnsi="Calibri"/>
        </w:rPr>
        <w:t xml:space="preserve">7.4 Console opérateur / SOC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EF-30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 console DOIT afficher en temps réel le flux des transactions avec décision (ALLOW / STEP_UP / FREEZE), score et raisons.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ISC-DEMO</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EF-31</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console DOIT afficher l’état HLR d’un compte et signaler tout changement d’IMSI.</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EF-32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 console DOIT afficher une chronologie d’attaque alimentée par l’outil attaquant.</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ADR-004</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EF-33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console DOIT offrir une file de travail des gels avec actions : lever, annuler, marquer faux positif, demander second avis ; justification obligatoire.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UC-08, ES-08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EF-34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 console DOIT afficher l’intégrité du journal d’audit et localiser une rupture.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ES-09</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EF-35</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console DEVRAIT exposer une page d’évaluation générée depuis le module d’évaluation.</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OBJ-4</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EF-36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 console DOIT afficher l’état du PDP (disponible, dégradé, indisponible) et le mode sans couche.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ES-11, EF-07</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EF-37</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console DOIT afficher les notifications émises (boîte SMS / push simulée) par compte.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EF-09</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EF-38</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 console DOIT être disponible en français ; l’anglais DEVRAIT l’être.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D-13</w:t>
            </w:r>
          </w:p>
        </w:tc>
      </w:tr>
    </w:tbl>
    <w:p>
      <w:pPr>
        <w:spacing w:after="80"/>
      </w:pPr>
    </w:p>
    <w:p>
      <w:pPr>
        <w:pStyle w:val="Heading3"/>
        <w:spacing w:after="80" w:before="160"/>
      </w:pPr>
      <w:r>
        <w:rPr>
          <w:rFonts w:ascii="Calibri" w:cs="Calibri" w:eastAsia="Calibri" w:hAnsi="Calibri"/>
        </w:rPr>
        <w:t xml:space="preserve">7.5 Outils attaquant et agent HLR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EF-40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L’outil attaquant DOIT exécuter chacun des scénarios AC-01 à AC-13 par une commande unique paramétrable.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OBJ-1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EF-41</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L’outil DOIT publier chaque étape dans la chronologie de la console.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EF-32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EF-42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L’outil agent HLR DOIT permettre un remplacement de SIM avec motif et identifiant d’agent (UC-11), utilisable en mode légitime ou complice.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T-02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EF-43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L’outil attaquant DOIT pouvoir rejouer une requête signée capturée (AC-11) et saturer /evaluate (AC-12).</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AC-11, 12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EF-44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canal USSD DOIT permettre la désignation et la révocation de contacts de confiance, chaque désignation étant confirmée par le contact sur son propre canal ; l’agent KYC simulé DOIT pouvoir effectuer la même opération à quatre yeux.</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D-03, ES-06</w:t>
            </w:r>
          </w:p>
        </w:tc>
      </w:tr>
    </w:tbl>
    <w:p>
      <w:pPr>
        <w:spacing w:after="80"/>
      </w:pPr>
    </w:p>
    <w:p>
      <w:pPr>
        <w:pStyle w:val="Heading2"/>
        <w:spacing w:after="100" w:before="220"/>
      </w:pPr>
      <w:r>
        <w:rPr>
          <w:rFonts w:ascii="Calibri" w:cs="Calibri" w:eastAsia="Calibri" w:hAnsi="Calibri"/>
        </w:rPr>
        <w:t xml:space="preserve">7bis. Exigences de sécurité (ES) — tracées vers les cas d’abus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Couvre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ES-01</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RETIRÉE (journal v1.1, D-01 : incohérente avec ES-04 et QR-4). Remplacée par ES-01b.</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ES-01b</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PDP DOIT placer le compte en PROBATION pendant CAR_IMSI dès que l’IMSI courant diffère de l’IMSI de référence ; pendant cette PROBATION les restrictions ES-04 s’appliquent.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 03, 04, 05, 06, 07</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Sur le canal application, le PDP DOIT refuser toute sortie sensible dont la signature n’est pas vérifiable par une clé ACTIVE du compte.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AC-03, 11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RETIRÉE (v1.3, ISC-AMD-01 : le ré-enrôlement authentifié par code de récupération ne déclenche plus de carence propre). Remplacée par ES-03c.</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ES-03c</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PDP DOIT appliquer CAR_IMSI après tout changement d’IMSI. Aucune carence propre n’est attachée à l’enrôlement ou au ré-enrôlement.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 AC-04</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ES-03b</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RETIRÉE (v1.3, ISC-AMD-01 : la levée par l’ancien dispositif est supprimée — constat 2 ; la levée par contact de confiance est DIFFÉRÉE au traitement du canal USSD, QO-19).</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ES-04</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 état PROBATION, le PDP DOIT plafonner les sorties à CAP_PROB et interdire tout nouveau bénéficiaire ; toute violation DOIT produire FREEZE.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AC-04, 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ES-05a</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calculer un score comportemental 0–100 agrégeant les contributions des règles ES-05b à ES-05e ; la fonction d’agrégation est fixée par ADR-016 dans le SAD et versionnée (EF-17).</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AC-01, 05, 06, 07</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ES-05b</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Règle bénéficiaire : un bénéficiaire jamais vu sur le compte DOIT contribuer au score ; combiné à un montant ≥ THR_HIGH, la contribution DOIT atteindre au moins le seuil STEP_UP.</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AC-01</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ES-05c</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Règle vélocité : le dépassement de VEL DOIT contribuer au score jusqu’au seuil FREEZE.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AC-05</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ES-05d</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Règle horaire : une sortie dans la fenêtre NIGHT DOIT contribuer au score ; cette règle NE DOIT JAMAIS être un veto.</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AC-06</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ES-05e</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Règle localité : une localité incohérente avec l’historique DOIT contribuer au score.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AC-07</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ES-05f</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Décision : score ≥ 40 → STEP_UP ; score ≥ 70 → FREEZE ; les vetos court-circuitent le score.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ISC-TM §7</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Sur USSD, un STEP_UP DOIT se résoudre par une politique configurée (DEFER, plafond, contact de confiance) ; JAMAIS par une question de connaissance [N2].</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AC-01, 02, 04, 05</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ES-07</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Toute transaction gelée DOIT être annulée à l’expiration de TTL_FREEZE sans levée autorisée ; elle NE DOIT JAMAIS s’exécuter par défaut.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 12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ES-08</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Une levée de gel DOIT être portée par une preuve (signature d’un dispositif ACTIVE d’un compte TRUSTED, contact de confiance, décision d’analyste) ; au-dessus de THR_4EYES, deux analystes distincts DOIVENT approuver.</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AC-09</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ES-09</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Toute décision et toute action d’analyste DOIVENT être journalisées en écriture seule, chaque enregistrement portant l’empreinte SHA-256 du précédent ; l’empreinte de tête DOIT être signée et exportée périodiquement.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AC-09, 10</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Toute signature DOIT inclure un nonce serveur de 128 bits, usage unique, validité 120 s ; tout nonce réutilisé ou expiré DOIT entraîner un refus.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AC-11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ES-11</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canal cœur↔PDP DOIT être authentifié mutuellement ; si le PDP est indisponible, le cœur DOIT refuser toute sortie &gt; CAP_PROB et journaliser les autres en mode dégradé ; /evaluate DOIT être limité en débit.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AC-12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L’accès console DOIT être authentifié et contrôlé par rôles ; toute action DOIT porter justification et identité.</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AC-09</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RETIRÉE (v1.3, ISC-AMD-01 : notification aux contacts de confiance DIFFÉRÉE, QO-19). Remplacée par ES-13b.</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ES-13b</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 changement d’IMSI DOIT déclencher une notification au titulaire sur les canaux disponibles ; tout ré-enrôlement DOIT déclencher une notification informative à l’appareil précédemment enrôlé (EF-47).</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AC-04, AC-08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RETIRÉE (v1.3, ISC-AMD-01 constat 2 : la conservation de l’ancienne clé ne servait qu’aux voies de confirmation et d’annulation, supprimées). Remplacée par ES-14b.</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ES-14b</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révoquer la clé de dispositif précédente immédiatement après enregistrement d’une nouvelle clé ; une seule clé est ACTIVE par compte à tout instant ; la révocation est journalisée.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AC-08</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ES-15</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Les paramètres nommés DOIVENT être configurables sans modification de code et versionnés.</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QR-4</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RETIRÉE (journal v1.1, D-06 : responsabilité allouée au mauvais composant). Remplacée par ES-16b.</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ES-16b</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PDP DOIT appliquer la PROBATION indifféremment au motif d’un remplacement de SIM ; le cœur NE DOIT PAS transmettre le motif comme entrée de /evaluate (il le journalise seulement).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UC-11</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ES-17</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RETIRÉE (v1.3, ISC-AMD-01 constat 4 : le serveur ne peut distinguer une reconduction légitime d’une frauduleuse ; le refus pénalise la victime). Remplacée par ES-17b.</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ES-17b</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déterminer la nature de l’opération d’enrôlement uniquement à partir de la présence ou de l’absence d’une clé publique enregistrée pour le compte ; aucun signal réseau, aucun motif déclaré, aucune donnée fournie par l’appelant n’entre dans cette détermination.</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AC-13</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ES-18</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générer un code de récupération lors de tout enrôlement réussi, le transmettre une seule fois, n’en conserver qu’une empreinte cryptographique à sel unique, invalider tout code consommé et en générer un nouveau à chaque ré-enrôlement réussi.</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ES-19</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Pour tout ré-enrôlement, le PDP DOIT </w:t>
            </w:r>
            <w:r>
              <w:rPr>
                <w:rFonts w:ascii="Calibri" w:cs="Calibri" w:eastAsia="Calibri" w:hAnsi="Calibri"/>
                <w:sz w:val="18"/>
                <w:szCs w:val="18"/>
                <w:strike/>
              </w:rPr>
              <w:t xml:space="preserve">exiger successivement le code de récupération puis le PIN</w:t>
            </w:r>
            <w:r>
              <w:rPr>
                <w:rFonts w:ascii="Calibri" w:cs="Calibri" w:eastAsia="Calibri" w:hAnsi="Calibri"/>
                <w:sz w:val="18"/>
                <w:szCs w:val="18"/>
              </w:rPr>
              <w:t xml:space="preserve"> exiger successivement le PIN puis le code de récupération (ordre fixé par le propriétaire le 25/09/2026 : même déroulé que le service opérateur, numéro puis PIN ; réponse uniforme ES-22 sur le PIN)</w:t>
            </w:r>
            <w:r>
              <w:rPr>
                <w:rFonts w:ascii="Calibri" w:cs="Calibri" w:eastAsia="Calibri" w:hAnsi="Calibri"/>
                <w:sz w:val="18"/>
                <w:szCs w:val="18"/>
              </w:rPr>
              <w:t xml:space="preserve"> ; il NE DOIT ni émettre ni accepter de mot de passe à usage unique sur ce parcours ; l’échec de l’un des deux facteurs interrompt le parcours sans révéler lequel a échoué.</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AC-08, AC-13</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ES-20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garantir qu’un compte ne possède jamais plus d’une clé de dispositif ACTIVE ; toute transaction signée par une clé révoquée DOIT être refusée.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ES-21</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limiter les tentatives de ré-enrôlement échouées par un délai croissant appliqué à l’appareil demandeur et à l’origine réseau, jamais au compte visé ; le compte NE DOIT JAMAIS être rendu indisponible à son titulaire du fait de tentatives émanant d’un tiers ; le délai est plafonné par LOCK_MAX.</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AC-14, AC-15</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ES-22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retourner une réponse identique en contenu, code de statut et temps, que le compte existe ou non, qu’il soit ralenti ou non, et quel que soit le facteur échoué ; aucune réponse ne DOIT permettre d’inférer l’existence d’un compte ni l’état de sa limitation.</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AC-16</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ES-23</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interdire la capture et l’enregistrement d’écran sur toute vue affichant le code de récupération, par le drapeau système prévu à cet effet.</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ES-18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ES-24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comptabiliser les tentatives de ré-enrôlement échouées par compte et émettre une alerte vers la console au-delà d’ALERT_REENROL ; ce comptage NE DOIT produire aucune restriction sur le compte.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AC-15</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ES-25</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 liaison d’un appareil NE DOIT être effectuée qu’après validation par le serveur de la preuve exigée : OTP au premier enrôlement, code de récupération au ré-enrôlement ; aucune clé publique NE DOIT être enregistrée avant.</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AC-02, AC-13</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ES-26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L’application mobile NE DOIT contenir aucune logique distinguant premier enrôlement, ré-enrôlement et ouverture de session ; le PDP détermine l’étape suivante à partir de la présence d’une clé enregistrée et de la validité de la signature reçue.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I</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ES-17b</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ES-27</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Sur l’appareil actuellement lié, une alerte de changement de SIM ou de tentative de ré-enrôlement DOIT offrir une réponse signée « c’est moi / ce n’est pas moi » ; « ce n’est pas moi » DOIT passer le compte en FROZEN et geler les ré-enrôlements pendant REENROL_FREEZE. Un appareil révoqué NE reçoit que des notifications informatives (EF-47).</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AC-02, AC-15</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ES-28</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Une alerte de sécurité NE DOIT contenir ni lien, ni code, ni demande de saisie ; elle n’offre qu’une réponse binaire signée.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AC-16</w:t>
            </w:r>
          </w:p>
        </w:tc>
      </w:tr>
    </w:tbl>
    <w:p>
      <w:pPr>
        <w:spacing w:after="80"/>
      </w:pPr>
    </w:p>
    <w:p>
      <w:pPr>
        <w:pStyle w:val="Heading2"/>
        <w:spacing w:after="100" w:before="220"/>
      </w:pPr>
      <w:r>
        <w:rPr>
          <w:rFonts w:ascii="Calibri" w:cs="Calibri" w:eastAsia="Calibri" w:hAnsi="Calibri"/>
        </w:rPr>
        <w:t xml:space="preserve">8. Exigences non fonctionnelles (ENF)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600"/>
        <w:gridCol w:w="7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ENF-01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Latence de /evaluate &lt; 500 ms au 95e centile et &lt; 800 ms au 99e centile sur la machine de démonstration, sous le scénario de qualité SQ-30 (ISC-ADD) : 50 transactions/s soutenues pendant 10 min.</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ENF-02</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console DOIT refléter une décision en &lt; 2 s.</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ENF-03</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Aucune décision perdue ; exactement une entrée d’audit par /evaluate (idempotence par identifiant).</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ENF-04</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make demo-attack, make demo-defend, make evaluate DOIVENT produire des résultats identiques à graine fixée.</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ENF-05</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Installation : un tiers DOIT obtenir l’environnement complet opérationnel en &lt; 10 min depuis le README, avec Docker seul (distinct de CR-04 qui mesure la durée de la démonstration elle-même).</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ENF-06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Logs structurés JSON corrélés par identifiant de décision.</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ENF-07</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Aucun numéro, préfixe ou nom d’opérateur réel ; réseau Docker isolé ; TLS entre services.</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ENF-08a</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Couverture de tests ≥ 80 % sur le PDP.</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ENF-08b</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Chaque règle du moteur DOIT avoir au moins un test unitaire positif et un négatif.</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ENF-08c</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 code cryptographique DOIT être relu ligne à ligne par le candidat, revue consignée.</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ENF-09</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Chaque AC DOIT correspondre à un test d’intégration T-AC-xx exécuté en CI.</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ENF-10</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Services conteneurisés ; Android 9+ avec Keystore matériel (StrongBox si disponible, sinon TEE, documenté).</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ENF-11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 temps est une dépendance injectable ; aucune règle ne lit l’horloge système directement.</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ENF-12</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Console lisible sur vidéoprojecteur ; les décisions distinguables sans couleur (icône + libellé).</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ENF-13</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Conformité déclarée à NIST SP 800-63B §5.1.3.3 ; section éthique et légale citant [I1] et [I2].</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ENF-14</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Toute décision DOIT être justifiable en langage naturel à partir des règles déclenchées.</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ENF-15</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 mémoire DOIT déclarer l’usage d’outillage IA de génération de code et la procédure de revue appliquée (CT-03).</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ENF-16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Tous les artefacts non-code (mémoire, jeux gelés, figures, registres) DOIVENT être versionnés dans le dépôt ou un stockage distant, empreintes publiées.</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ENF-17</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Toute notification de sécurité DOIT contenir le type d’événement, l’horodatage serveur et l’action possible, et NE DOIT PAS contenir de lien cliquable ni demander de secret (anti-hameçonnage).</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bl>
    <w:p>
      <w:pPr>
        <w:spacing w:after="80"/>
      </w:pPr>
    </w:p>
    <w:p>
      <w:pPr>
        <w:pStyle w:val="Heading2"/>
        <w:spacing w:after="100" w:before="220"/>
      </w:pPr>
      <w:r>
        <w:rPr>
          <w:rFonts w:ascii="Calibri" w:cs="Calibri" w:eastAsia="Calibri" w:hAnsi="Calibri"/>
        </w:rPr>
        <w:t xml:space="preserve">8bis. Exigences sur les artefacts de recherche (EAR)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600"/>
        <w:gridCol w:w="7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EAR-01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 générateur DOIT être une simulation à base d’agents : persona, distributions (horaires, montants, types, bénéficiaires, canal), appareil (IMSI, empreinte).</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EAR-02</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générateur DOIT modéliser au minimum cinq personas camerounais documentés et la saisonnalité.</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EAR-03</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 générateur DOIT injecter AC-01 à AC-13 et étiqueter chaque transaction (légitime / frauduleuse / scénario).</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EAR-04</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générateur DOIT être déterministe à graine fixée et produire un fichier de paramètres versionné.</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EAR-05</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 jeu v1 DOIT être gelé (empreinte publiée) avant tout réglage du moteur ; tout jeu ultérieur porte un nouveau numéro.</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EAR-06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générateur DOIT produire un rapport de plausibilité comparant ses agrégats aux sources publiques ; les écarts DOIVENT être documentés.</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EAR-07</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 protocole DOIT fixer avant exécution : taille, ratio fraude/légitime, découpage, métriques (rappel, précision, FPR, latence, friction), seuils, scénarios.</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EAR-08</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ML DOIT être entraîné et testé sur le jeu gelé avec les mêmes découpages que les règles ; comparaison sur les mêmes transactions.</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EAR-09</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Toute figure du mémoire DOIT être régénérable par make evaluate ; version du jeu et des règles en légende.</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EAR-10</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Aucune donnée personnelle réelle ; calibration sur sources publiques ; tout entretien qualitatif consenti, anonymisé, sans relevé de transactions [I2].</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EAR-11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Les personas DEVRAIENT être validés par au moins deux relecteurs connaissant le terrain (relecture consignée).</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bl>
    <w:p>
      <w:pPr>
        <w:spacing w:after="80"/>
      </w:pPr>
    </w:p>
    <w:p>
      <w:pPr>
        <w:pStyle w:val="Heading2"/>
        <w:spacing w:after="100" w:before="220"/>
      </w:pPr>
      <w:r>
        <w:rPr>
          <w:rFonts w:ascii="Calibri" w:cs="Calibri" w:eastAsia="Calibri" w:hAnsi="Calibri"/>
        </w:rPr>
        <w:t xml:space="preserve">9. Exigences d’interfaces externes (EI)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600"/>
        <w:gridCol w:w="11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2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Interface</w:t>
            </w:r>
          </w:p>
        </w:tc>
        <w:tc>
          <w:tcPr>
            <w:tcW w:type="dxa" w:w="4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Spécification</w:t>
            </w:r>
          </w:p>
        </w:tc>
        <w:tc>
          <w:tcPr>
            <w:tcW w:type="dxa" w:w="1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EI-01</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Cœur → PDP : POST /evaluate, GET /nonce, POST /freeze/{id}/release</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HTTP/JSON, contrat OpenAPI 3.1 figé en ISC-SAD ; mTLS ; délai d’attente 800 ms ; codes d’erreur explicites.</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 I</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EI-02</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HLR → Cœur : événement de changement d’IMSI</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Événement interne (table + publication) portant MSISDN, ancien IMSI, nouvel IMSI, horodatage, agent, motif.</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EI-03</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App → Cœur</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HTTPS/JSON ; authentification PIN + session ; signature transportée en base64 avec identifiant de clé.</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EI-04</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 ↔ Keystore Android</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API KeyStore / KeyGenParameterSpec ; clé EC P-256, usage signature, non exportable, authentification utilisateur optionnelle ; attestation si disponible.</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 D</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EI-05</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USSD → Cœur</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Session simulée : identifiant de session, étapes de menu, saisie ; aucun secret cryptographique.</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EI-06</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PDP → Notification</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Interface interne : destinataire (IMSI courant ou dispositif), type, contenu ; consultable console et app.</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EI-07</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Console ↔ PDP / Cœur</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HTTPS/JSON + flux temps réel (SSE ou WebSocket) ; authentification analyste, rôles.</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EI-08</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Outils CLI → Cœur / HLR</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HTTPS/JSON sur réseau isolé ; jetons d’outil distincts (attaquant, agent HLR, chercheur).</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EI-09</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Générateur → Cœur</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Injection par lots horodatés en temps virtuel ; fichier de paramètres joint.</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EI-10</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Évaluation ← Journal</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Lecture seule du journal d’audit et des prédictions ombre ; export CSV/Parquet.</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bl>
    <w:p>
      <w:pPr>
        <w:spacing w:after="80"/>
      </w:pPr>
    </w:p>
    <w:p>
      <w:pPr>
        <w:pStyle w:val="Heading2"/>
        <w:spacing w:after="100" w:before="220"/>
      </w:pPr>
      <w:r>
        <w:rPr>
          <w:rFonts w:ascii="Calibri" w:cs="Calibri" w:eastAsia="Calibri" w:hAnsi="Calibri"/>
        </w:rPr>
        <w:t xml:space="preserve">10. Exigences de données (ED)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600"/>
        <w:gridCol w:w="7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ED-01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Chaque service (cœur, PDP) DOIT posséder son schéma ; aucune table partagée ; les échanges passent par les interfaces EI.</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ED-02</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cœur DOIT persister : Compte, AbonnéHLR (avec historique), Transaction, Session, OTP, Notification.</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ED-03</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 PDP DOIT persister : Dispositif, ÉtatDeConfiance (avec historique des transitions), Décision, Gel, ContactDeConfiance, Nonce, EntréeAudit, ConfigurationVersionnée, PrédictionOmbre.</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ED-04</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Les horodatages DOIVENT être en UTC, générés par le serveur.</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ED-05</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Les montants DOIVENT être stockés en entiers (FCFA), jamais en flottants.</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ED-06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table EntréeAudit DOIT être accessible en INSERT seul par le rôle applicatif ; aucun UPDATE/DELETE.</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ED-07</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Volume cible du jeu v1 : ≥ 1 000 agents, ≥ 6 mois simulés, ≥ 500 000 transactions, </w:t>
            </w:r>
            <w:r>
              <w:rPr>
                <w:rFonts w:ascii="Calibri" w:cs="Calibri" w:eastAsia="Calibri" w:hAnsi="Calibri"/>
                <w:sz w:val="18"/>
                <w:szCs w:val="18"/>
                <w:strike/>
              </w:rPr>
              <w:t xml:space="preserve">ratio fraude fixé par le protocole (EAR-07)</w:t>
            </w:r>
            <w:r>
              <w:rPr>
                <w:rFonts w:ascii="Calibri" w:cs="Calibri" w:eastAsia="Calibri" w:hAnsi="Calibri"/>
                <w:sz w:val="18"/>
                <w:szCs w:val="18"/>
              </w:rPr>
              <w:t xml:space="preserve"> fraude évaluée par N = 300 rejeux indépendants du scénario AC-02 sur un monde légitime réaliste, suréchantillonnage déclaré (EAR-07 ; T3-04). Décision du 25/09/2026 : 6 mois, ~1 000 usagers, ~520 000 transactions</w:t>
            </w:r>
            <w:r>
              <w:rPr>
                <w:rFonts w:ascii="Calibri" w:cs="Calibri" w:eastAsia="Calibri" w:hAnsi="Calibri"/>
                <w:sz w:val="18"/>
                <w:szCs w:val="18"/>
              </w:rPr>
              <w:t xml:space="preserve">.</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ED-08</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Rétention : aucune purge pendant le projet ; les jeux gelés sont conservés avec leur empreinte.</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ED-09</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Identifiants : UUID v4 pour décisions, gels, transactions ; MSISDN dans la plage fictive </w:t>
            </w:r>
            <w:r>
              <w:rPr>
                <w:rFonts w:ascii="Calibri" w:cs="Calibri" w:eastAsia="Calibri" w:hAnsi="Calibri"/>
                <w:sz w:val="18"/>
                <w:szCs w:val="18"/>
                <w:strike/>
              </w:rPr>
              <w:t xml:space="preserve">6 99 000 000 – 6 99 009 999, à confirmer hors de tout bloc attribué par l’ART avant adoption (QO-17)</w:t>
            </w:r>
            <w:r>
              <w:rPr>
                <w:rFonts w:ascii="Calibri" w:cs="Calibri" w:eastAsia="Calibri" w:hAnsi="Calibri"/>
                <w:sz w:val="18"/>
                <w:szCs w:val="18"/>
              </w:rPr>
              <w:t xml:space="preserve"> 677 000 000 – 677 009 999 (préfixe MTN réel ; IMSI 624-01 ; ADR-035, décision du 25/09/2026). Aucune plage réservée à la fiction n’existe dans le plan de numérotation camerounais : la sûreté repose sur l’isolement du bac à sable, jamais sur l’inexistence des numéros (QO-17 close)</w:t>
            </w:r>
            <w:r>
              <w:rPr>
                <w:rFonts w:ascii="Calibri" w:cs="Calibri" w:eastAsia="Calibri" w:hAnsi="Calibri"/>
                <w:sz w:val="18"/>
                <w:szCs w:val="18"/>
              </w:rPr>
              <w:t xml:space="preserve">.</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ED-10</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Localité : identifiant entier de cellule simulée ; chaque agent possède une à trois cellules habituelles ; le générateur modélise les déplacements avec une probabilité documentée.</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ED-11</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L’écran de confirmation d’un envoi DOIT afficher le nom du titulaire du bénéficiaire ; la recherche du nom est freinée pour empêcher l’énumération (audit du 30/08/2026 ; ISC-MOB-SPEC MT-06).</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r>
    </w:tbl>
    <w:p>
      <w:pPr>
        <w:spacing w:after="80"/>
      </w:pPr>
    </w:p>
    <w:p>
      <w:pPr>
        <w:pStyle w:val="Heading1"/>
        <w:spacing w:after="140" w:before="320"/>
      </w:pPr>
      <w:r>
        <w:rPr>
          <w:rFonts w:ascii="Calibri" w:cs="Calibri" w:eastAsia="Calibri" w:hAnsi="Calibri"/>
        </w:rPr>
        <w:t xml:space="preserve">PARTIE IV — CADRE</w:t>
      </w:r>
    </w:p>
    <w:p>
      <w:pPr>
        <w:pStyle w:val="Heading2"/>
        <w:spacing w:after="100" w:before="220"/>
      </w:pPr>
      <w:r>
        <w:rPr>
          <w:rFonts w:ascii="Calibri" w:cs="Calibri" w:eastAsia="Calibri" w:hAnsi="Calibri"/>
        </w:rPr>
        <w:t xml:space="preserve">11. Contraintes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4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4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Contrainte</w:t>
            </w:r>
          </w:p>
        </w:tc>
        <w:tc>
          <w:tcPr>
            <w:tcW w:type="dxa" w:w="3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Justification</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CT-01</w:t>
            </w:r>
          </w:p>
        </w:tc>
        <w:tc>
          <w:tcPr>
            <w:tcW w:type="dxa" w:w="4700"/>
            <w:tcMar>
              <w:top w:type="dxa" w:w="50"/>
              <w:left w:type="dxa" w:w="90"/>
              <w:bottom w:type="dxa" w:w="50"/>
              <w:right w:type="dxa" w:w="90"/>
            </w:tcMar>
          </w:tcPr>
          <w:p>
            <w:pPr>
              <w:spacing w:after="30" w:line="240"/>
            </w:pPr>
            <w:r>
              <w:rPr>
                <w:rFonts w:ascii="Calibri" w:cs="Calibri" w:eastAsia="Calibri" w:hAnsi="Calibri"/>
                <w:sz w:val="18"/>
                <w:szCs w:val="18"/>
              </w:rPr>
              <w:t xml:space="preserve">Stack : Java 21 / Spring Boot (cœur, PDP), Python (générateur, évaluation, ML, outils CLI), Kotlin Android natif, Next.js (console), PostgreSQL, Docker Compose, GitHub Actions.</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ADR-003. Le Keystore matériel impose Android natif ; la stack est une contrainte, pas une exigence.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CT-02</w:t>
            </w:r>
          </w:p>
        </w:tc>
        <w:tc>
          <w:tcPr>
            <w:tcW w:type="dxa" w:w="4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Sandbox strict ; plage MSISDN fictive ; réseau isolé ; aucun système réel.</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[I1] ; éthique.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CT-03</w:t>
            </w:r>
          </w:p>
        </w:tc>
        <w:tc>
          <w:tcPr>
            <w:tcW w:type="dxa" w:w="4700"/>
            <w:tcMar>
              <w:top w:type="dxa" w:w="50"/>
              <w:left w:type="dxa" w:w="90"/>
              <w:bottom w:type="dxa" w:w="50"/>
              <w:right w:type="dxa" w:w="90"/>
            </w:tcMar>
          </w:tcPr>
          <w:p>
            <w:pPr>
              <w:spacing w:after="30" w:line="240"/>
            </w:pPr>
            <w:r>
              <w:rPr>
                <w:rFonts w:ascii="Calibri" w:cs="Calibri" w:eastAsia="Calibri" w:hAnsi="Calibri"/>
                <w:sz w:val="18"/>
                <w:szCs w:val="18"/>
              </w:rPr>
              <w:t xml:space="preserve">Un candidat, 7 mois, activité professionnelle en parallèle ; outillage IA de génération de code sous spécification et revue du candidat ; déclaration dans le mémoire (ENF-15).</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ADR-006.</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CT-04</w:t>
            </w:r>
          </w:p>
        </w:tc>
        <w:tc>
          <w:tcPr>
            <w:tcW w:type="dxa" w:w="4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Matériel : deux appareils Android, poste de démo, vidéoprojecteur, disponibles.</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CT-05</w:t>
            </w:r>
          </w:p>
        </w:tc>
        <w:tc>
          <w:tcPr>
            <w:tcW w:type="dxa" w:w="4700"/>
            <w:tcMar>
              <w:top w:type="dxa" w:w="50"/>
              <w:left w:type="dxa" w:w="90"/>
              <w:bottom w:type="dxa" w:w="50"/>
              <w:right w:type="dxa" w:w="90"/>
            </w:tcMar>
          </w:tcPr>
          <w:p>
            <w:pPr>
              <w:spacing w:after="30" w:line="240"/>
            </w:pPr>
            <w:r>
              <w:rPr>
                <w:rFonts w:ascii="Calibri" w:cs="Calibri" w:eastAsia="Calibri" w:hAnsi="Calibri"/>
                <w:sz w:val="18"/>
                <w:szCs w:val="18"/>
              </w:rPr>
              <w:t xml:space="preserve">Format, langue et calendrier du mémoire imposés par l’ICT University (QO-02, QO-03 ouvertes).</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Institution.</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CT-06</w:t>
            </w:r>
          </w:p>
        </w:tc>
        <w:tc>
          <w:tcPr>
            <w:tcW w:type="dxa" w:w="4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Testbed publié sous licence ouverte (QO-13), sous réserve des règles universitaires.</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Reproductibilité.</w:t>
            </w:r>
          </w:p>
        </w:tc>
      </w:tr>
    </w:tbl>
    <w:p>
      <w:pPr>
        <w:spacing w:after="80"/>
      </w:pPr>
    </w:p>
    <w:p>
      <w:pPr>
        <w:pStyle w:val="Heading2"/>
        <w:spacing w:after="100" w:before="220"/>
      </w:pPr>
      <w:r>
        <w:rPr>
          <w:rFonts w:ascii="Calibri" w:cs="Calibri" w:eastAsia="Calibri" w:hAnsi="Calibri"/>
        </w:rPr>
        <w:t xml:space="preserve">12. Hypothèses et risques</w:t>
      </w:r>
    </w:p>
    <w:p>
      <w:pPr>
        <w:pStyle w:val="Heading3"/>
        <w:spacing w:after="80" w:before="160"/>
      </w:pPr>
      <w:r>
        <w:rPr>
          <w:rFonts w:ascii="Calibri" w:cs="Calibri" w:eastAsia="Calibri" w:hAnsi="Calibri"/>
        </w:rPr>
        <w:t xml:space="preserve">12.1 Hypothèses de projet</w:t>
      </w:r>
    </w:p>
    <w:p>
      <w:pPr>
        <w:pStyle w:val="ListParagraph"/>
        <w:numPr>
          <w:ilvl w:val="0"/>
          <w:numId w:val="2"/>
        </w:numPr>
        <w:spacing w:after="60" w:line="264"/>
      </w:pPr>
      <w:r>
        <w:rPr>
          <w:rFonts w:ascii="Calibri" w:cs="Calibri" w:eastAsia="Calibri" w:hAnsi="Calibri"/>
          <w:sz w:val="21"/>
          <w:szCs w:val="21"/>
        </w:rPr>
        <w:t xml:space="preserve">HP-1 : les sources publiques suffisent à une calibration plausible (sinon EAR-06 documente l’écart).</w:t>
      </w:r>
    </w:p>
    <w:p>
      <w:pPr>
        <w:pStyle w:val="ListParagraph"/>
        <w:numPr>
          <w:ilvl w:val="0"/>
          <w:numId w:val="2"/>
        </w:numPr>
        <w:spacing w:after="60" w:line="264"/>
      </w:pPr>
      <w:r>
        <w:rPr>
          <w:rFonts w:ascii="Calibri" w:cs="Calibri" w:eastAsia="Calibri" w:hAnsi="Calibri"/>
          <w:sz w:val="21"/>
          <w:szCs w:val="21"/>
        </w:rPr>
        <w:t xml:space="preserve">HP-2 : les appareils offrent un Keystore matériel (vérification semaine 3 ; repli TEE).</w:t>
      </w:r>
    </w:p>
    <w:p>
      <w:pPr>
        <w:pStyle w:val="ListParagraph"/>
        <w:numPr>
          <w:ilvl w:val="0"/>
          <w:numId w:val="2"/>
        </w:numPr>
        <w:spacing w:after="60" w:line="264"/>
      </w:pPr>
      <w:r>
        <w:rPr>
          <w:rFonts w:ascii="Calibri" w:cs="Calibri" w:eastAsia="Calibri" w:hAnsi="Calibri"/>
          <w:sz w:val="21"/>
          <w:szCs w:val="21"/>
        </w:rPr>
        <w:t xml:space="preserve">HP-3 : le superviseur valide l’orientation PDP + device binding avant la fin du mois 1.</w:t>
      </w:r>
    </w:p>
    <w:p>
      <w:pPr>
        <w:pStyle w:val="ListParagraph"/>
        <w:numPr>
          <w:ilvl w:val="0"/>
          <w:numId w:val="2"/>
        </w:numPr>
        <w:spacing w:after="60" w:line="264"/>
      </w:pPr>
      <w:r>
        <w:rPr>
          <w:rFonts w:ascii="Calibri" w:cs="Calibri" w:eastAsia="Calibri" w:hAnsi="Calibri"/>
          <w:sz w:val="21"/>
          <w:szCs w:val="21"/>
        </w:rPr>
        <w:t xml:space="preserve">HP-4 : disponibilité du candidat ≥ 15 h/semaine (QO-04 ; recalibrage sinon).</w:t>
      </w:r>
    </w:p>
    <w:p>
      <w:pPr>
        <w:pStyle w:val="ListParagraph"/>
        <w:numPr>
          <w:ilvl w:val="0"/>
          <w:numId w:val="2"/>
        </w:numPr>
        <w:spacing w:after="60" w:line="264"/>
      </w:pPr>
      <w:r>
        <w:rPr>
          <w:rFonts w:ascii="Calibri" w:cs="Calibri" w:eastAsia="Calibri" w:hAnsi="Calibri"/>
          <w:sz w:val="21"/>
          <w:szCs w:val="21"/>
        </w:rPr>
        <w:t xml:space="preserve">Hypothèses de confiance H-T1 à H-T6 : ISC-TM §10.</w:t>
      </w:r>
    </w:p>
    <w:p>
      <w:pPr>
        <w:pStyle w:val="Heading3"/>
        <w:spacing w:after="80" w:before="160"/>
      </w:pPr>
      <w:r>
        <w:rPr>
          <w:rFonts w:ascii="Calibri" w:cs="Calibri" w:eastAsia="Calibri" w:hAnsi="Calibri"/>
        </w:rPr>
        <w:t xml:space="preserve">12.2 Registre des risques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00"/>
        <w:gridCol w:w="800"/>
        <w:gridCol w:w="3400"/>
        <w:gridCol w:w="1100"/>
      </w:tblGrid>
      <w:tr>
        <w:trPr>
          <w:tblHeader/>
        </w:trPr>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Risque</w:t>
            </w:r>
          </w:p>
        </w:tc>
        <w:tc>
          <w:tcPr>
            <w:tcW w:type="dxa" w:w="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w:t>
            </w:r>
          </w:p>
        </w:tc>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w:t>
            </w:r>
          </w:p>
        </w:tc>
        <w:tc>
          <w:tcPr>
            <w:tcW w:type="dxa" w:w="3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Mitigation</w:t>
            </w:r>
          </w:p>
        </w:tc>
        <w:tc>
          <w:tcPr>
            <w:tcW w:type="dxa" w:w="1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Propr.</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R-01</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Dérive vers des tests sur systèmes réels</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F</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Critique</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CT-02 ; aucune dépendance réseau externe ; revue des scénarios</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R-02</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Code généré non maîtrisé</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Élevé</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Spec avant génération ; ENF-08c ; interrogation hebdomadaire ; CR-05</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Encadrement</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R-03</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Évaluation jugée circulaire</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Élevé</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EAR-05, EAR-06, AC-07, §4.3</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R-04</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Calendrier universitaire incompatible</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Élevé</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QO-02 ; mois 7 amortisseur</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R-05</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Sur-affirmation sur les opérateurs</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Moyen</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Sources ou hypothèses ; citation [I6]</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R-06</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Keystore sans attestation</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Moyen</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Vérification précoce ; repli documenté</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R-07</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Perte d’artefacts non-code</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Élevé</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ENF-16</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R-08</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Désaccord tardif du superviseur</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Élevé</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Présentation semaine 1 ; objections écrites</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R-09</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Console consommant le temps de la défense</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Moyen</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Console minimale M2 ; défense M4 prime</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Encadrement</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R-10</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Indisponibilité de l’outillage IA</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Moyen</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candidat sait coder ; plan indépendant</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R-11</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Jury contestant l’usage d’outillage IA</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Moyen</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ENF-15 ; CR-05 ; revue consignée</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bl>
    <w:p>
      <w:pPr>
        <w:spacing w:after="80"/>
      </w:pPr>
    </w:p>
    <w:p>
      <w:pPr>
        <w:pStyle w:val="Heading1"/>
        <w:spacing w:after="140" w:before="320"/>
      </w:pPr>
      <w:r>
        <w:rPr>
          <w:rFonts w:ascii="Calibri" w:cs="Calibri" w:eastAsia="Calibri" w:hAnsi="Calibri"/>
        </w:rPr>
        <w:t xml:space="preserve">PARTIE V — GOUVERNANCE</w:t>
      </w:r>
    </w:p>
    <w:p>
      <w:pPr>
        <w:pStyle w:val="Heading2"/>
        <w:spacing w:after="100" w:before="220"/>
      </w:pPr>
      <w:r>
        <w:rPr>
          <w:rFonts w:ascii="Calibri" w:cs="Calibri" w:eastAsia="Calibri" w:hAnsi="Calibri"/>
        </w:rPr>
        <w:t xml:space="preserve">13. Livrables et jalons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3800"/>
      </w:tblGrid>
      <w:tr>
        <w:trPr>
          <w:tblHeader/>
        </w:trPr>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Mois</w:t>
            </w:r>
          </w:p>
        </w:tc>
        <w:tc>
          <w:tcPr>
            <w:tcW w:type="dxa" w:w="4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Livrables</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Definition of Done</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1</w:t>
            </w:r>
          </w:p>
        </w:tc>
        <w:tc>
          <w:tcPr>
            <w:tcW w:type="dxa" w:w="4500"/>
            <w:tcMar>
              <w:top w:type="dxa" w:w="50"/>
              <w:left w:type="dxa" w:w="90"/>
              <w:bottom w:type="dxa" w:w="50"/>
              <w:right w:type="dxa" w:w="90"/>
            </w:tcMar>
          </w:tcPr>
          <w:p>
            <w:pPr>
              <w:spacing w:after="30" w:line="240"/>
            </w:pPr>
            <w:r>
              <w:rPr>
                <w:rFonts w:ascii="Calibri" w:cs="Calibri" w:eastAsia="Calibri" w:hAnsi="Calibri"/>
                <w:sz w:val="18"/>
                <w:szCs w:val="18"/>
              </w:rPr>
              <w:t xml:space="preserve">L-01 Cadrage ; L-02 Modèle de menace ; L-03 SRS (FR/EN) ; L-04 SAD + OpenAPI ; L-05 Protocole d’évaluation ; L-06 État de l’art (20+) ; dépôt + CI</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APPROVED par le candidat ; présenté au superviseur ; questions bloquantes fermées ; CI verte</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w:t>
            </w:r>
          </w:p>
        </w:tc>
        <w:tc>
          <w:tcPr>
            <w:tcW w:type="dxa" w:w="4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L-07 Cœur (app + USSD + notification + HLR) ; L-08 Outils CLI (AC-02 à 07, agent HLR) ; L-09 Console v1 ; mode sans couche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 réussie, scriptée, visible ; tests unitaires ; démo &lt; 10 min</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3</w:t>
            </w:r>
          </w:p>
        </w:tc>
        <w:tc>
          <w:tcPr>
            <w:tcW w:type="dxa" w:w="4500"/>
            <w:tcMar>
              <w:top w:type="dxa" w:w="50"/>
              <w:left w:type="dxa" w:w="90"/>
              <w:bottom w:type="dxa" w:w="50"/>
              <w:right w:type="dxa" w:w="90"/>
            </w:tcMar>
          </w:tcPr>
          <w:p>
            <w:pPr>
              <w:spacing w:after="30" w:line="240"/>
            </w:pPr>
            <w:r>
              <w:rPr>
                <w:rFonts w:ascii="Calibri" w:cs="Calibri" w:eastAsia="Calibri" w:hAnsi="Calibri"/>
                <w:sz w:val="18"/>
                <w:szCs w:val="18"/>
              </w:rPr>
              <w:t xml:space="preserve">L-10 Générateur ; L-11 Jeu v1 gelé ; L-12 Rapport de plausibilité</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EAR-01 à 06 ; empreinte publiée ; personas relus (EAR-11)</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4</w:t>
            </w:r>
          </w:p>
        </w:tc>
        <w:tc>
          <w:tcPr>
            <w:tcW w:type="dxa" w:w="4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L-13 PDP complet (ES-01b à 17) ; L-14 App Android ; L-15 Console v2</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T-AC-01 à 13 verts ; AC-02 neutralisée ; revue crypto signée</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5</w:t>
            </w:r>
          </w:p>
        </w:tc>
        <w:tc>
          <w:tcPr>
            <w:tcW w:type="dxa" w:w="4500"/>
            <w:tcMar>
              <w:top w:type="dxa" w:w="50"/>
              <w:left w:type="dxa" w:w="90"/>
              <w:bottom w:type="dxa" w:w="50"/>
              <w:right w:type="dxa" w:w="90"/>
            </w:tcMar>
          </w:tcPr>
          <w:p>
            <w:pPr>
              <w:spacing w:after="30" w:line="240"/>
            </w:pPr>
            <w:r>
              <w:rPr>
                <w:rFonts w:ascii="Calibri" w:cs="Calibri" w:eastAsia="Calibri" w:hAnsi="Calibri"/>
                <w:sz w:val="18"/>
                <w:szCs w:val="18"/>
              </w:rPr>
              <w:t xml:space="preserve">L-16 Évaluation ; L-17 ML ombre ; L-18 Sensibilité (QR-4, QR-5)</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Figures régénérables ; H1–H5 statuées ; chapitre évaluation brouillon</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6</w:t>
            </w:r>
          </w:p>
        </w:tc>
        <w:tc>
          <w:tcPr>
            <w:tcW w:type="dxa" w:w="4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L-19 Démo deux appareils ; L-20 Script de soutenance ; L-21 Console v3</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Trois répétitions chronométrées ; README validé par un tiers</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7</w:t>
            </w:r>
          </w:p>
        </w:tc>
        <w:tc>
          <w:tcPr>
            <w:tcW w:type="dxa" w:w="4500"/>
            <w:tcMar>
              <w:top w:type="dxa" w:w="50"/>
              <w:left w:type="dxa" w:w="90"/>
              <w:bottom w:type="dxa" w:w="50"/>
              <w:right w:type="dxa" w:w="90"/>
            </w:tcMar>
          </w:tcPr>
          <w:p>
            <w:pPr>
              <w:spacing w:after="30" w:line="240"/>
            </w:pPr>
            <w:r>
              <w:rPr>
                <w:rFonts w:ascii="Calibri" w:cs="Calibri" w:eastAsia="Calibri" w:hAnsi="Calibri"/>
                <w:sz w:val="18"/>
                <w:szCs w:val="18"/>
              </w:rPr>
              <w:t xml:space="preserve">L-22 Mémoire ; L-23 Soutenance blanche ; L-24 Dépôt public</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Validation superviseur ; dépôt dans les délais</w:t>
            </w:r>
          </w:p>
        </w:tc>
      </w:tr>
    </w:tbl>
    <w:p>
      <w:pPr>
        <w:spacing w:after="80"/>
      </w:pPr>
    </w:p>
    <w:p>
      <w:pPr>
        <w:pStyle w:val="Heading2"/>
        <w:spacing w:after="100" w:before="220"/>
      </w:pPr>
      <w:r>
        <w:rPr>
          <w:rFonts w:ascii="Calibri" w:cs="Calibri" w:eastAsia="Calibri" w:hAnsi="Calibri"/>
        </w:rPr>
        <w:t xml:space="preserve">14. Critères de recette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1800"/>
        <w:gridCol w:w="12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Critère</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Validateur</w:t>
            </w:r>
          </w:p>
        </w:tc>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Forme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CR-01</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AC-01 à AC-13 s’exécutent en mode sans couche avec le résultat « sans contre-mesure » d’ISC-TM.</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Candidat, encadrement</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T + D</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CR-02</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Avec la couche, les décisions attendues d’ISC-TM §8 sont obtenues ; T-AC-01 à 13 verts.</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 encadrement</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CR-03</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H1 à H5 statuées par les chiffres du protocole, seuils fixés avant exécution.</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Candidat, superviseur</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CR-04</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Démo complète (attaque réussie, neutralisée, intégrité du journal) rejouée en &lt; 10 min sans intervention hors script.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Jury</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CR-05</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candidat explique sans notes tout composant désigné par le jury.</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Jury</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Oral</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CR-06</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Toute figure régénérable ; jeu et version des règles en légende.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Superviseur</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CR-07</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Limites (AC-01, AC-07, validité synthétique, H-T6, ES-16b) énoncées dans le mémoire et la soutenance.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Superviseur, jury</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I, Oral</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CR-08</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Usage de l’outillage IA déclaré et procédure de revue documentée (ENF-15).</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Superviseur</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bl>
    <w:p>
      <w:pPr>
        <w:spacing w:after="80"/>
      </w:pPr>
    </w:p>
    <w:p>
      <w:pPr>
        <w:pStyle w:val="Heading2"/>
        <w:spacing w:after="100" w:before="220"/>
      </w:pPr>
      <w:r>
        <w:rPr>
          <w:rFonts w:ascii="Calibri" w:cs="Calibri" w:eastAsia="Calibri" w:hAnsi="Calibri"/>
        </w:rPr>
        <w:t xml:space="preserve">15. Matrice de traçabilité (extrait)</w:t>
      </w:r>
    </w:p>
    <w:p>
      <w:pPr>
        <w:spacing w:after="100" w:line="264"/>
      </w:pPr>
      <w:r>
        <w:rPr>
          <w:rFonts w:ascii="Calibri" w:cs="Calibri" w:eastAsia="Calibri" w:hAnsi="Calibri"/>
          <w:sz w:val="21"/>
          <w:szCs w:val="21"/>
        </w:rPr>
        <w:t xml:space="preserve">Matrice complète dans docs/traceability.csv, générée dans le mémoire. Structure : Origine → Exigence → Composant → Test → Résultat.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100"/>
        <w:gridCol w:w="1000"/>
        <w:gridCol w:w="15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Origine</w:t>
            </w:r>
          </w:p>
        </w:tc>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2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Composant</w:t>
            </w:r>
          </w:p>
        </w:tc>
        <w:tc>
          <w:tcPr>
            <w:tcW w:type="dxa" w:w="1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Test</w:t>
            </w:r>
          </w:p>
        </w:tc>
        <w:tc>
          <w:tcPr>
            <w:tcW w:type="dxa" w:w="1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Résultat</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AC-02 ; [I3]</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ES-01b, ES-03, ES-04, ES-07, ES-16b</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pdp/trust-state, pdp/rules/Probation, pdp/freeze</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T-AC-02</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AC-13 ; [N2] §6.1.2</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ES-17b, ES-19, ES-21</w:t>
            </w:r>
          </w:p>
        </w:tc>
        <w:tc>
          <w:tcPr>
            <w:tcW w:type="dxa" w:w="2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pdp/enrolment</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T-AC-13</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AC-03 ; [N2] §5.1.3.3</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ES-02, EF-20, EF-21, EI-04</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android/keystore, pdp/signature</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T-AC-03</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AC-08 ; [N2] §6.1.2</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ES-02, ES-14b, ES-18, ES-19, ES-20, EF-45, EF-46, EF-47</w:t>
            </w:r>
          </w:p>
        </w:tc>
        <w:tc>
          <w:tcPr>
            <w:tcW w:type="dxa" w:w="2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pdp/enrolment, pdp/recovery</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T-AC-08</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AC-09</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ES-08, ES-09, ES-12</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console/auth, pdp/freeze, pdp/audit</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T-AC-09</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AC-12</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ES-11, EF-36</w:t>
            </w:r>
          </w:p>
        </w:tc>
        <w:tc>
          <w:tcPr>
            <w:tcW w:type="dxa" w:w="2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core/pdp-client, console</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T-AC-12</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QR-2</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ES-05a–f, ES-06, EAR-07</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pdp/rules, evaluation/ussd_policies</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EVAL-02</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M5</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QR-3</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EF-19, EAR-08</w:t>
            </w:r>
          </w:p>
        </w:tc>
        <w:tc>
          <w:tcPr>
            <w:tcW w:type="dxa" w:w="2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evaluation/ml</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EVAL-03</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M5</w:t>
            </w:r>
          </w:p>
        </w:tc>
      </w:tr>
    </w:tbl>
    <w:p>
      <w:pPr>
        <w:spacing w:after="80"/>
      </w:pPr>
    </w:p>
    <w:p>
      <w:pPr>
        <w:pStyle w:val="Heading2"/>
        <w:spacing w:after="100" w:before="220"/>
      </w:pPr>
      <w:r>
        <w:rPr>
          <w:rFonts w:ascii="Calibri" w:cs="Calibri" w:eastAsia="Calibri" w:hAnsi="Calibri"/>
        </w:rPr>
        <w:t xml:space="preserve">16. Gestion du changement</w:t>
      </w:r>
    </w:p>
    <w:p>
      <w:pPr>
        <w:pStyle w:val="ListParagraph"/>
        <w:numPr>
          <w:ilvl w:val="0"/>
          <w:numId w:val="2"/>
        </w:numPr>
        <w:spacing w:after="60" w:line="264"/>
      </w:pPr>
      <w:r>
        <w:rPr>
          <w:rFonts w:ascii="Calibri" w:cs="Calibri" w:eastAsia="Calibri" w:hAnsi="Calibri"/>
          <w:sz w:val="21"/>
          <w:szCs w:val="21"/>
        </w:rPr>
        <w:t xml:space="preserve">Toute demande de modification est consignée dans docs/00-registre-questions.md puis tranchée par un ADR (contexte, décision, alternatives rejetées, conséquences).</w:t>
      </w:r>
    </w:p>
    <w:p>
      <w:pPr>
        <w:pStyle w:val="ListParagraph"/>
        <w:numPr>
          <w:ilvl w:val="0"/>
          <w:numId w:val="2"/>
        </w:numPr>
        <w:spacing w:after="60" w:line="264"/>
      </w:pPr>
      <w:r>
        <w:rPr>
          <w:rFonts w:ascii="Calibri" w:cs="Calibri" w:eastAsia="Calibri" w:hAnsi="Calibri"/>
          <w:sz w:val="21"/>
          <w:szCs w:val="21"/>
        </w:rPr>
        <w:t xml:space="preserve">Une exigence n’est jamais modifiée : elle est RETIRÉE (motif, date, ADR) et remplacée par un nouvel ID.</w:t>
      </w:r>
    </w:p>
    <w:p>
      <w:pPr>
        <w:pStyle w:val="ListParagraph"/>
        <w:numPr>
          <w:ilvl w:val="0"/>
          <w:numId w:val="2"/>
        </w:numPr>
        <w:spacing w:after="60" w:line="264"/>
      </w:pPr>
      <w:r>
        <w:rPr>
          <w:rFonts w:ascii="Calibri" w:cs="Calibri" w:eastAsia="Calibri" w:hAnsi="Calibri"/>
          <w:sz w:val="21"/>
          <w:szCs w:val="21"/>
        </w:rPr>
        <w:t xml:space="preserve">Toute modification d’ISC-TM déclenche une revue de la partie III dans la semaine.</w:t>
      </w:r>
    </w:p>
    <w:p>
      <w:pPr>
        <w:pStyle w:val="ListParagraph"/>
        <w:numPr>
          <w:ilvl w:val="0"/>
          <w:numId w:val="2"/>
        </w:numPr>
        <w:spacing w:after="60" w:line="264"/>
      </w:pPr>
      <w:r>
        <w:rPr>
          <w:rFonts w:ascii="Calibri" w:cs="Calibri" w:eastAsia="Calibri" w:hAnsi="Calibri"/>
          <w:sz w:val="21"/>
          <w:szCs w:val="21"/>
        </w:rPr>
        <w:t xml:space="preserve">Passage en APPROVED après relecture intégrale du candidat et présentation au superviseur ; versionnement 1.x à chaque ADR.</w:t>
      </w:r>
    </w:p>
    <w:p>
      <w:pPr>
        <w:pStyle w:val="ListParagraph"/>
        <w:numPr>
          <w:ilvl w:val="0"/>
          <w:numId w:val="2"/>
        </w:numPr>
        <w:spacing w:after="60" w:line="264"/>
      </w:pPr>
      <w:r>
        <w:rPr>
          <w:rFonts w:ascii="Calibri" w:cs="Calibri" w:eastAsia="Calibri" w:hAnsi="Calibri"/>
          <w:sz w:val="21"/>
          <w:szCs w:val="21"/>
        </w:rPr>
        <w:t xml:space="preserve">Revue hebdomadaire : livrable démontrable, questions ouvertes, risques ; compte rendu dans docs/03-revues/.</w:t>
      </w:r>
    </w:p>
    <w:p>
      <w:pPr>
        <w:pStyle w:val="ListParagraph"/>
        <w:numPr>
          <w:ilvl w:val="0"/>
          <w:numId w:val="2"/>
        </w:numPr>
        <w:spacing w:after="60" w:line="264"/>
      </w:pPr>
      <w:r>
        <w:rPr>
          <w:rFonts w:ascii="Calibri" w:cs="Calibri" w:eastAsia="Calibri" w:hAnsi="Calibri"/>
          <w:sz w:val="21"/>
          <w:szCs w:val="21"/>
        </w:rPr>
        <w:t xml:space="preserve">Les versions FR et EN sont modifiées ensemble ; un écart entre elles est un défaut bloquant.</w:t>
      </w:r>
    </w:p>
    <w:p>
      <w:pPr>
        <w:pStyle w:val="Heading2"/>
        <w:spacing w:after="100" w:before="220"/>
      </w:pPr>
      <w:r>
        <w:rPr>
          <w:rFonts w:ascii="Calibri" w:cs="Calibri" w:eastAsia="Calibri" w:hAnsi="Calibri"/>
        </w:rPr>
        <w:t xml:space="preserve">17. ADR alloués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ADR</w:t>
            </w:r>
          </w:p>
        </w:tc>
        <w:tc>
          <w:tcPr>
            <w:tcW w:type="dxa" w:w="7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Décision</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ADR-001</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PDP appelé par le cœur via /evaluate ; décision graduée.</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ADR-002</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Device binding en veto central ; comportemental en score.</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ADR-003</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Stack (CT-01).</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ADR-004</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Poste attaquant option C.</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ADR-005</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ML en évaluateur ombre.</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ADR-006</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Répartition candidat / outillage IA ; revue obligatoire ; déclaration.</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ADR-007</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Fail-closed au-dessus de CAP_PROB.</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ADR-008</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Agent complice dans le modèle.</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ADR-009</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Journal par chaînage d’empreintes.</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ADR-010</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RENVERSÉ (v1.3) : révocation immédiate de l’ancienne clé (ES-14b).</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ADR-011</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Probation indifférente au motif de remplacement de SIM (ES-16b).</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ADR-012</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Changement d’IMSI → PROBATION plafonnée, pas FROZEN ; levée par contact de confiance (D-01).</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ADR-013</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RENVERSÉ (v1.3) : l’aiguillage enrôlement / ré-enrôlement repose sur la seule présence d’une clé (ES-17b).</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ADR-014</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Facteurs par canal : la signature remplace l’OTP sur l’application (D-05).</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ADR-015</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PÉRIMÈTRE RÉDUIT (v1.3) : contacts de confiance retirés du parcours applicatif ; rôle sur USSD DIFFÉRÉ (QO-19).</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ADR-016</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Fonction d’agrégation du score (à produire dans le SAD, D-10).</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ADR-029</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Code de récupération à affichage unique comme facteur de ré-enrôlement (ES-18, ES-19).</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ADR-030</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Limitation par délai croissant sur l’appareil demandeur, jamais par verrouillage de compte (ES-21, ES-22). Fondement : OWASP.</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ADR-031</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Unicité de la clé ACTIVE par compte (ES-20).</w:t>
            </w:r>
          </w:p>
        </w:tc>
      </w:tr>
    </w:tbl>
    <w:p>
      <w:pPr>
        <w:spacing w:after="80"/>
      </w:pPr>
    </w:p>
    <w:p>
      <w:pPr>
        <w:pStyle w:val="Heading2"/>
        <w:spacing w:after="100" w:before="220"/>
      </w:pPr>
      <w:r>
        <w:rPr>
          <w:rFonts w:ascii="Calibri" w:cs="Calibri" w:eastAsia="Calibri" w:hAnsi="Calibri"/>
        </w:rPr>
        <w:t xml:space="preserve">18. Questions ouvertes bloquant le passage en APPROVED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18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6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Question</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Bloque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QO-02</w:t>
            </w:r>
          </w:p>
        </w:tc>
        <w:tc>
          <w:tcPr>
            <w:tcW w:type="dxa" w:w="6300"/>
            <w:tcMar>
              <w:top w:type="dxa" w:w="50"/>
              <w:left w:type="dxa" w:w="90"/>
              <w:bottom w:type="dxa" w:w="50"/>
              <w:right w:type="dxa" w:w="90"/>
            </w:tcMar>
          </w:tcPr>
          <w:p>
            <w:pPr>
              <w:spacing w:after="30" w:line="240"/>
            </w:pPr>
            <w:r>
              <w:rPr>
                <w:rFonts w:ascii="Calibri" w:cs="Calibri" w:eastAsia="Calibri" w:hAnsi="Calibri"/>
                <w:sz w:val="18"/>
                <w:szCs w:val="18"/>
              </w:rPr>
              <w:t xml:space="preserve">Dates imposées par l’ICT University.</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§13, CT-05</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QO-03</w:t>
            </w:r>
          </w:p>
        </w:tc>
        <w:tc>
          <w:tcPr>
            <w:tcW w:type="dxa" w:w="6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Format, langue, style de citation du mémoire.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L-22</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QO-04</w:t>
            </w:r>
          </w:p>
        </w:tc>
        <w:tc>
          <w:tcPr>
            <w:tcW w:type="dxa" w:w="6300"/>
            <w:tcMar>
              <w:top w:type="dxa" w:w="50"/>
              <w:left w:type="dxa" w:w="90"/>
              <w:bottom w:type="dxa" w:w="50"/>
              <w:right w:type="dxa" w:w="90"/>
            </w:tcMar>
          </w:tcPr>
          <w:p>
            <w:pPr>
              <w:spacing w:after="30" w:line="240"/>
            </w:pPr>
            <w:r>
              <w:rPr>
                <w:rFonts w:ascii="Calibri" w:cs="Calibri" w:eastAsia="Calibri" w:hAnsi="Calibri"/>
                <w:sz w:val="18"/>
                <w:szCs w:val="18"/>
              </w:rPr>
              <w:t xml:space="preserve">Heures hebdomadaires réelles.</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HP-4</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QO-11</w:t>
            </w:r>
          </w:p>
        </w:tc>
        <w:tc>
          <w:tcPr>
            <w:tcW w:type="dxa" w:w="6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Sources publiques de calibration.</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EAR-06</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QO-13</w:t>
            </w:r>
          </w:p>
        </w:tc>
        <w:tc>
          <w:tcPr>
            <w:tcW w:type="dxa" w:w="6300"/>
            <w:tcMar>
              <w:top w:type="dxa" w:w="50"/>
              <w:left w:type="dxa" w:w="90"/>
              <w:bottom w:type="dxa" w:w="50"/>
              <w:right w:type="dxa" w:w="90"/>
            </w:tcMar>
          </w:tcPr>
          <w:p>
            <w:pPr>
              <w:spacing w:after="30" w:line="240"/>
            </w:pPr>
            <w:r>
              <w:rPr>
                <w:rFonts w:ascii="Calibri" w:cs="Calibri" w:eastAsia="Calibri" w:hAnsi="Calibri"/>
                <w:sz w:val="18"/>
                <w:szCs w:val="18"/>
              </w:rPr>
              <w:t xml:space="preserve">Licence du dépôt.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CT-06</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QO-17</w:t>
            </w:r>
          </w:p>
        </w:tc>
        <w:tc>
          <w:tcPr>
            <w:tcW w:type="dxa" w:w="6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Confirmation que la plage MSISDN fictive est hors de tout bloc attribué par l’ART.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ED-09</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QO-19</w:t>
            </w:r>
          </w:p>
        </w:tc>
        <w:tc>
          <w:tcPr>
            <w:tcW w:type="dxa" w:w="6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Rôle des contacts de confiance sur le canal USSD, après leur retrait du parcours applicatif (ISC-AMD-01 §8).</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ES-06, ES-03b, EF-44</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QM-05</w:t>
            </w:r>
          </w:p>
        </w:tc>
        <w:tc>
          <w:tcPr>
            <w:tcW w:type="dxa" w:w="6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Traitement d’un code de récupération perdu (audit du 30/08/2026, gravité G1). L’application n’affiche qu’un écran d’orientation tant que ce point n’est pas tranché.</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ES-18, ISC-MOB-SPEC E-26</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QM-14</w:t>
            </w:r>
          </w:p>
        </w:tc>
        <w:tc>
          <w:tcPr>
            <w:tcW w:type="dxa" w:w="6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Politique anti-force-brute du PIN sur les canaux app et USSD. Recommandation : trois essais puis délai croissant par origine, jamais de blocage du compte.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ES-21, ES-22</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QF-01</w:t>
            </w:r>
          </w:p>
        </w:tc>
        <w:tc>
          <w:tcPr>
            <w:tcW w:type="dxa" w:w="6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Quarantaine après le premier enrôlement (fenêtre d’amorçage : SIM-swap antérieur à tout enrôlement). Non retenue par défaut ; risque déclaré.</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ES-25, AC-17 (proposé)</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Version 1.3 : refonte du modèle d’authentification (ISC-AMD-01), fondée sur une vérification empirique et sur les référentiels OWASP. Six exigences retirées avec motif, quatre remplaçantes, dix nouvelles. Ce cahier des charges reste complet au sens d’ISO 29148. Chaque exigence est atomique, testable, priorisée, tracée. La v1.3 n’affecte aucune tâche du mois 2 ; elle contraint le mois 4.</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7"/>
        <w:szCs w:val="17"/>
      </w:rPr>
      <w:t xml:space="preserve">ISC-SRS-FR v1.4 — REVIEW — Page </w:t>
    </w:r>
    <w:r>
      <w:rPr>
        <w:rFonts w:ascii="Calibri" w:cs="Calibri" w:eastAsia="Calibri" w:hAnsi="Calibri"/>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597"/>
      <w:sz w:val="25"/>
      <w:szCs w:val="25"/>
    </w:rPr>
  </w:style>
  <w:style w:type="paragraph" w:styleId="Heading3">
    <w:name w:val="Heading 3"/>
    <w:basedOn w:val="Normal"/>
    <w:next w:val="Normal"/>
    <w:qFormat/>
    <w:pPr>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IdentiShield-CM — Cahier des charges v1.2</dc:title>
  <dc:creator>IdentiShield-CM</dc:creator>
  <cp:lastModifiedBy>Un-named</cp:lastModifiedBy>
  <cp:revision>1</cp:revision>
  <dcterms:created xsi:type="dcterms:W3CDTF">2026-08-22T17:46:14.411Z</dcterms:created>
  <dcterms:modified xsi:type="dcterms:W3CDTF">2026-08-22T17:46:14.422Z</dcterms:modified>
</cp:coreProperties>
</file>

<file path=docProps/custom.xml><?xml version="1.0" encoding="utf-8"?>
<Properties xmlns="http://schemas.openxmlformats.org/officeDocument/2006/custom-properties" xmlns:vt="http://schemas.openxmlformats.org/officeDocument/2006/docPropsVTypes"/>
</file>