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DOCUMENT D’ARCHITECTURE LOGICIELLE</w:t>
      </w:r>
    </w:p>
    <w:p>
      <w:pPr>
        <w:spacing w:after="460"/>
        <w:jc w:val="center"/>
      </w:pPr>
      <w:r>
        <w:rPr>
          <w:rFonts w:ascii="Calibri" w:cs="Calibri" w:eastAsia="Calibri" w:hAnsi="Calibri"/>
          <w:sz w:val="21"/>
          <w:szCs w:val="21"/>
        </w:rPr>
        <w:t xml:space="preserve">Software Architecture Document — structure arc42, vues C4, contrats, sécurité, données, décisions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ISC-SAD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 — cinq décisions passées en FERME après exécution des cinq spikes ; ADR-016 demeure PROVISOIRE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28 août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Yaniv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ISC-SRS-FR/EN v1.2 (APPROVED) ; ISC-TM v1.1 ; ISC-ADD v1.0 ; résultats des spikes 1 à 5</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ISC-EVAL (protocole d’évaluation) ; ISC-TEST (stratégie de test) ; ISC-PROC (processus) ; ISC-DEMO</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Notation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arc42 pour la structure ; C4 (contexte, conteneurs, composants) pour les vues statiques ; diagrammes de séquence et d’états UML pour le dynamique. Tous les diagrammes sont maintenus en code (PlantUML) dans docs/diagrams/ et rendus en CI.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Règle de 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dépendant d’un spike non exécuté porte la mention PROVISOIRE. Elle devient FERME uniquement après consignation du résultat dans l’ADR correspondant. En v1.1, ADR-017 à 021 sont FERMES ; ADR-016 reste PROVISOIRE car il ne dépendait d’aucun spike mais du jeu de données gelé (mois 3).</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6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Six décisions marquées PROVISOIRE en attente des spikes.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28/08/2026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Intégration des résultats des cinq spikes. ADR-017 à 021 passés en FERME ; ADR-016 maintenu PROVISOIRE (dépend du jeu gelé, mois 3). Ajout de §1.4 (obligations issues des spikes), §1.5 (enveloppe de performance mesurée), correction du chemin du contrat (contracts/ et non docs/contracts/), intégration des ADR-022 à 028. Sept obligations nouvelles contraignent le développement du mois 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07/09/2026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Refonte du modèle d’authentification (ISC-AMD-01). ADR-010 et ADR-013 RENVERSÉS, ADR-015 réduit, ADR-029 à 031 ajoutés. OB-7 RETIRÉE (révocation immédiate). DeviceRegistry : plus d’état PENDING, aiguillage sur la seule présence d’une clé. Machine à états du compte : PROBATION n’est plus déclenchée par l’enrôlement ; LOCKED n’est plus déclenché par contact ou ancien dispositif. Contrat : POST /enrolment/resolve et /enrolment/complete. Données : recovery_code, enrolment_attempt ; contrainte d’unicité de clé ACTIVE. Paramètres : REENROL_ATTEMPTS, LOCK_BASE, LOCK_MAX, ALERT_REENROL, CODE_LENGTH ; CAR_ENROL retiré. Contacts de confiance DIFFÉRÉS pour l’USSD (QO-19). RA-07 mis à jour. Aucun impact sur T2-01 à T2-08.</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Introduction et objectifs</w:t>
      </w:r>
    </w:p>
    <w:p>
      <w:pPr>
        <w:pStyle w:val="Heading2"/>
        <w:spacing w:after="100" w:before="220"/>
      </w:pPr>
      <w:r>
        <w:rPr>
          <w:rFonts w:ascii="Calibri" w:cs="Calibri" w:eastAsia="Calibri" w:hAnsi="Calibri"/>
        </w:rPr>
        <w:t xml:space="preserve">1.1 Objet de ce document</w:t>
      </w:r>
    </w:p>
    <w:p>
      <w:pPr>
        <w:spacing w:after="100" w:line="264"/>
      </w:pPr>
      <w:r>
        <w:rPr>
          <w:rFonts w:ascii="Calibri" w:cs="Calibri" w:eastAsia="Calibri" w:hAnsi="Calibri"/>
          <w:sz w:val="21"/>
          <w:szCs w:val="21"/>
        </w:rPr>
        <w:t xml:space="preserve">Le SRS décrit ce que le système doit faire ; l’ADD extrait les exigences qui contraignent la structure et les rend mesurables ; le présent document décrit la structure retenue et justifie chaque découpe par un driver. Il est destiné à trois lecteurs : le candidat, qui doit pouvoir expliquer chaque composant sans notes (CR-05) ; l’exécution du code, qui y trouve les contrats à respecter ; le jury, qui y vérifie que l’architecture répond à des contraintes et non à des goûts.</w:t>
      </w:r>
    </w:p>
    <w:p>
      <w:pPr>
        <w:pStyle w:val="Heading2"/>
        <w:spacing w:after="100" w:before="220"/>
      </w:pPr>
      <w:r>
        <w:rPr>
          <w:rFonts w:ascii="Calibri" w:cs="Calibri" w:eastAsia="Calibri" w:hAnsi="Calibri"/>
        </w:rPr>
        <w:t xml:space="preserve">1.2 Objectifs de qualité dominants</w:t>
      </w:r>
    </w:p>
    <w:p>
      <w:pPr>
        <w:spacing w:after="100" w:line="264"/>
      </w:pPr>
      <w:r>
        <w:rPr>
          <w:rFonts w:ascii="Calibri" w:cs="Calibri" w:eastAsia="Calibri" w:hAnsi="Calibri"/>
          <w:sz w:val="21"/>
          <w:szCs w:val="21"/>
        </w:rPr>
        <w:t xml:space="preserve">Rappel de l’ordre fixé en ISC-ADD §3, qui tranche tout arbitrage de ce document : 1) démontrabilité et explicabilité ; 2) correction de sécurité ; 3) testabilité et reproductibilité ; 4) performance ; 5) disponibilité (volontairement sacrifiée au rang 2) ; 6) évolutivité (hors périmètre).</w:t>
      </w:r>
    </w:p>
    <w:p>
      <w:pPr>
        <w:pStyle w:val="Heading2"/>
        <w:spacing w:after="100" w:before="220"/>
      </w:pPr>
      <w:r>
        <w:rPr>
          <w:rFonts w:ascii="Calibri" w:cs="Calibri" w:eastAsia="Calibri" w:hAnsi="Calibri"/>
        </w:rPr>
        <w:t xml:space="preserve">1.3 Parties prenantes et préoccupations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Partie prenante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Préoccupation</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Vue qui y répond</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Pouvoir expliquer et défendre chaque composant</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Toutes ; §15 (ADR)</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Comprendre la décision du système en direct</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 (conteneurs), §7 (dynamique), §10 (sécurité)</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Rigueur méthodologique et traçabilité</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§2 (contraintes), §16 (traçabilité)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Contrats non ambigus</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 (contrats), §9 (données)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Chercheur (évaluation)</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 injection en temps virtuel</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§6.4, §11 (temps), §12 (configuration)</w:t>
            </w:r>
          </w:p>
        </w:tc>
      </w:tr>
    </w:tbl>
    <w:p>
      <w:pPr>
        <w:spacing w:after="80"/>
      </w:pPr>
    </w:p>
    <w:p>
      <w:pPr>
        <w:pStyle w:val="Heading1"/>
        <w:spacing w:after="140" w:before="320"/>
      </w:pPr>
      <w:r>
        <w:rPr>
          <w:rFonts w:ascii="Calibri" w:cs="Calibri" w:eastAsia="Calibri" w:hAnsi="Calibri"/>
        </w:rPr>
        <w:t xml:space="preserve">1bis. Obligations issues des spikes</w:t>
      </w:r>
    </w:p>
    <w:p>
      <w:pPr>
        <w:spacing w:after="100" w:line="264"/>
      </w:pPr>
      <w:r>
        <w:rPr>
          <w:rFonts w:ascii="Calibri" w:cs="Calibri" w:eastAsia="Calibri" w:hAnsi="Calibri"/>
          <w:sz w:val="21"/>
          <w:szCs w:val="21"/>
        </w:rPr>
        <w:t xml:space="preserve">Ces sept obligations n’existaient pas en v1.0. Chacune vient d’un défaut mesuré pendant les spikes, non d’un raisonnement. Elles contraignent directement le développement du mois 4 : une implémentation qui les ignore reproduira le défaut qui les a fait naître.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
        <w:gridCol w:w="3020"/>
        <w:gridCol w:w="4000"/>
        <w:gridCol w:w="1200"/>
      </w:tblGrid>
      <w:tr>
        <w:trPr>
          <w:tblHeader/>
        </w:trPr>
        <w:tc>
          <w:tcPr>
            <w:tcW w:type="dxa" w:w="78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302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Obligation</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D’où elle vient</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OB-1</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Toute règle temporelle DOIT être une fonction pure de (historique, instant) et recalculer sa fenêtre à chaque évaluation. Aucun état mutable élagué au fil du temps n’est admis dans une règle.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SPIKE-2 : l’invariance à la vitesse d’avance de l’horloge n’est pas une propriété de l’horloge mais des règles. Un compteur incrémental — la forme naturelle en production — rendrait l’évaluation irreproductible.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019</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OB-2</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L’index d’ordre de la chaîne d’audit DOIT être assigné à l’intérieur du verrou.</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sans cela, 4 589 fausses ruptures sur 5 000 sous concurrence. Un journal qui signale une altération 92 fois sur 100 cesse d’être lu.</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OB-3</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REVOKE EXECUTE ON ALL FUNCTIONS FROM PUBLIC par défaut dans le schéma d’audit.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SPIKE-3 : PostgreSQL accorde EXECUTE à PUBLIC par défaut ; une fonction SECURITY DEFINER laissait l’adversaire écrire avec les droits de l’administrateur. Troisième occurrence d’un privilège PUBLIC invisible dans les GRANT.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OB-4</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colonne d’ordre du journal DOIT être une colonne d’identité GENERATED ALWAYS.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rend l’insertion entre deux enregistrements impossible par construction — ni par clé dupliquée, ni par renumérotation. Une migration future pourrait retirer cette clause sans que la perte soit visible.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OB-5</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Le terminateur TLS du PDP DOIT rejeter au niveau de la poignée de main. Un refus applicatif est un défaut, pas une variante acceptable.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SPIKE-4 : avec nginx, un adversaire sans certificat valide ouvre une session TLS avec le PDP avant d’être rejeté par un code 400. Le service a été atteint.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OB-6</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client PDP du cœur DOIT utiliser des connexions persistantes, et vérifier la chaîne ET le nom du serveur.</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SPIKE-4 : 65,8 ms en connexion neuve contre 1,7 ms en persistant. Et un certificat valablement signé mais émis pour un autre nom passerait si seule la chaîne était vérifiée.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OB-7</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RETIRÉE (v1.2, ISC-AMD-01). La révocation différée n’avait de sens que pour la confirmation ou l’annulation par l’ancien dispositif, toutes deux supprimées : un ancien appareil volé donnerait au voleur le pouvoir d’approuver. Remplacée par l’obligation inverse : révocation IMMÉDIATE (ES-14b, ES-20).</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Revue de conception du 30/08/2026 ; vérification empirique du 31/08/2026.</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010 renversé, 029, 031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OB-1 et OB-2 sont les plus coûteuses à respecter et les plus faciles à violer sans s’en apercevoir : toutes deux imposent la forme la moins performante au profit de la correction. Leur violation ne produit aucun symptôme visible — seulement des résultats faux.</w:t>
            </w:r>
          </w:p>
        </w:tc>
      </w:tr>
    </w:tbl>
    <w:p>
      <w:pPr>
        <w:pStyle w:val="Heading1"/>
        <w:spacing w:after="140" w:before="320"/>
      </w:pPr>
      <w:r>
        <w:rPr>
          <w:rFonts w:ascii="Calibri" w:cs="Calibri" w:eastAsia="Calibri" w:hAnsi="Calibri"/>
        </w:rPr>
        <w:t xml:space="preserve">1ter. Enveloppe de performance mesurée</w:t>
      </w:r>
    </w:p>
    <w:p>
      <w:pPr>
        <w:spacing w:after="100" w:line="264"/>
      </w:pPr>
      <w:r>
        <w:rPr>
          <w:rFonts w:ascii="Calibri" w:cs="Calibri" w:eastAsia="Calibri" w:hAnsi="Calibri"/>
          <w:sz w:val="21"/>
          <w:szCs w:val="21"/>
        </w:rPr>
        <w:t xml:space="preserve">Toutes les valeurs ci-dessous sont mesurées dans la machine virtuelle de démonstration (4 vCPU, 7,8 Gio, PostgreSQL 16). Elles ne sont pas des objectifs : ce sont les plafonds constatés, sur lesquels le développement du mois 4 doit se dimensionner.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Grandeur</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 mesurée</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Conséquence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Signature de dispositif (Android, TEE)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p50 10–14 ms, p95 11–18 ms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Négligeable devant le budget ENF-01 de 500 ms.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connexions persistantes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1,7 ms au p95, soit 0,34 % du budget</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ADR-021 confirmé sans réserve.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 neuve par appel</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65,8 ms au p95, soit 13,2 % du budget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Motive OB-6.</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d’audit chaînée, régime en ligne (unitaire, durable)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133 écritures/s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PLAFOND RÉEL du journal. Marge de ×2,6 sur SQ-30 (50 tx/s), et non ×56.</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unitaire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÷1,25 — le commit durable domine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Le chaînage n’est pas le goulot en ligne.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par lots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÷2,7 — le verrou de sérialisation domine</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coût du chaînage dépend du régime ; les deux chiffres ne se transposent pas.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Injection du jeu v1 (500 000 transactions, mode par lots)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 2 822 tx/s, 177 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ISC-EVAL §3.5 tient sans ajustement.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Injection, un appel HTTP par transaction</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97 tx/s, ≈ 86 min extrapolées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RA-06 confirmé : mode écarté.</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incrémentale depuis l’ancre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17 ms sur 500 000 enregistrements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L’acte 4 d’ISC-DEMO est réalisable en direct.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complète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6,8 s sur 500 000 enregistrements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Utilisable aussi en séance.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Empreinte disque du jeu v1</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221,7 Mo, dont ≈ 326 octets/txn pour l’audit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0,37 % des 60 Go de la VM.</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Démarrage de la pile avec génération de l’autorité</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13,6 s (10,3 s en réutilisation)</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Très en deçà des 10 min d’ENF-05.</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 chiffre à retenir : le débit d’injection (2 822/s) n’est pas le débit d’évaluation en ligne (133/s). Les deux régimes divergent d’un facteur 21. Confondre les deux donnerait une marge de ×56 là où la marge réelle est de ×2,6.</w:t>
            </w:r>
          </w:p>
        </w:tc>
      </w:tr>
    </w:tbl>
    <w:p>
      <w:pPr>
        <w:pStyle w:val="Heading1"/>
        <w:spacing w:after="140" w:before="320"/>
      </w:pPr>
      <w:r>
        <w:rPr>
          <w:rFonts w:ascii="Calibri" w:cs="Calibri" w:eastAsia="Calibri" w:hAnsi="Calibri"/>
        </w:rPr>
        <w:t xml:space="preserve">2. Contraintes</w:t>
      </w:r>
    </w:p>
    <w:p>
      <w:pPr>
        <w:spacing w:after="100" w:line="264"/>
      </w:pPr>
      <w:r>
        <w:rPr>
          <w:rFonts w:ascii="Calibri" w:cs="Calibri" w:eastAsia="Calibri" w:hAnsi="Calibri"/>
          <w:sz w:val="21"/>
          <w:szCs w:val="21"/>
        </w:rPr>
        <w:t xml:space="preserve">Reprise intégrale d’ISC-ADD §2 (C-01 à C-08). Elles ne sont pas rediscutées ici ; elles bornent l’espace de solutions. Les deux plus structurantes pour ce document : C-02 (le canal USSD n’a aucune capacité cryptographique, donc le moteur de décision doit être indépendant du canal) et C-08 (le temps est injectable, donc aucune règle ne lit l’horloge système).</w:t>
      </w:r>
    </w:p>
    <w:p>
      <w:pPr>
        <w:pStyle w:val="Heading1"/>
        <w:spacing w:after="140" w:before="320"/>
      </w:pPr>
      <w:r>
        <w:rPr>
          <w:rFonts w:ascii="Calibri" w:cs="Calibri" w:eastAsia="Calibri" w:hAnsi="Calibri"/>
        </w:rPr>
        <w:t xml:space="preserve">3. Périmètre et contexte (C4 niveau 1)</w:t>
      </w:r>
    </w:p>
    <w:p>
      <w:pPr>
        <w:pStyle w:val="Heading2"/>
        <w:spacing w:after="100" w:before="220"/>
      </w:pPr>
      <w:r>
        <w:rPr>
          <w:rFonts w:ascii="Calibri" w:cs="Calibri" w:eastAsia="Calibri" w:hAnsi="Calibri"/>
        </w:rPr>
        <w:t xml:space="preserve">3.1 Contexte</w:t>
      </w:r>
    </w:p>
    <w:p>
      <w:pPr>
        <w:spacing w:after="100" w:line="264"/>
      </w:pPr>
      <w:r>
        <w:rPr>
          <w:rFonts w:ascii="Calibri" w:cs="Calibri" w:eastAsia="Calibri" w:hAnsi="Calibri"/>
          <w:sz w:val="21"/>
          <w:szCs w:val="21"/>
        </w:rPr>
        <w:t xml:space="preserve">Le système sous étude est le sandbox complet. Il n’a aucune dépendance externe : toute interface vers le monde réel est simulée (C-03).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 ou système externe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Nature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Interaction</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Utilisateur (application)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Android avec Keystore matériel</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Enrôle, transige, signe, répond aux STEP_UP</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(USSD)</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basique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Transige par sessions de menu, sans capacité cryptographique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tierce désignée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Confirme ou refuse hors-bande (application ou USSD)</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SOC</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authentifiée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 traite les gels, vérifie l’intégrité du journal</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outil HLR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Remplace une SIM ; légitime ou complice, indistinguable par le système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 AC-01 à AC-13</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Génère, injecte, évalue</w:t>
            </w:r>
          </w:p>
        </w:tc>
      </w:tr>
    </w:tbl>
    <w:p>
      <w:pPr>
        <w:spacing w:after="80"/>
      </w:pPr>
    </w:p>
    <w:p>
      <w:pPr>
        <w:pStyle w:val="Heading2"/>
        <w:spacing w:after="100" w:before="220"/>
      </w:pPr>
      <w:r>
        <w:rPr>
          <w:rFonts w:ascii="Calibri" w:cs="Calibri" w:eastAsia="Calibri" w:hAnsi="Calibri"/>
        </w:rPr>
        <w:t xml:space="preserve">3.2 Frontières de confiance</w:t>
      </w:r>
    </w:p>
    <w:p>
      <w:pPr>
        <w:spacing w:after="100" w:line="264"/>
      </w:pPr>
      <w:r>
        <w:rPr>
          <w:rFonts w:ascii="Calibri" w:cs="Calibri" w:eastAsia="Calibri" w:hAnsi="Calibri"/>
          <w:sz w:val="21"/>
          <w:szCs w:val="21"/>
        </w:rPr>
        <w:t xml:space="preserve">Cinq frontières, reprises d’ISC-TM §4 : (a) dispositif ↔ opérateur ; (b) réseau télécom (HLR) ↔ opérateur ; (c) opérateur ↔ PDP ; (d) humains SOC ↔ PDP ; (e) PDP ↔ journal d’audit. Chaque frontière porte une exigence d’authentification distincte (§10.1).</w:t>
      </w:r>
    </w:p>
    <w:p>
      <w:pPr>
        <w:pStyle w:val="Heading1"/>
        <w:spacing w:after="140" w:before="320"/>
      </w:pPr>
      <w:r>
        <w:rPr>
          <w:rFonts w:ascii="Calibri" w:cs="Calibri" w:eastAsia="Calibri" w:hAnsi="Calibri"/>
        </w:rPr>
        <w:t xml:space="preserve">4. Vue conteneurs (C4 niveau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000"/>
        <w:gridCol w:w="15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Conteneur</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Technologie (C-06)</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Persistance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Simule l’opérateur : comptes, soldes, HLR, OTP, sessions USSD, transactions, notifications simulées. Appelle le PDP avant tout commit d’une sortie sensible. Porte le mode sans couche.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schéma core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 registre de dispositifs, vérification de signature, machine à états de confiance, moteur de règles, gels, contacts de confiance, nonces, journal d’audit chaîné, évaluateur ombre.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schéma pdp</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Supervision temps réel, file de travail analyste, chronologie d’attaque, intégrité du journal, page d’évaluation.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Next.js</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 (lecture via API)</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 utilisateur : enrôlement, signature, réponse aux STEP_UP, contacts de confiance, récupération.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Kotlin / Android natif</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matériel + stockage local</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isc-sim</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Générateur à base d’agents, injection d’attaques étiquetées, rapport de plausibilité.</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(Mesa ou SimPy)</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attaquant : exécute AC-01 à AC-13, publie la chronologie.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isc-hlr-agent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Outil agent opérateur : remplacement de SIM avec motif et identifiant d’agent.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métriques, comparaison règles / modèle appris, sensibilité, figures.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(scikit-learn, Matplotlib)</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Base unique, deux schémas séparés, rôles distincts (C-07).</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PostgreSQL</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1"/>
          <w:szCs w:val="21"/>
        </w:rPr>
        <w:t xml:space="preserve">Neuf conteneurs, dont deux services applicatifs seulement. Ce découpage minimal est un arbitrage assumé (ISC-ADD §6, sobriété contre séparation) : le candidat doit pouvoir tout expliquer (CR-05).</w:t>
      </w:r>
    </w:p>
    <w:p>
      <w:pPr>
        <w:pStyle w:val="Heading2"/>
        <w:spacing w:after="100" w:before="220"/>
      </w:pPr>
      <w:r>
        <w:rPr>
          <w:rFonts w:ascii="Calibri" w:cs="Calibri" w:eastAsia="Calibri" w:hAnsi="Calibri"/>
        </w:rPr>
        <w:t xml:space="preserve">4.1 Flux entre conteneurs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Protocole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Enrôlement, transactions signées, réponses STEP_UP (IR-03)</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 isc-hlr-agent, isc-sim</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jetons d’outil distincts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Sessions USSD simulées, transactions, remplacement de SIM (IR-08, IR-09)</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 mTLS, délai 800 ms</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POST /evaluate, GET /nonce, POST /freeze/{id}/release (IR-01)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(IR-02)</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Demande d’émission de notification (IR-06)</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 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 SSE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 actions analyste (IR-07)</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lecture seule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prédictions ombre (IR-10)</w:t>
            </w:r>
          </w:p>
        </w:tc>
      </w:tr>
    </w:tbl>
    <w:p>
      <w:pPr>
        <w:spacing w:after="80"/>
      </w:pPr>
    </w:p>
    <w:p>
      <w:pPr>
        <w:pStyle w:val="Heading1"/>
        <w:spacing w:after="140" w:before="320"/>
      </w:pPr>
      <w:r>
        <w:rPr>
          <w:rFonts w:ascii="Calibri" w:cs="Calibri" w:eastAsia="Calibri" w:hAnsi="Calibri"/>
        </w:rPr>
        <w:t xml:space="preserve">5. Vue composants — isc-pdp (C4 niveau 3)</w:t>
      </w:r>
    </w:p>
    <w:p>
      <w:pPr>
        <w:spacing w:after="100" w:line="264"/>
      </w:pPr>
      <w:r>
        <w:rPr>
          <w:rFonts w:ascii="Calibri" w:cs="Calibri" w:eastAsia="Calibri" w:hAnsi="Calibri"/>
          <w:sz w:val="21"/>
          <w:szCs w:val="21"/>
        </w:rPr>
        <w:t xml:space="preserve">Le PDP est le composant central de la thèse. Son découpage interne suit une règle unique : ce qui doit être testé isolément est un composant séparé (SQ-23).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00"/>
        <w:gridCol w:w="19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w:t>
            </w:r>
          </w:p>
        </w:tc>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Dépendances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Point d’entrée de /evaluate. Ordonne : vérification de signature → état de confiance → règles → décision → audit. Ne contient aucune règle métier.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tous les suivants</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SignatureVerifier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 la signature d’un canonical contre une clé ACTIVE du compte ; consomme le nonce. Aucune autre responsabilité.</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 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NonceStore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DeviceRegistry</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Cycle de vie des clés : ACTIVE, REVOKED — plus d’état PENDING. Aiguillage enrôlement / ré-enrôlement sur la seule présence d’une clé (ES-17b). Une seule clé ACTIVE par compte (ES-20) ; révocation immédiate de la précédente (ES-14b).</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 OB-1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RecoveryCodeStore, 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RecoveryCodeStore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Génération du code de récupération, stockage de l’empreinte à sel unique seulement, vérification à temps constant, consommation et régénération (ES-18). Ne conserve jamais le code en clair.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EnrolmentThrottle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Délai croissant sur l’appareil demandeur et l’origine réseau, plafonné par LOCK_MAX ; comptage par compte pour l’alerte sans jamais restreindre le compte (ES-21, ES-24) ; réponses uniformes (ES-22).</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 SQ-30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NonceStore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Émission, usage unique, expiration 120 s.</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 transitions et leurs causes ; restrictions de PROBATION (CAP_PROB, bénéficiaires connus).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AuditLog</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RuleEngine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de règles ; exécute chaque règle, collecte les contributions, agrège, applique les seuils 40/70.</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Rules, ConfigProvider</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Rules (BeneficiaryRule, VelocityRule, NightRule, LocalityRule, AmountRule)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Une règle = une classe = une contribution ; aucune règle ne connaît les autres ; aucune ne lit l’horloge (elle reçoit l’instant en paramètre). OB-1 : fonction pure, fenêtre recalculée à chaque évaluation, aucun état mutable élagué au fil du temps.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SQ-23, SQ-41, C-08, OB-1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(injecté)</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Création avec TTL, levée avec preuve, quatre-yeux au-dessus de THR_4EYES, annulation à expiration (fail-closed).</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 AuditLog, NotificationClient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TrustedContactManager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DIFFÉRÉ (v1.2, QO-19) : retiré du parcours applicatif. Enregistrement, demande, réponse et expiration pour le canal USSD, à trancher. Composant conservé, non implémenté au mois 4 sans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ES-06 (USSD), QO-19</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NotificationClient, 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seule, chaînage SHA-256, index d’ordre assigné dans le verrou (OB-2), ancrage périodique signé hors base, vérification complète et incrémentale.</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SQ-05, OB-2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ConfigProvider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Charge les paramètres nommés depuis une configuration versionnée ; expose la version à chaque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SQ-40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Appelle le modèle appris sur le même contexte, journalise la prédiction, n’influence jamais la décision.</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Abstraction du temps : horloge réelle ou virtuelle injectée.</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SQ-20, C-08</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Règle d’architecture appliquée ici : les vérifications déterministes (signature, état de confiance) sont des composants distincts du moteur de score. Un veto ne passe jamais par le RuleEngine. Cette séparation est ce qui rend la décision explicable au jury (SQ-10).</w:t>
            </w:r>
          </w:p>
        </w:tc>
      </w:tr>
    </w:tbl>
    <w:p>
      <w:pPr>
        <w:pStyle w:val="Heading1"/>
        <w:spacing w:after="140" w:before="320"/>
      </w:pPr>
      <w:r>
        <w:rPr>
          <w:rFonts w:ascii="Calibri" w:cs="Calibri" w:eastAsia="Calibri" w:hAnsi="Calibri"/>
        </w:rPr>
        <w:t xml:space="preserve">6. Vue composants — autres conteneurs</w:t>
      </w:r>
    </w:p>
    <w:p>
      <w:pPr>
        <w:pStyle w:val="Heading2"/>
        <w:spacing w:after="100" w:before="220"/>
      </w:pPr>
      <w:r>
        <w:rPr>
          <w:rFonts w:ascii="Calibri" w:cs="Calibri" w:eastAsia="Calibri" w:hAnsi="Calibri"/>
        </w:rPr>
        <w:t xml:space="preserve">6.1 isc-core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AccountService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Comptes, soldes, historique.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HlrService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 IMSI courant, historique des réassignations avec agent et motif ; émet l’événement de changement.</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motif est journalisé mais jamais transmis au PDP (ES-16b).</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OtpService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Émission vers l’IMSI courant — reproduction fidèle de la faiblesse réelle.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Accepté sur application uniquement à l’enrôlement (ADR-014).</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UssdSessionMachine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 : menu, saisie, confirmation.</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 secret cryptographique (C-02).</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Crée la transaction, appelle le PDP, applique la décision, commit ou non.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Porte la machine à états de la transaction (§7.4, RA-05).</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PdpClient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 mTLS sur connexions PERSISTANTES (OB-6), vérification de la chaîne ET du nom du serveur, délai 800 ms, disjoncteur, politique fail-closed paramétrée.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SQ-31, OB-6. Surcoût mesuré : 1,7 ms p95.</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NotificationService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Boîte SMS et push simulée, consultable par la console et l’application.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par ENF-17 (aucun lien cliquable).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BypassSwitch</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 pour la démonstration avant/après.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affiché sans ambiguïté en console (EF-36).</w:t>
            </w:r>
          </w:p>
        </w:tc>
      </w:tr>
    </w:tbl>
    <w:p>
      <w:pPr>
        <w:spacing w:after="80"/>
      </w:pPr>
    </w:p>
    <w:p>
      <w:pPr>
        <w:pStyle w:val="Heading2"/>
        <w:spacing w:after="100" w:before="220"/>
      </w:pPr>
      <w:r>
        <w:rPr>
          <w:rFonts w:ascii="Calibri" w:cs="Calibri" w:eastAsia="Calibri" w:hAnsi="Calibri"/>
        </w:rPr>
        <w:t xml:space="preserve">6.2 isc-console</w:t>
      </w:r>
    </w:p>
    <w:p>
      <w:pPr>
        <w:spacing w:after="100" w:line="264"/>
      </w:pPr>
      <w:r>
        <w:rPr>
          <w:rFonts w:ascii="Calibri" w:cs="Calibri" w:eastAsia="Calibri" w:hAnsi="Calibri"/>
          <w:sz w:val="21"/>
          <w:szCs w:val="21"/>
        </w:rPr>
        <w:t xml:space="preserve">Quatre vues : supervision temps réel (flux, décision colorée, raisons, état HLR, état du PDP, mode sans couche) ; file de travail analyste (gels, actions, justification obligatoire, quatre-yeux) ; chronologie d’attaque (alimentée par isc-attacker) ; évaluation (figures produites par isc-eval). L’authentification analyste et le contrôle par rôles sont portés par le PDP, pas par la console (§10.1).</w:t>
      </w:r>
    </w:p>
    <w:p>
      <w:pPr>
        <w:pStyle w:val="Heading2"/>
        <w:spacing w:after="100" w:before="220"/>
      </w:pPr>
      <w:r>
        <w:rPr>
          <w:rFonts w:ascii="Calibri" w:cs="Calibri" w:eastAsia="Calibri" w:hAnsi="Calibri"/>
        </w:rPr>
        <w:t xml:space="preserve">6.3 isc-app</w:t>
      </w:r>
    </w:p>
    <w:p>
      <w:pPr>
        <w:spacing w:after="100" w:line="264"/>
      </w:pPr>
      <w:r>
        <w:rPr>
          <w:rFonts w:ascii="Calibri" w:cs="Calibri" w:eastAsia="Calibri" w:hAnsi="Calibri"/>
          <w:sz w:val="21"/>
          <w:szCs w:val="21"/>
        </w:rPr>
        <w:t xml:space="preserve">Trois responsabilités seulement : gestion de la clé (génération dans le Keystore, signature du canonical), écrans utilisateur, réponse aux STEP_UP et aux demandes de contact de confiance. Aucune logique de décision côté client : l’application n’est jamais une autorité.</w:t>
      </w:r>
    </w:p>
    <w:p>
      <w:pPr>
        <w:pStyle w:val="Heading2"/>
        <w:spacing w:after="100" w:before="220"/>
      </w:pPr>
      <w:r>
        <w:rPr>
          <w:rFonts w:ascii="Calibri" w:cs="Calibri" w:eastAsia="Calibri" w:hAnsi="Calibri"/>
        </w:rPr>
        <w:t xml:space="preserve">6.4 isc-sim et isc-eval</w:t>
      </w:r>
    </w:p>
    <w:p>
      <w:pPr>
        <w:spacing w:after="100" w:line="264"/>
      </w:pPr>
      <w:r>
        <w:rPr>
          <w:rFonts w:ascii="Calibri" w:cs="Calibri" w:eastAsia="Calibri" w:hAnsi="Calibri"/>
          <w:sz w:val="21"/>
          <w:szCs w:val="21"/>
        </w:rPr>
        <w:t xml:space="preserve">Le générateur produit des transactions étiquetées en temps virtuel. Le mode d’injection est FERMÉ par ADR-017 après SPIKE-5 : injection HTTP par lots de 1 000. Mesuré à 2 822 transactions par seconde, soit 500 000 transactions en 177 secondes. Ce mode a été retenu contre l’appel direct en procédure, à débit comparable (2 563/s), parce qu’il conserve la fidélité du PDP en processus séparé et de la couche réseau. L’appel HTTP unitaire est écarté : 97 transactions par seconde, soit environ 86 minutes — RA-06 confirmé. L’équivalence des décisions entre injection unitaire et par lots est prouvée par empreinte identique de la séquence complète (SPIKE-5, Q7), à la condition OB-1.</w:t>
      </w:r>
    </w:p>
    <w:p>
      <w:pPr>
        <w:pStyle w:val="Heading1"/>
        <w:spacing w:after="140" w:before="320"/>
      </w:pPr>
      <w:r>
        <w:rPr>
          <w:rFonts w:ascii="Calibri" w:cs="Calibri" w:eastAsia="Calibri" w:hAnsi="Calibri"/>
        </w:rPr>
        <w:t xml:space="preserve">7. Vue dynamique</w:t>
      </w:r>
    </w:p>
    <w:p>
      <w:pPr>
        <w:spacing w:after="100" w:line="264"/>
      </w:pPr>
      <w:r>
        <w:rPr>
          <w:rFonts w:ascii="Calibri" w:cs="Calibri" w:eastAsia="Calibri" w:hAnsi="Calibri"/>
          <w:sz w:val="21"/>
          <w:szCs w:val="21"/>
        </w:rPr>
        <w:t xml:space="preserve">Cinq flux critiques. Ils sont maintenus en PlantUML dans docs/diagrams/ et rendus en CI ; les descriptions ci-dessous en sont la version normative.</w:t>
      </w:r>
    </w:p>
    <w:p>
      <w:pPr>
        <w:pStyle w:val="Heading2"/>
        <w:spacing w:after="100" w:before="220"/>
      </w:pPr>
      <w:r>
        <w:rPr>
          <w:rFonts w:ascii="Calibri" w:cs="Calibri" w:eastAsia="Calibri" w:hAnsi="Calibri"/>
        </w:rPr>
        <w:t xml:space="preserve">7.1 Sortie sensible sur le canal application (UC-02)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8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demande un nonce : GET /nonce (via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 construit le canonical {compte, montant, bénéficiaire, type, nonce} et le signe avec la clé du Keystore.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envoie la transaction signée à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 crée la transaction à l’état PENDING_DECISION et appelle POST /evaluate.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 : SignatureVerifier (veto d’exécution) → TrustStateMachine (restrictions de PROBATION) → RuleEngine (score) → décision.</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 écrit l’entrée chaînée ; ShadowEvaluator journalise sa prédiction sans influence.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7a</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ALLOW : commit, transaction → EXECUTED, notification, diffusion console.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7b</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STEP_UP : transaction → AWAITING_PROOF, notification, cf. §7.2.</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7c</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FREEZE : FreezeManager crée un gel avec TTL, transaction → FROZEN, notification à l’utilisateur et aux contacts de confiance.</w:t>
            </w:r>
          </w:p>
        </w:tc>
      </w:tr>
    </w:tbl>
    <w:p>
      <w:pPr>
        <w:spacing w:after="80"/>
      </w:pPr>
    </w:p>
    <w:p>
      <w:pPr>
        <w:pStyle w:val="Heading2"/>
        <w:spacing w:after="100" w:before="220"/>
      </w:pPr>
      <w:r>
        <w:rPr>
          <w:rFonts w:ascii="Calibri" w:cs="Calibri" w:eastAsia="Calibri" w:hAnsi="Calibri"/>
        </w:rPr>
        <w:t xml:space="preserve">7.2 Résolution d’un STEP_UP (UC-04)</w:t>
      </w:r>
    </w:p>
    <w:p>
      <w:pPr>
        <w:spacing w:after="100" w:line="264"/>
      </w:pPr>
      <w:r>
        <w:rPr>
          <w:rFonts w:ascii="Calibri" w:cs="Calibri" w:eastAsia="Calibri" w:hAnsi="Calibri"/>
          <w:sz w:val="21"/>
          <w:szCs w:val="21"/>
        </w:rPr>
        <w:t xml:space="preserve">Sur application : l’utilisateur signe la preuve ; /evaluate est rappelé avec la preuve ; la décision devient ALLOW sauf si une autre règle impose FREEZE. Sur USSD, selon la politique configurée (ES-06) : P1 temporisation DEFER avec notification et possibilité d’annulation ; P2 plafond puis temporisation ; P3 demande OUI/NON à un contact de confiance, temporisation en repli. Sans résolution avant expiration, la transaction est annulée (fail-closed). Ce flux est la source du risque RA-05 : il introduit un état en attente qui doit être porté par la transaction elle-même (§7.4).</w:t>
      </w:r>
    </w:p>
    <w:p>
      <w:pPr>
        <w:pStyle w:val="Heading2"/>
        <w:spacing w:after="100" w:before="220"/>
      </w:pPr>
      <w:r>
        <w:rPr>
          <w:rFonts w:ascii="Calibri" w:cs="Calibri" w:eastAsia="Calibri" w:hAnsi="Calibri"/>
        </w:rPr>
        <w:t xml:space="preserve">7.3 Remplacement de SIM et probation (UC-11)</w:t>
      </w:r>
    </w:p>
    <w:p>
      <w:pPr>
        <w:spacing w:after="100" w:line="264"/>
      </w:pPr>
      <w:r>
        <w:rPr>
          <w:rFonts w:ascii="Calibri" w:cs="Calibri" w:eastAsia="Calibri" w:hAnsi="Calibri"/>
          <w:sz w:val="21"/>
          <w:szCs w:val="21"/>
        </w:rPr>
        <w:t xml:space="preserve">isc-hlr-agent réassigne le MSISDN avec motif et identifiant d’agent → HlrService enregistre et émet l’événement → isc-core notifie le PDP → TrustStateMachine place le compte en PROBATION pour CAR_IMSI → TrustedContactManager notifie les contacts (ES-13) → la console affiche le changement d’IMSI. Le motif n’est jamais transmis à /evaluate (ES-16b) : le système ne distingue pas un agent honnête d’un agent complice.</w:t>
      </w:r>
    </w:p>
    <w:p>
      <w:pPr>
        <w:pStyle w:val="Heading2"/>
        <w:spacing w:after="100" w:before="220"/>
      </w:pPr>
      <w:r>
        <w:rPr>
          <w:rFonts w:ascii="Calibri" w:cs="Calibri" w:eastAsia="Calibri" w:hAnsi="Calibri"/>
        </w:rPr>
        <w:t xml:space="preserve">7.4 Machine à états de la transaction (RA-05)</w:t>
      </w:r>
    </w:p>
    <w:p>
      <w:pPr>
        <w:spacing w:after="100" w:line="264"/>
      </w:pPr>
      <w:r>
        <w:rPr>
          <w:rFonts w:ascii="Calibri" w:cs="Calibri" w:eastAsia="Calibri" w:hAnsi="Calibri"/>
          <w:sz w:val="21"/>
          <w:szCs w:val="21"/>
        </w:rPr>
        <w:t xml:space="preserve">Découverte de l’analyse des drivers : une machine à états du compte ne suffit pas. Une transaction en attente de preuve est un état persistant qui doit résister au redémarrage et à l’expiration.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Transitions sortantes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PENDING_DECISION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(ALLOW) ; → AWAITING_PROOF (STEP_UP) ; → FROZEN (FREEZE) ; → REJECTED (veto de signature)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AWAITING_PROOF</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EXECUTED (preuve valide et réévaluation ALLOW) ; → FROZEN (réévaluation FREEZE ou refus du contact) ; → CANCELLED (expiration DEFER)</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(levée autorisée) ; → CANCELLED (expiration TTL_FREEZE ou annulation analyste)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EXECUTED, CANCELLED, REJECTED</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terminaux</w:t>
            </w:r>
          </w:p>
        </w:tc>
      </w:tr>
    </w:tbl>
    <w:p>
      <w:pPr>
        <w:spacing w:after="80"/>
      </w:pPr>
    </w:p>
    <w:p>
      <w:pPr>
        <w:spacing w:after="100" w:line="264"/>
      </w:pPr>
      <w:r>
        <w:rPr>
          <w:rFonts w:ascii="Calibri" w:cs="Calibri" w:eastAsia="Calibri" w:hAnsi="Calibri"/>
          <w:sz w:val="21"/>
          <w:szCs w:val="21"/>
        </w:rPr>
        <w:t xml:space="preserve">Invariant : une transaction ne quitte jamais un état non terminal sans écrire une entrée d’audit. Aucune transition automatique ne mène à EXECUTED depuis FROZEN ou AWAITING_PROOF (fail-closed, ES-07).</w:t>
      </w:r>
    </w:p>
    <w:p>
      <w:pPr>
        <w:pStyle w:val="Heading2"/>
        <w:spacing w:after="100" w:before="220"/>
      </w:pPr>
      <w:r>
        <w:rPr>
          <w:rFonts w:ascii="Calibri" w:cs="Calibri" w:eastAsia="Calibri" w:hAnsi="Calibri"/>
        </w:rPr>
        <w:t xml:space="preserve">7.5 Machine à états de confiance du compte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000"/>
      </w:tblGrid>
      <w:tr>
        <w:trPr>
          <w:tblHeader/>
        </w:trPr>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Déclencheurs d’entrée</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Restrictions</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TRUSTED</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Fin de probation sans incident ; confirmation par ancien dispositif ou contact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PROBATION</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(CAR_IMSI) uniquement. L’enrôlement et le ré-enrôlement ne déclenchent plus de probation propre (v1.2) : le code de récupération est la preuve.</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Sorties ≤ CAP_PROB ; bénéficiaires connus uniquement ; violation → FREEZE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Expiration de CAR_IMSI → TRUSTED ; incident → LOCKED</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Décision FREEZE en cours de traitement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Sorties suspendues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Levée → état précédent ; expiration → TRUSTED avec transaction annulée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LOCKED</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analyste ; incident de sécurité constaté. (v1.2 : le refus d’un contact et l’annulation par l’ancien dispositif ne sont plus des déclencheurs.)</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Toutes sorties interdites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Action analyste à quatre yeux</w:t>
            </w:r>
          </w:p>
        </w:tc>
      </w:tr>
    </w:tbl>
    <w:p>
      <w:pPr>
        <w:spacing w:after="80"/>
      </w:pPr>
    </w:p>
    <w:p>
      <w:pPr>
        <w:spacing w:after="100" w:line="264"/>
      </w:pPr>
      <w:r>
        <w:rPr>
          <w:rFonts w:ascii="Calibri" w:cs="Calibri" w:eastAsia="Calibri" w:hAnsi="Calibri"/>
          <w:sz w:val="21"/>
          <w:szCs w:val="21"/>
        </w:rPr>
        <w:t xml:space="preserve">L’IMSI de référence est mis à jour automatiquement à la sortie de PROBATION vers TRUSTED (définition du glossaire SRS v1.2).</w:t>
      </w:r>
    </w:p>
    <w:p>
      <w:pPr>
        <w:pStyle w:val="Heading1"/>
        <w:spacing w:after="140" w:before="320"/>
      </w:pPr>
      <w:r>
        <w:rPr>
          <w:rFonts w:ascii="Calibri" w:cs="Calibri" w:eastAsia="Calibri" w:hAnsi="Calibri"/>
        </w:rPr>
        <w:t xml:space="preserve">8. Contrats d’interface</w:t>
      </w:r>
    </w:p>
    <w:p>
      <w:pPr>
        <w:pStyle w:val="Heading2"/>
        <w:spacing w:after="100" w:before="220"/>
      </w:pPr>
      <w:r>
        <w:rPr>
          <w:rFonts w:ascii="Calibri" w:cs="Calibri" w:eastAsia="Calibri" w:hAnsi="Calibri"/>
        </w:rPr>
        <w:t xml:space="preserve">8.1 POST /evaluate</w:t>
      </w:r>
    </w:p>
    <w:p>
      <w:pPr>
        <w:spacing w:after="100" w:line="264"/>
      </w:pPr>
      <w:r>
        <w:rPr>
          <w:rFonts w:ascii="Calibri" w:cs="Calibri" w:eastAsia="Calibri" w:hAnsi="Calibri"/>
          <w:sz w:val="21"/>
          <w:szCs w:val="21"/>
        </w:rPr>
        <w:t xml:space="preserve">Contrat central du système. Spécifié en OpenAPI 3.1 dans contracts/evaluate.yaml — le chemin docs/contracts/ indiqué en v1.0 était erroné et contredisait ISC-DEV §3 ; corrigé en v1.1. Validé en CI. Deux écarts entre le contrat et le SRS ont été détectés par relecture humaine alors que le linter était vert : un motif MSISDN acceptant 100 000 numéros au lieu de 10 000, et un format d’horodatage tolérant un décalage horaire contre ED-04. Le vert automatique ne vaut pas conformité à une exigence. Structure normative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Bloc</w:t>
            </w:r>
          </w:p>
        </w:tc>
        <w:tc>
          <w:tcPr>
            <w:tcW w:type="dxa" w:w="7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identité</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decisionId (UUID v4, idempotence), accountId, msisdn, currentImsi</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Requête — opération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channel (APP | USSD), type (P2P | CASH_OUT | MERCHANT | BILL | AIRTIME | CASH_IN), amountXaf (entier), beneficiaryId, serverTimestamp (UTC), localityCellId</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preuve</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deviceKeyId, signature (base64), nonce, proofType (SIGNATURE | TRUSTED_CONTACT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décision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(ALLOW | STEP_UP | FREEZE | REJECTED), score (0–100), requiredAction (SIGNATURE | DEFER | CONTACT_CONFIRMATION | NONE)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Réponse — explication</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triggeredRules[] {ruleId, contribution, explanation}, vetoApplied (IMSI_CHANGE | SIGNATURE_INVALID | PROBATION_VIOLATION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traçabilité</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decisionId, ruleSetVersion, evaluatedAt, latencyMs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Erreurs</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400 contrat invalide ; 401 mTLS absent ; 409 nonce consommé ; 429 débit dépassé ; 503 indisponible (déclenche la politique fail-closed côté cœur)</w:t>
            </w:r>
          </w:p>
        </w:tc>
      </w:tr>
    </w:tbl>
    <w:p>
      <w:pPr>
        <w:spacing w:after="80"/>
      </w:pPr>
    </w:p>
    <w:p>
      <w:pPr>
        <w:spacing w:after="100" w:line="264"/>
      </w:pPr>
      <w:r>
        <w:rPr>
          <w:rFonts w:ascii="Calibri" w:cs="Calibri" w:eastAsia="Calibri" w:hAnsi="Calibri"/>
          <w:sz w:val="21"/>
          <w:szCs w:val="21"/>
        </w:rPr>
        <w:t xml:space="preserve">Idempotence : deux appels portant le même decisionId renvoient la même décision et n’écrivent qu’une entrée d’audit (ENF-03).</w:t>
      </w:r>
    </w:p>
    <w:p>
      <w:pPr>
        <w:pStyle w:val="Heading2"/>
        <w:spacing w:after="100" w:before="220"/>
      </w:pPr>
      <w:r>
        <w:rPr>
          <w:rFonts w:ascii="Calibri" w:cs="Calibri" w:eastAsia="Calibri" w:hAnsi="Calibri"/>
        </w:rPr>
        <w:t xml:space="preserve">8.2 Canonical signé — FERME (SPIKE-1, ADR-018)</w:t>
      </w:r>
    </w:p>
    <w:p>
      <w:pPr>
        <w:spacing w:after="100" w:line="264"/>
      </w:pPr>
      <w:r>
        <w:rPr>
          <w:rFonts w:ascii="Calibri" w:cs="Calibri" w:eastAsia="Calibri" w:hAnsi="Calibri"/>
          <w:sz w:val="21"/>
          <w:szCs w:val="21"/>
        </w:rPr>
        <w:t xml:space="preserve">Vérifié sur deux appareils. Chaîne UTF-8 sans BOM, champs dans l’ordre fixe accountId | type | amountXaf | beneficiaryId | nonce, séparateur U+007C sans espaces, montant décimal sans signe, nonce hexadécimal de 32 caractères en minuscules. Jamais de JSON sérialisé : la sérialisation n’est pas déterministe et ne peut servir de base à une signature. Algorithme ECDSA sur courbe P-256, empreinte SHA-256, signature DER encodée en base64 — 70 à 72 octets, taille variable, donc le contrat NE DOIT PAS imposer de longueur fixe. Clé publique transmise en X.509 SubjectPublicKeyInfo base64. Ed25519 écarté par prudence, sa disponibilité dans le Keystore n’ayant pas été vérifiée. L’identité des chaînes d’octets entre Android et Java est prouvée par empreinte SHA-256 sur trois cas de test, dont un comportant des caractères accentués.</w:t>
      </w:r>
    </w:p>
    <w:p>
      <w:pPr>
        <w:pStyle w:val="Heading2"/>
        <w:spacing w:after="100" w:before="220"/>
      </w:pPr>
      <w:r>
        <w:rPr>
          <w:rFonts w:ascii="Calibri" w:cs="Calibri" w:eastAsia="Calibri" w:hAnsi="Calibri"/>
        </w:rPr>
        <w:t xml:space="preserve">8.3 Autres interfaces</w:t>
      </w:r>
    </w:p>
    <w:p>
      <w:pPr>
        <w:spacing w:after="100" w:line="264"/>
      </w:pPr>
      <w:r>
        <w:rPr>
          <w:rFonts w:ascii="Calibri" w:cs="Calibri" w:eastAsia="Calibri" w:hAnsi="Calibri"/>
          <w:sz w:val="21"/>
          <w:szCs w:val="21"/>
        </w:rPr>
        <w:t xml:space="preserve">GET /nonce (émission, 128 bits, 120 s) ; POST /freeze/{id}/release (acteur, preuve, justification) ; événement interne de changement d’IMSI (MSISDN, ancien IMSI, nouvel IMSI, horodatage, agent, motif) ; interface de notification (destinataire, type, contenu contraint par ENF-17) ; flux temps réel console (SSE, un événement par décision et par action analyste).</w:t>
      </w:r>
    </w:p>
    <w:p>
      <w:pPr>
        <w:pStyle w:val="Heading1"/>
        <w:spacing w:after="140" w:before="320"/>
      </w:pPr>
      <w:r>
        <w:rPr>
          <w:rFonts w:ascii="Calibri" w:cs="Calibri" w:eastAsia="Calibri" w:hAnsi="Calibri"/>
        </w:rPr>
        <w:t xml:space="preserve">9. Vue données</w:t>
      </w:r>
    </w:p>
    <w:p>
      <w:pPr>
        <w:pStyle w:val="Heading2"/>
        <w:spacing w:after="100" w:before="220"/>
      </w:pPr>
      <w:r>
        <w:rPr>
          <w:rFonts w:ascii="Calibri" w:cs="Calibri" w:eastAsia="Calibri" w:hAnsi="Calibri"/>
        </w:rPr>
        <w:t xml:space="preserve">9.1 Schéma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account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balanceXaf (entier), createdAt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Plage MSISDN fictive (ED-09, QO-17)</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hlr_subscriber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currentImsi, updatedAt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hlr_reassignment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oldImsi, newImsi, agentId, reason,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immuable ; source de l’événement</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accountId, type, amountXaf, beneficiaryId, channel, state, decisionId, createdAt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state = machine §7.4</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ussd_session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step, payload, expiresAt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otp</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msisdn, targetImsi, codeHash,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 vers l’IMSI courant (EF-03)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recipientRef, channel, type, body, sentAt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(ENF-17)</w:t>
            </w:r>
          </w:p>
        </w:tc>
      </w:tr>
    </w:tbl>
    <w:p>
      <w:pPr>
        <w:spacing w:after="80"/>
      </w:pPr>
    </w:p>
    <w:p>
      <w:pPr>
        <w:pStyle w:val="Heading2"/>
        <w:spacing w:after="100" w:before="220"/>
      </w:pPr>
      <w:r>
        <w:rPr>
          <w:rFonts w:ascii="Calibri" w:cs="Calibri" w:eastAsia="Calibri" w:hAnsi="Calibri"/>
        </w:rPr>
        <w:t xml:space="preserve">9.2 Schéma pdp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device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publicKey, state (ACTIVE|REVOKED), enrolledAt, revokedAt. Contrainte : au plus une ligne ACTIVE par accountId.</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Révocation immédiate (ES-14b), unicité (ES-20)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recovery_code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hash (empreinte à sel unique), salt, generatedAt, consumedAt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Jamais le code en clair (ES-18). Un seul code non consommé par compte.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enrolment_attempt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installationId, originAddress, targetAccountId, attemptedAt, outcome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Sert au délai croissant et à l’alerte ; ne produit jamais de restriction sur le compte (ES-21, ES-24).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trust_state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accountId, state, since, expiresAt, referenceImsi</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trust_transition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fromState, toState, cause,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 toute transition journalisée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 decisionId), accountId, channel, type, amountXaf, score, decision, vetoApplied, ruleSetVersion, latencyMs, evaluatedAt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Objet de première classe (SQ-10)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decision_rule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ruleId, contribution, explanation</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Explication persistée, pas recalculée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decisionId, accountId, amountXaf, createdAt, ttlExpiresAt, releasedBy[], releaseProof, closedAt, outcome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 : releasedBy est une liste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trusted_contact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contactMsisdn, state, designatedVia (USSD|KYC), confirmedAt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DIFFÉRÉ (QO-19) : retiré du parcours applicatif ; rôle sur USSD à trancher. Table conservée.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value, accountId, issuedAt,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unique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audit_entry</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seq (bigint GENERATED ALWAYS AS IDENTITY, OB-4), chainIndex (assigné dans le verrou, OB-2), payload (jsonb), prevHash, hash, writtenAt (timestamptz UTC)</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INSERT seul (ED-06). Empreinte couvrant seq, payload, prevHash, writtenAt. Aucun DEFAULT d’horloge base : l’horodatage vient de l’application (ED-04).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audit_anchor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headSeq, headHash, signature, anchoredAt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Ancrage périodique signé hors base. La clé privée Ed25519 vit sur le système de fichiers de l’hôte, jamais dans la base ni dans le conteneur.</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chain_head</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lastSeq, headHash, entryCount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Tête courante, maintenue uniquement par le déclencheur. Le rôle applicatif n’y a AUCUN accès : c’est elle qui détecte la suppression du dernier enregistrement, que le chaînage seul ne voit pas.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config_version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version, parameters (JSON), activatedAt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Paramètres nommés (ES-15)</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shadow_prediction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modelVersion, prediction, confidence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Hors chemin de décision</w:t>
            </w:r>
          </w:p>
        </w:tc>
      </w:tr>
    </w:tbl>
    <w:p>
      <w:pPr>
        <w:spacing w:after="80"/>
      </w:pPr>
    </w:p>
    <w:p>
      <w:pPr>
        <w:pStyle w:val="Heading2"/>
        <w:spacing w:after="100" w:before="220"/>
      </w:pPr>
      <w:r>
        <w:rPr>
          <w:rFonts w:ascii="Calibri" w:cs="Calibri" w:eastAsia="Calibri" w:hAnsi="Calibri"/>
        </w:rPr>
        <w:t xml:space="preserve">9.3 Règles transverses de données</w:t>
      </w:r>
    </w:p>
    <w:p>
      <w:pPr>
        <w:pStyle w:val="ListParagraph"/>
        <w:numPr>
          <w:ilvl w:val="0"/>
          <w:numId w:val="2"/>
        </w:numPr>
        <w:spacing w:after="60" w:line="264"/>
      </w:pPr>
      <w:r>
        <w:rPr>
          <w:rFonts w:ascii="Calibri" w:cs="Calibri" w:eastAsia="Calibri" w:hAnsi="Calibri"/>
          <w:sz w:val="21"/>
          <w:szCs w:val="21"/>
        </w:rPr>
        <w:t xml:space="preserve">Montants en entiers de FCFA ; aucun flottant nulle part, y compris dans les exports d’évaluation (ED-05).</w:t>
      </w:r>
    </w:p>
    <w:p>
      <w:pPr>
        <w:pStyle w:val="ListParagraph"/>
        <w:numPr>
          <w:ilvl w:val="0"/>
          <w:numId w:val="2"/>
        </w:numPr>
        <w:spacing w:after="60" w:line="264"/>
      </w:pPr>
      <w:r>
        <w:rPr>
          <w:rFonts w:ascii="Calibri" w:cs="Calibri" w:eastAsia="Calibri" w:hAnsi="Calibri"/>
          <w:sz w:val="21"/>
          <w:szCs w:val="21"/>
        </w:rPr>
        <w:t xml:space="preserve">Horodatages UTC générés par le serveur via l’abstraction Clock, jamais par la base ni par le client (ED-04, C-08).</w:t>
      </w:r>
    </w:p>
    <w:p>
      <w:pPr>
        <w:pStyle w:val="ListParagraph"/>
        <w:numPr>
          <w:ilvl w:val="0"/>
          <w:numId w:val="2"/>
        </w:numPr>
        <w:spacing w:after="60" w:line="264"/>
      </w:pPr>
      <w:r>
        <w:rPr>
          <w:rFonts w:ascii="Calibri" w:cs="Calibri" w:eastAsia="Calibri" w:hAnsi="Calibri"/>
          <w:sz w:val="21"/>
          <w:szCs w:val="21"/>
        </w:rPr>
        <w:t xml:space="preserve">Rôles PostgreSQL : isc_pdp_app dispose de SELECT et INSERT sur audit_entry, jamais UPDATE, DELETE ni TRUNCATE ; USAGE sans UPDATE sur la séquence, ce qui interdit setval ; aucun accès à chain_head. Huit tentatives de modification ont été vérifiées en échec, et les privilèges EFFECTIFS mesurés sur les catalogues système — non déduits des GRANT écrits.</w:t>
      </w:r>
    </w:p>
    <w:p>
      <w:pPr>
        <w:pStyle w:val="ListParagraph"/>
        <w:numPr>
          <w:ilvl w:val="0"/>
          <w:numId w:val="2"/>
        </w:numPr>
        <w:spacing w:after="60" w:line="264"/>
      </w:pPr>
      <w:r>
        <w:rPr>
          <w:rFonts w:ascii="Calibri" w:cs="Calibri" w:eastAsia="Calibri" w:hAnsi="Calibri"/>
          <w:sz w:val="21"/>
          <w:szCs w:val="21"/>
        </w:rPr>
        <w:t xml:space="preserve">OB-3 : REVOKE EXECUTE ON ALL FUNCTIONS IN SCHEMA audit FROM PUBLIC est appliqué par défaut. Sans lui, une fonction SECURITY DEFINER est exécutable par tout rôle et écrit avec les droits de son propriétaire : toutes les restrictions sur la table deviennent inopérantes.</w:t>
      </w:r>
    </w:p>
    <w:p>
      <w:pPr>
        <w:pStyle w:val="ListParagraph"/>
        <w:numPr>
          <w:ilvl w:val="0"/>
          <w:numId w:val="2"/>
        </w:numPr>
        <w:spacing w:after="60" w:line="264"/>
      </w:pPr>
      <w:r>
        <w:rPr>
          <w:rFonts w:ascii="Calibri" w:cs="Calibri" w:eastAsia="Calibri" w:hAnsi="Calibri"/>
          <w:sz w:val="21"/>
          <w:szCs w:val="21"/>
        </w:rPr>
        <w:t xml:space="preserve">Aucune clé étrangère entre schémas ; la cohérence inter-services passe par les identifiants et les contrats (C-07).</w:t>
      </w:r>
    </w:p>
    <w:p>
      <w:pPr>
        <w:pStyle w:val="Heading1"/>
        <w:spacing w:after="140" w:before="320"/>
      </w:pPr>
      <w:r>
        <w:rPr>
          <w:rFonts w:ascii="Calibri" w:cs="Calibri" w:eastAsia="Calibri" w:hAnsi="Calibri"/>
        </w:rPr>
        <w:t xml:space="preserve">10. Vue sécurité</w:t>
      </w:r>
    </w:p>
    <w:p>
      <w:pPr>
        <w:pStyle w:val="Heading2"/>
        <w:spacing w:after="100" w:before="220"/>
      </w:pPr>
      <w:r>
        <w:rPr>
          <w:rFonts w:ascii="Calibri" w:cs="Calibri" w:eastAsia="Calibri" w:hAnsi="Calibri"/>
        </w:rPr>
        <w:t xml:space="preserve">10.1 Authentification par frontière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Frontière</w:t>
            </w:r>
          </w:p>
        </w:tc>
        <w:tc>
          <w:tcPr>
            <w:tcW w:type="dxa" w:w="5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Mécanisme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PIN + session ; signature de dispositif pour toute sortie sensible (l’OTP ne subsiste qu’à l’enrôlement, ADR-014)</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 → isc-core</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OTP, fidèle à la réalité (C-02)</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 ↔ isc-pdp</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générée au démarrage, connexions persistantes, vérification de la chaîne ET du nom, rejet au niveau de la poignée de main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(SPIKE-4, ADR-021)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 console → pdp</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Authentification portée par le PDP, contrôle par rôles, justification obligatoire, quatre-yeux au-dessus de THR_4EYES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Outils CLI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Jetons distincts par outil (attaquant, agent HLR, chercheur) pour que le journal distingue les origines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audit</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base restreint à SELECT et INSERT ; EXECUTE révoqué de PUBLIC ; aucun accès à chain_head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ADR-020)</w:t>
            </w:r>
          </w:p>
        </w:tc>
      </w:tr>
    </w:tbl>
    <w:p>
      <w:pPr>
        <w:spacing w:after="80"/>
      </w:pPr>
    </w:p>
    <w:p>
      <w:pPr>
        <w:pStyle w:val="Heading2"/>
        <w:spacing w:after="100" w:before="220"/>
      </w:pPr>
      <w:r>
        <w:rPr>
          <w:rFonts w:ascii="Calibri" w:cs="Calibri" w:eastAsia="Calibri" w:hAnsi="Calibri"/>
        </w:rPr>
        <w:t xml:space="preserve">10.2 Cryptographie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Choix</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Clé de dispositif</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EC P-256 dans le Keystore matériel, non exportable, usage signature. setIsStrongBoxBacked(true) avec repli TEE journalisé : StrongBox absent des deux appareils du projet, TEE présent sur les deux.</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SHA256withECDSA, signature DER en base64, 70 à 72 octets — taille variable, aucune longueur fixe dans le contrat. Latence mesurée p95 : 11 à 18 ms.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Canonical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Chaîne à ordre fixe, séparateur U+007C, UTF-8 sans BOM, jamais du JSON sérialisé (§8.2). Identité des octets Android/Java prouvée par empreinte sur trois cas.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Anti-rejeu</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 serveur 128 bits, usage unique, 120 s, lié au compte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Attestation de clé</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Demandée à la génération ; chaîne lisible sur les deux appareils (5 et 4 certificats).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Chaînage d’audit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 de l’entrée précédente ; index d’ordre dans le verrou (OB-2) ; ancrage signé Ed25519 hors base, clé sur le système de fichiers de l’hôte.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Secrets de la pile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Générés au démarrage, jamais versionnés ; aucun secret en clair dans le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bl>
    <w:p>
      <w:pPr>
        <w:spacing w:after="80"/>
      </w:pPr>
    </w:p>
    <w:p>
      <w:pPr>
        <w:pStyle w:val="Heading2"/>
        <w:spacing w:after="100" w:before="220"/>
      </w:pPr>
      <w:r>
        <w:rPr>
          <w:rFonts w:ascii="Calibri" w:cs="Calibri" w:eastAsia="Calibri" w:hAnsi="Calibri"/>
        </w:rPr>
        <w:t xml:space="preserve">10.3 Principes appliqués</w:t>
      </w:r>
    </w:p>
    <w:p>
      <w:pPr>
        <w:pStyle w:val="ListParagraph"/>
        <w:numPr>
          <w:ilvl w:val="0"/>
          <w:numId w:val="2"/>
        </w:numPr>
        <w:spacing w:after="60" w:line="264"/>
      </w:pPr>
      <w:r>
        <w:rPr>
          <w:rFonts w:ascii="Calibri" w:cs="Calibri" w:eastAsia="Calibri" w:hAnsi="Calibri"/>
          <w:sz w:val="21"/>
          <w:szCs w:val="21"/>
        </w:rPr>
        <w:t xml:space="preserve">Fail-closed par défaut : toute absence de décision, toute expiration, toute indisponibilité au-dessus de CAP_PROB conduit au refus, jamais à l’exécution.</w:t>
      </w:r>
    </w:p>
    <w:p>
      <w:pPr>
        <w:pStyle w:val="ListParagraph"/>
        <w:numPr>
          <w:ilvl w:val="0"/>
          <w:numId w:val="2"/>
        </w:numPr>
        <w:spacing w:after="60" w:line="264"/>
      </w:pPr>
      <w:r>
        <w:rPr>
          <w:rFonts w:ascii="Calibri" w:cs="Calibri" w:eastAsia="Calibri" w:hAnsi="Calibri"/>
          <w:sz w:val="21"/>
          <w:szCs w:val="21"/>
        </w:rPr>
        <w:t xml:space="preserve">Le client n’est jamais une autorité : horodatage, localité et empreinte fournis par le client sont de la télémétrie ; seul le serveur décide.</w:t>
      </w:r>
    </w:p>
    <w:p>
      <w:pPr>
        <w:pStyle w:val="ListParagraph"/>
        <w:numPr>
          <w:ilvl w:val="0"/>
          <w:numId w:val="2"/>
        </w:numPr>
        <w:spacing w:after="60" w:line="264"/>
      </w:pPr>
      <w:r>
        <w:rPr>
          <w:rFonts w:ascii="Calibri" w:cs="Calibri" w:eastAsia="Calibri" w:hAnsi="Calibri"/>
          <w:sz w:val="21"/>
          <w:szCs w:val="21"/>
        </w:rPr>
        <w:t xml:space="preserve">Séparation des vetos et du score : un veto ne traverse jamais le moteur de règles ; il est déterministe et explicable en une phrase.</w:t>
      </w:r>
    </w:p>
    <w:p>
      <w:pPr>
        <w:pStyle w:val="ListParagraph"/>
        <w:numPr>
          <w:ilvl w:val="0"/>
          <w:numId w:val="2"/>
        </w:numPr>
        <w:spacing w:after="60" w:line="264"/>
      </w:pPr>
      <w:r>
        <w:rPr>
          <w:rFonts w:ascii="Calibri" w:cs="Calibri" w:eastAsia="Calibri" w:hAnsi="Calibri"/>
          <w:sz w:val="21"/>
          <w:szCs w:val="21"/>
        </w:rPr>
        <w:t xml:space="preserve">Journalisation avant effet : l’entrée d’audit est écrite avant que la décision ne soit appliquée par le cœur.</w:t>
      </w:r>
    </w:p>
    <w:p>
      <w:pPr>
        <w:pStyle w:val="ListParagraph"/>
        <w:numPr>
          <w:ilvl w:val="0"/>
          <w:numId w:val="2"/>
        </w:numPr>
        <w:spacing w:after="60" w:line="264"/>
      </w:pPr>
      <w:r>
        <w:rPr>
          <w:rFonts w:ascii="Calibri" w:cs="Calibri" w:eastAsia="Calibri" w:hAnsi="Calibri"/>
          <w:sz w:val="21"/>
          <w:szCs w:val="21"/>
        </w:rPr>
        <w:t xml:space="preserve">Aucune dépendance externe : conformément à C-03, aucun service tiers n’est appelé, y compris pour les notifications.</w:t>
      </w:r>
    </w:p>
    <w:p>
      <w:pPr>
        <w:pStyle w:val="Heading1"/>
        <w:spacing w:after="140" w:before="320"/>
      </w:pPr>
      <w:r>
        <w:rPr>
          <w:rFonts w:ascii="Calibri" w:cs="Calibri" w:eastAsia="Calibri" w:hAnsi="Calibri"/>
        </w:rPr>
        <w:t xml:space="preserve">11. Gestion du temps</w:t>
      </w:r>
    </w:p>
    <w:p>
      <w:pPr>
        <w:spacing w:after="100" w:line="264"/>
      </w:pPr>
      <w:r>
        <w:rPr>
          <w:rFonts w:ascii="Calibri" w:cs="Calibri" w:eastAsia="Calibri" w:hAnsi="Calibri"/>
          <w:sz w:val="21"/>
          <w:szCs w:val="21"/>
        </w:rPr>
        <w:t xml:space="preserve">Le temps est un composant, pas une commodité. Trois exigences le rendent structurant : la testabilité des carences (SQ-20), la simulation en temps virtuel (SQ-21) et l’impossibilité de faire confiance à l’horloge du client.</w:t>
      </w:r>
    </w:p>
    <w:p>
      <w:pPr>
        <w:pStyle w:val="ListParagraph"/>
        <w:numPr>
          <w:ilvl w:val="0"/>
          <w:numId w:val="2"/>
        </w:numPr>
        <w:spacing w:after="60" w:line="264"/>
      </w:pPr>
      <w:r>
        <w:rPr>
          <w:rFonts w:ascii="Calibri" w:cs="Calibri" w:eastAsia="Calibri" w:hAnsi="Calibri"/>
          <w:sz w:val="21"/>
          <w:szCs w:val="21"/>
        </w:rPr>
        <w:t xml:space="preserve">Une interface Clock unique, injectée dans isc-core et isc-pdp ; deux implémentations : SystemClock et VirtualClock.</w:t>
      </w:r>
    </w:p>
    <w:p>
      <w:pPr>
        <w:pStyle w:val="ListParagraph"/>
        <w:numPr>
          <w:ilvl w:val="0"/>
          <w:numId w:val="2"/>
        </w:numPr>
        <w:spacing w:after="60" w:line="264"/>
      </w:pPr>
      <w:r>
        <w:rPr>
          <w:rFonts w:ascii="Calibri" w:cs="Calibri" w:eastAsia="Calibri" w:hAnsi="Calibri"/>
          <w:sz w:val="21"/>
          <w:szCs w:val="21"/>
        </w:rPr>
        <w:t xml:space="preserve">Aucune règle, aucun service métier n’appelle une horloge statique ; une règle reçoit l’instant d’évaluation en paramètre, lu une seule fois à la frontière de l’évaluateur. La règle d’architecture TA-CLOCK-01 couvre dix-huit appels, dont les chemins INDIRECTS : new Random() sans argument, bibliothèque tierce lisant l’heure, journalisation horodatée, UUID.randomUUID(). Quatre de ces six chemins échappaient à la version initiale de la règle. Une règle d’interdiction ne couvre que ce qu’elle nomme : la défense qui ne dépend d’aucune énumération est OB-1.</w:t>
      </w:r>
    </w:p>
    <w:p>
      <w:pPr>
        <w:pStyle w:val="ListParagraph"/>
        <w:numPr>
          <w:ilvl w:val="0"/>
          <w:numId w:val="2"/>
        </w:numPr>
        <w:spacing w:after="60" w:line="264"/>
      </w:pPr>
      <w:r>
        <w:rPr>
          <w:rFonts w:ascii="Calibri" w:cs="Calibri" w:eastAsia="Calibri" w:hAnsi="Calibri"/>
          <w:sz w:val="21"/>
          <w:szCs w:val="21"/>
        </w:rPr>
        <w:t xml:space="preserve">Les échéances (TTL de gel, fin de carence, expiration de nonce et de temporisation) sont évaluées À LA LECTURE. SPIKE-2 a établi qu’aucun ordonnanceur n’est nécessaire pour décider ; le SAD v1.0 laissait les deux options ouvertes, elles sont fermées par ADR-019.</w:t>
      </w:r>
    </w:p>
    <w:p>
      <w:pPr>
        <w:pStyle w:val="ListParagraph"/>
        <w:numPr>
          <w:ilvl w:val="0"/>
          <w:numId w:val="2"/>
        </w:numPr>
        <w:spacing w:after="60" w:line="264"/>
      </w:pPr>
      <w:r>
        <w:rPr>
          <w:rFonts w:ascii="Calibri" w:cs="Calibri" w:eastAsia="Calibri" w:hAnsi="Calibri"/>
          <w:sz w:val="21"/>
          <w:szCs w:val="21"/>
        </w:rPr>
        <w:t xml:space="preserve">En temps virtuel, l’avance d’horloge est explicite et ordonnée ; aucune règle ne doit produire un résultat différent selon la vitesse d’exécution. Cet invariant est testé (SQ-21).</w:t>
      </w:r>
    </w:p>
    <w:p>
      <w:pPr>
        <w:pStyle w:val="Heading1"/>
        <w:spacing w:after="140" w:before="320"/>
      </w:pPr>
      <w:r>
        <w:rPr>
          <w:rFonts w:ascii="Calibri" w:cs="Calibri" w:eastAsia="Calibri" w:hAnsi="Calibri"/>
        </w:rPr>
        <w:t xml:space="preserve">12. Configuration et versionnement des règles</w:t>
      </w:r>
    </w:p>
    <w:p>
      <w:pPr>
        <w:spacing w:after="100" w:line="264"/>
      </w:pPr>
      <w:r>
        <w:rPr>
          <w:rFonts w:ascii="Calibri" w:cs="Calibri" w:eastAsia="Calibri" w:hAnsi="Calibri"/>
          <w:sz w:val="21"/>
          <w:szCs w:val="21"/>
        </w:rPr>
        <w:t xml:space="preserve">Les paramètres nommés (CAR_IMSI, CAR_ENROL, CAP_PROB, THR_HIGH, THR_4EYES, TTL_FREEZE, NIGHT, VEL, DEFER) et les poids des règles vivent dans une configuration versionnée chargée par ConfigProvider. Chaque décision porte la version active. L’analyse de sensibilité (QR-4) consiste à rejouer le même jeu gelé sous plusieurs versions et à comparer. Aucun redéploiement d’image n’est requis (SQ-40).</w:t>
      </w:r>
    </w:p>
    <w:p>
      <w:pPr>
        <w:spacing w:after="100" w:line="264"/>
      </w:pPr>
      <w:r>
        <w:rPr>
          <w:rFonts w:ascii="Calibri" w:cs="Calibri" w:eastAsia="Calibri" w:hAnsi="Calibri"/>
          <w:sz w:val="21"/>
          <w:szCs w:val="21"/>
        </w:rPr>
        <w:t xml:space="preserve">Deux paramètres nommés s’ajoutent en v1.1, issus de SPIKE-3 : ANCHOR_INTERVAL (nombre d’enregistrements entre deux ancres) et ANCHOR_MAX_DELAY (durée maximale entre deux ancres). Valeurs de départ proposées : 1 000 et 10 s. Le second n’est pas un confort : à faible trafic — la nuit, précisément quand un insider agirait — un seuil exprimé en nombre d’enregistrements ne se déclenche jamais et la fenêtre de vulnérabilité devient illimitée en temps. La fenêtre est exactement égale à ANCHOR_INTERVAL : tout enregistrement postérieur à la dernière ancre peut être réécrit sans être vu.</w:t>
      </w:r>
    </w:p>
    <w:p>
      <w:pPr>
        <w:spacing w:after="100" w:line="264"/>
      </w:pPr>
      <w:r>
        <w:rPr>
          <w:rFonts w:ascii="Calibri" w:cs="Calibri" w:eastAsia="Calibri" w:hAnsi="Calibri"/>
          <w:sz w:val="21"/>
          <w:szCs w:val="21"/>
        </w:rPr>
        <w:t xml:space="preserve">Fonction d’agrégation du score : demeure PROVISOIRE, ADR-016. C’est la seule décision encore ouverte du document, et elle ne dépendait d’aucun spike : elle se tranche sur le jeu de développement avant le gel du jeu v1, au mois 3. Proposition — somme bornée à 100 des contributions. Alternatives à comparer : maximum des contributions (plus explicable, moins sensible aux cumuls) ; somme pondérée normalisée. Le choix se tranche sur données, pas sur préférence.</w:t>
      </w:r>
    </w:p>
    <w:p>
      <w:pPr>
        <w:pStyle w:val="Heading1"/>
        <w:spacing w:after="140" w:before="320"/>
      </w:pPr>
      <w:r>
        <w:rPr>
          <w:rFonts w:ascii="Calibri" w:cs="Calibri" w:eastAsia="Calibri" w:hAnsi="Calibri"/>
        </w:rPr>
        <w:t xml:space="preserve">13. Vue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Topologie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seule machine (C-05) : postgres, isc-core, isc-pdp, isc-console. Les outils Python s’exécutent en conteneurs éphémères sur le même réseau.</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réseau Docker interne isolé, sans accès sortant ; seuls la console et les ports d’outillage sont exposés à l’hôte (C-03, ENF-07).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Application Android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Installée sur deux appareils physiques ; joint isc-core par le réseau local de démonstration.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Certificats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Autorité locale P-256 générée automatiquement au premier démarrage, réutilisée ensuite ; régénérée si le volume est supprimé. Certificats montés en volume, validité un an, aucun secret versionné — vérifié par commande sur le dépôt et sur les images. Une porte de validité dans check-stack DOIT échouer avant expiration. FERME (SPIKE-4, ADR-021).</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Démarrage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make up démarre la pile ; make demo-attack, make demo-defend, make evaluate constituent les trois commandes de démonstration (ENF-04, SQ-11).</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Données de démonstration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Jeu réduit chargé au démarrage pour que la console ne soit jamais vide devant le jury ; distinct du jeu gelé v1.</w:t>
            </w:r>
          </w:p>
        </w:tc>
      </w:tr>
    </w:tbl>
    <w:p>
      <w:pPr>
        <w:spacing w:after="80"/>
      </w:pPr>
    </w:p>
    <w:p>
      <w:pPr>
        <w:pStyle w:val="Heading1"/>
        <w:spacing w:after="140" w:before="320"/>
      </w:pPr>
      <w:r>
        <w:rPr>
          <w:rFonts w:ascii="Calibri" w:cs="Calibri" w:eastAsia="Calibri" w:hAnsi="Calibri"/>
        </w:rPr>
        <w:t xml:space="preserve">14. Concepts transverses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Concept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Identifiants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UUID v4 pour transactions, décisions, gels. Le decisionId est généré par le cœur et porté de bout en bout : il corrèle transaction, décision, audit, journaux et événements console (ENF-06).</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Journalisation applicative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JSON structuré, un champ decisionId systématique ; distincte du journal d’audit, qui est une preuve et non un journal technique.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Gestion des erreurs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Toute erreur du PDP est une non-décision : le cœur applique la politique fail-closed. Aucun code d’erreur ne peut être interprété comme un ALLOW implicite.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Internationalisation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Français par défaut pour l’application et la console (EF-26, EF-38) ; les identifiants techniques et le code restent en anglais.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Explicabilité</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Chaque règle expose un libellé en langage naturel stocké avec la décision ; la console n’invente jamais d’explication (SQ-10).</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Tests d’architecture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Des règles automatisées vérifient en CI : aucune lecture d’horloge statique, aucune dépendance du RuleEngine vers l’infrastructure, aucun accès croisé entre schémas.</w:t>
            </w:r>
          </w:p>
        </w:tc>
      </w:tr>
    </w:tbl>
    <w:p>
      <w:pPr>
        <w:spacing w:after="80"/>
      </w:pPr>
    </w:p>
    <w:p>
      <w:pPr>
        <w:pStyle w:val="Heading1"/>
        <w:spacing w:after="140" w:before="320"/>
      </w:pPr>
      <w:r>
        <w:rPr>
          <w:rFonts w:ascii="Calibri" w:cs="Calibri" w:eastAsia="Calibri" w:hAnsi="Calibri"/>
        </w:rPr>
        <w:t xml:space="preserve">15. Décisions d’architecture (ADR)</w:t>
      </w:r>
    </w:p>
    <w:p>
      <w:pPr>
        <w:spacing w:after="100" w:line="264"/>
      </w:pPr>
      <w:r>
        <w:rPr>
          <w:rFonts w:ascii="Calibri" w:cs="Calibri" w:eastAsia="Calibri" w:hAnsi="Calibri"/>
          <w:sz w:val="21"/>
          <w:szCs w:val="21"/>
        </w:rPr>
        <w:t xml:space="preserve">Règle : chaque ADR expose le contexte, la décision, les alternatives rejetées et pourquoi, les conséquences. La colonne des alternatives est celle qu’un relecteur senior lit en premier. Les ADR complets vivent dans docs/01-decisions/ ; ce tableau en est l’index normatif.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350"/>
        <w:gridCol w:w="4200"/>
        <w:gridCol w:w="16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23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Alternatives rejetées et motif</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PDP séparé appelé par le cœur avant commit ; décision graduée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Bibliothèque embarquée dans le cœur : ne démontre pas le découplage, rend le contrat invisible au jury. Post-traitement asynchrone : ne peut pas empêcher une transaction.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comportemental en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comportemental : AC-03 et AC-11 non couverts. Tout cryptographique : ne protège pas l’USSD ni AC-01.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Stack imposée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Flutter/React Native : masquent le Keystore, affaiblissent l’argument cryptographique. Node pour le PDP : moins crédible en contexte bancaire. MongoDB : pas de garanties transactionnelles utiles ici.</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(écart de méthode assumé : antérieur aux exigences)</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 CLI + chronologie en console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web attaquant seule : paraît artificielle. CLI seul : illisible pour un jury non technique.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ML dans le chemin de décision : détruit l’explicabilité (rang 1 des qualités) et empêche la comparaison loyale.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 par outillage sous spécification et revue du candidat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Implémentation manuelle intégrale : incompatible avec le périmètre en 7 mois à une personne.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 si PDP indisponible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Fail-open : crée une fenêtre d’attaque triviale (AC-12). Fail-closed total : bloque les micro-paiements sans gain de sécurité proportionné.</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 de menace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L’exclure : décrirait un pays qui n’existe pas (sources MINPOSTEL, Financial Afrik).</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par chaînage d’empreintes</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Blockchain : théâtre technique, coût sans gain dans un sandbox mono-organisation. Journal applicatif simple : ne prouve rien.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RENVERSÉ (v1.2) : révocation IMMÉDIATE de l’ancienne clé</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révocation différée (v1.0) ne servait qu’à la confirmation ou l’annulation par l’ancien dispositif. Un ancien appareil volé est aux mains de l’attaquant : lui laisser un pouvoir d’approbation est une faille. Constat 2 d’ISC-AMD-01.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(renversé)</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Utiliser le motif saisi par l’agent : un agent complice saisit le motif qu’il veut.</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FROZEN total 72 h : friction inacceptable pour un vol de téléphone légitime, incompatible avec H4.</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RENVERSÉ (v1.2) : aiguillage sur la seule présence d’une clé (ES-17b)</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Le refus du premier enrôlement sous CAR_IMSI (v1.0) pénalisait la victime légitime qui refait sa puce après un vol : le serveur ne peut pas distinguer une reconduction légitime d’une frauduleuse. L’attaquant qui s’enrôle reste borné par la probation transactionnelle (ES-01b). Constat 4.</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(renversé)</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application, la signature remplace l’OTP</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Conserver l’OTP en plus : maintient un vecteur d’ingénierie sociale sans gain, contraire à [N2].</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PÉRIMÈTRE RÉDUIT (v1.2) : contacts de confiance retirés du parcours applicatif</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Le code de récupération (ADR-029) rend le parcours applicatif autonome. Le rôle des contacts sur le canal USSD, seule voie hors-bande possible sans smartphone, est DIFFÉRÉ (QO-19).</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(réduit)</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Somme bornée proposée ; maximum et somme pondérée à comparer sur données.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seule décision ouverte ; se tranche au mois 3</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Injection HTTP par lots de 1 000</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Appel HTTP unitaire : 97 tx/s, ≈ 86 min — écarté par mesure. Appel direct : débit comparable mais perd la fidélité du processus séparé et du réseau.</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ECDSA P-256 / SHA-256, canonical à ordre fixe, DER base64</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Ed25519 écarté par prudence ; RSA écarté (taille et latence) ; JSON sérialisé écarté (non déterministe, prouvé).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Clock + VirtualClock ; instant en paramètre ; échéances à la lecture ; obligation de pureté</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Horloge statique : règles intestables. Ordonnanceur : inutile, mesuré. Compteur incrémental : plus rapide mais évaluation irreproductible.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(SPIKE-2)</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 INSERT seul, GENERATED ALWAYS, index d’ordre dans le verrou, REVOKE EXECUTE FROM PUBLIC, ancre signée hors base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Contrôle applicatif seul : contournable. Chaîne de blocs : théâtre technique. Index hors verrou : 4 589 fausses ruptures sur 5 000.</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 plafond 133/s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rejet au handshake, connexions persistantes, vérification chaîne ET nom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Jeton partagé : authentifie dans un seul sens. Refus applicatif : expose le service. Connexion neuve : 65,8 ms contre 1,7 ms.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(SPIKE-4)</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VM Ubuntu Server 24.04 sous VirtualBox, démonstration locale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Docker sur l’hôte : non reproductible. Serveur distant : dépendance au réseau de la salle.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Portes légères hébergées, portes lourdes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Tout sur exécuteurs hébergés : mesures sans valeur publiable.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d’images local</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public : contraire à C-03.</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Aucun runtime applicatif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Runtimes installés : divergence de versions.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en mode compile seul sous Windows</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Bloquer sur le bug amont ; construire par conteneur à chaque vérification.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obsolète au correctif amont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Compléments au contrat : /nonce, release, états, nonce hexadécimal, horodatage UTC, UUID v4</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date-time sans motif acceptait un décalage horaire, contraire à ED-04.</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PROVISOIRE — relecture ligne à ligne requise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Tailscale comme accès d’administration</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Accès par pont seul : insuffisant en mobilité. Dépendance externe assumée ; la pile reste sans accès sortant.</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RÉDIGER</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ADR-029</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de récupération à affichage unique comme facteur de ré-enrôlement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par l’ancien appareil : donne au voleur le pouvoir d’approuver. Expiration automatique : récompense l’attaquant patient (T-05). Contact de confiance obligatoire : suppose une désignation que la majorité n’effectue pas. Modèle : clés à affichage unique (AWS IAM, codes de secours TOTP).</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Limitation par délai croissant sur l’appareil demandeur, jamais par verrouillage de compte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Verrouillage de compte après N échecs : transforme la protection en arme de déni de service (AC-14). Fondement : OWASP Authentication Cheat Sheet, CWE-645.</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ADR-031</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Unicité de la clé ACTIVE par compte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Appareils multiples : c’est le comportement de l’application déployée, vérifié le 31/08/2026 sur trois appareils simultanés sans notification. Propriété observable en démonstration.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bl>
    <w:p>
      <w:pPr>
        <w:spacing w:after="80"/>
      </w:pPr>
    </w:p>
    <w:p>
      <w:pPr>
        <w:pStyle w:val="Heading1"/>
        <w:spacing w:after="140" w:before="320"/>
      </w:pPr>
      <w:r>
        <w:rPr>
          <w:rFonts w:ascii="Calibri" w:cs="Calibri" w:eastAsia="Calibri" w:hAnsi="Calibri"/>
        </w:rPr>
        <w:t xml:space="preserve">16. Traçabilité driver → structure → vérification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0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 (ISC-ADD)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 d’architecture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 + restrictions de PROBATION (§5, §7.5)</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T-AC-02, T-AC-04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règle d’enrôlement consommant hlr_reassignment</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NonceStore, canonical à ordre fixe (§8.2)</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T-AC-11</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 quatre-yeux, releasedBy en liste (§9.2)</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AuditLog chaîné + OB-2, OB-3, OB-4 ; ancre signée hors base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SPIKE-3 : 8 tentatives refusées, 6 altérations localisées, réécriture complète vue par l’ancre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et decision_rule persistés ; explication stockée, jamais recalculée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Démonstration jury</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SQ-11, SQ-12</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machine, trois commandes make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Répétition chronométrée, essai par un tiers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SQ-20, SQ-21</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Clock + test d’architecture interdisant l’horloge statique (§11, §14)</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 ArchUnit en CI</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SQ-30, SQ-31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PdpClient, connexions persistantes (OB-6), délai, disjoncteur, fail-closed</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SPIKE-4 : 1,7 ms p95 ; SPIKE-5 : plafond audit 133/s, marge ×2,6 sur SQ-30</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SQ-40, SQ-43</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ConfigProvider, config_version, version portée par chaque décision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Analyse de sensibilité</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RuleEngine à registre, une règle = une classe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unitaires par règle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 hors chemin de décision, shadow_prediction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la transaction (§7.4)</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d’expiration et de redémarrage</w:t>
            </w:r>
          </w:p>
        </w:tc>
      </w:tr>
    </w:tbl>
    <w:p>
      <w:pPr>
        <w:spacing w:after="80"/>
      </w:pPr>
    </w:p>
    <w:p>
      <w:pPr>
        <w:pStyle w:val="Heading1"/>
        <w:spacing w:after="140" w:before="320"/>
      </w:pPr>
      <w:r>
        <w:rPr>
          <w:rFonts w:ascii="Calibri" w:cs="Calibri" w:eastAsia="Calibri" w:hAnsi="Calibri"/>
        </w:rPr>
        <w:t xml:space="preserve">17. Risques levés, risques résiduels et dette assumée</w:t>
      </w:r>
    </w:p>
    <w:p>
      <w:pPr>
        <w:pStyle w:val="Heading2"/>
        <w:spacing w:after="100" w:before="220"/>
      </w:pPr>
      <w:r>
        <w:rPr>
          <w:rFonts w:ascii="Calibri" w:cs="Calibri" w:eastAsia="Calibri" w:hAnsi="Calibri"/>
        </w:rPr>
        <w:t xml:space="preserve">17.1 Risques levés par les spikes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 de la v1.0</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Ce que la mesure a établi</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La signature Keystore ne se vérifie pas côté serveur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Vérifiée sur deux appareils ; quatre cas négatifs refusés ; export de la clé privée impossible, exception citée.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L’horloge injectable ne traverse pas tout le moteur</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mais déplacé : la règle d’architecture laissait passer quatre chemins indirects. Durcie sur dix-huit appels. La défense réelle est OB-1, qui ne dépend d’aucune énumération.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chaînage est contournable ou impossible à imposer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Huit tentatives de modification refusées. Un chemin non anticipé a été trouvé et fermé : fonction SECURITY DEFINER exposée par PUBLIC (OB-3).</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mTLS coûte plus qu’il ne démontre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1,7 ms au p95 en connexions persistantes, soit 0,34 % du budget. Mais 65,8 ms en connexion neuve, d’où OB-6.</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RA-06</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débit du simulateur est incompatible avec l’évaluation</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pour le mode par lots : 177 s pour 500 000 transactions. CONFIRMÉ pour l’appel unitaire : ≈ 86 min, mode écarté.</w:t>
            </w:r>
          </w:p>
        </w:tc>
      </w:tr>
    </w:tbl>
    <w:p>
      <w:pPr>
        <w:spacing w:after="80"/>
      </w:pPr>
    </w:p>
    <w:p>
      <w:pPr>
        <w:pStyle w:val="Heading2"/>
        <w:spacing w:after="100" w:before="220"/>
      </w:pPr>
      <w:r>
        <w:rPr>
          <w:rFonts w:ascii="Calibri" w:cs="Calibri" w:eastAsia="Calibri" w:hAnsi="Calibri"/>
        </w:rPr>
        <w:t xml:space="preserve">17.2 Risques résiduels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État asynchrone des transactions en attente de preuve : orphelines, doubles exécutions</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NON LEVÉ — aucun spike ne l’adressait. La machine à états de la transaction (§7.4) le modélise ; les tests d’expiration et de redémarrage du mois 4 devront le prouver.</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RA-07</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ré-enrôlement est la principale surface d’attaque résiduelle du device binding</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MIS À JOUR v1.2 : la surface est désormais couverte par ES-18 à ES-22 (code de récupération, unicité, limitation, réponses uniformes). Le risque résiduel se déplace vers la perte du code par l’utilisateur, dont la voie de résolution — vérification physique au comptoir — reste à formaliser (ISC-AMD-01 §8, point 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RA-08</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Marge de ×2,6 seulement sur SQ-30 en régime en ligne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SPIKE-5 : le plafond d’écriture d’audit est de 133 par seconde, non les 2 822 de l’injection. Une règle plus coûteuse ou une VM plus chargée rapprochent du plafond.</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RA-09</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clé de signature de l’ancre vit sur la même machine que la base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SPIKE-3. Limite du MODÈLE, non du dispositif : ISC-TM §9 exclut l’adversaire qui possède le système de fichiers. En déploiement réel, la clé irait sur une machine distincte ou un module matériel.</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RA-10</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Expiration d’un certificat le jour de la soutenance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Une porte de validité dans check-stack DOIT échouer avant l’échéance.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RA-11</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niveau de refus TLS dépend du terminateur ; le spike a utilisé nginx et openssl, le produit utilisera Spring Boot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Les quatre tentatives DOIVENT être rejouées sur le PDP réel au mois 4, avec le même tableau de niveaux.</w:t>
            </w:r>
          </w:p>
        </w:tc>
      </w:tr>
    </w:tbl>
    <w:p>
      <w:pPr>
        <w:spacing w:after="80"/>
      </w:pPr>
    </w:p>
    <w:p>
      <w:pPr>
        <w:pStyle w:val="Heading2"/>
        <w:spacing w:after="100" w:before="220"/>
      </w:pPr>
      <w:r>
        <w:rPr>
          <w:rFonts w:ascii="Calibri" w:cs="Calibri" w:eastAsia="Calibri" w:hAnsi="Calibri"/>
        </w:rPr>
        <w:t xml:space="preserve">17.3 Dette assumée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Dette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Concentration du PDP : règles, état, gels, contacts, nonces et audit dans un seul service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En contexte industriel, l’audit serait un service séparé. Assumé au nom de C-04 et CR-05.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Notification simulée instantanée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résultats sur AC-04 sont optimistes dans cette mesure. À énoncer comme limite dans le mémoire.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Un seul serveur PostgreSQL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Démontre le découplage logique, pas l’isolation physique. Assumé (C-05).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Absence de rotation de clé de dispositif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Hors périmètre ; travaux futurs.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Validité des résultats de SPIKE-3 bornée à PostgreSQL 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Toute montée de version DOIT rejouer les huit tentatives de modification.</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D-06</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Image d’injection de SPIKE-5 construite sur le poste Windows puis chargée dans la VM</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Écart à la parité exigée par ISC-DEPLOY §6.2. Sans conséquence présumée, à revérifier par reconstruction en intégration continue au mois 3.</w:t>
            </w:r>
          </w:p>
        </w:tc>
      </w:tr>
    </w:tbl>
    <w:p>
      <w:pPr>
        <w:spacing w:after="80"/>
      </w:pPr>
    </w:p>
    <w:p>
      <w:pPr>
        <w:pStyle w:val="Heading1"/>
        <w:spacing w:after="140" w:before="320"/>
      </w:pPr>
      <w:r>
        <w:rPr>
          <w:rFonts w:ascii="Calibri" w:cs="Calibri" w:eastAsia="Calibri" w:hAnsi="Calibri"/>
        </w:rPr>
        <w:t xml:space="preserve">18. Ce que ce document ne décide pas</w:t>
      </w:r>
    </w:p>
    <w:p>
      <w:pPr>
        <w:pStyle w:val="ListParagraph"/>
        <w:numPr>
          <w:ilvl w:val="0"/>
          <w:numId w:val="2"/>
        </w:numPr>
        <w:spacing w:after="60" w:line="264"/>
      </w:pPr>
      <w:r>
        <w:rPr>
          <w:rFonts w:ascii="Calibri" w:cs="Calibri" w:eastAsia="Calibri" w:hAnsi="Calibri"/>
          <w:sz w:val="21"/>
          <w:szCs w:val="21"/>
        </w:rPr>
        <w:t xml:space="preserve">Les ratios, découpages et seuils de l’évaluation : ISC-EVAL. La taille du jeu, elle, est confirmée par SPIKE-5 — ISC-EVAL §3.5 tient sans ajustement.</w:t>
      </w:r>
    </w:p>
    <w:p>
      <w:pPr>
        <w:pStyle w:val="ListParagraph"/>
        <w:numPr>
          <w:ilvl w:val="0"/>
          <w:numId w:val="2"/>
        </w:numPr>
        <w:spacing w:after="60" w:line="264"/>
      </w:pPr>
      <w:r>
        <w:rPr>
          <w:rFonts w:ascii="Calibri" w:cs="Calibri" w:eastAsia="Calibri" w:hAnsi="Calibri"/>
          <w:sz w:val="21"/>
          <w:szCs w:val="21"/>
        </w:rPr>
        <w:t xml:space="preserve">La stratégie de test détaillée et la matrice exigence → test : ISC-TEST.</w:t>
      </w:r>
    </w:p>
    <w:p>
      <w:pPr>
        <w:pStyle w:val="ListParagraph"/>
        <w:numPr>
          <w:ilvl w:val="0"/>
          <w:numId w:val="2"/>
        </w:numPr>
        <w:spacing w:after="60" w:line="264"/>
      </w:pPr>
      <w:r>
        <w:rPr>
          <w:rFonts w:ascii="Calibri" w:cs="Calibri" w:eastAsia="Calibri" w:hAnsi="Calibri"/>
          <w:sz w:val="21"/>
          <w:szCs w:val="21"/>
        </w:rPr>
        <w:t xml:space="preserve">Le processus d’ingénierie (cadence, Definition of Ready et of Done, portes CI) : ISC-PROC.</w:t>
      </w:r>
    </w:p>
    <w:p>
      <w:pPr>
        <w:pStyle w:val="ListParagraph"/>
        <w:numPr>
          <w:ilvl w:val="0"/>
          <w:numId w:val="2"/>
        </w:numPr>
        <w:spacing w:after="60" w:line="264"/>
      </w:pPr>
      <w:r>
        <w:rPr>
          <w:rFonts w:ascii="Calibri" w:cs="Calibri" w:eastAsia="Calibri" w:hAnsi="Calibri"/>
          <w:sz w:val="21"/>
          <w:szCs w:val="21"/>
        </w:rPr>
        <w:t xml:space="preserve">Le déroulé minuté de la soutenance : ISC-DEMO.</w:t>
      </w:r>
    </w:p>
    <w:p>
      <w:pPr>
        <w:pStyle w:val="ListParagraph"/>
        <w:numPr>
          <w:ilvl w:val="0"/>
          <w:numId w:val="2"/>
        </w:numPr>
        <w:spacing w:after="60" w:line="264"/>
      </w:pPr>
      <w:r>
        <w:rPr>
          <w:rFonts w:ascii="Calibri" w:cs="Calibri" w:eastAsia="Calibri" w:hAnsi="Calibri"/>
          <w:sz w:val="21"/>
          <w:szCs w:val="21"/>
        </w:rPr>
        <w:t xml:space="preserve">Les paramètres des personas du générateur : ISC-EVAL et le rapport de plausibilité.</w:t>
      </w:r>
    </w:p>
    <w:p>
      <w:pPr>
        <w:pStyle w:val="ListParagraph"/>
        <w:numPr>
          <w:ilvl w:val="0"/>
          <w:numId w:val="2"/>
        </w:numPr>
        <w:spacing w:after="60" w:line="264"/>
      </w:pPr>
      <w:r>
        <w:rPr>
          <w:rFonts w:ascii="Calibri" w:cs="Calibri" w:eastAsia="Calibri" w:hAnsi="Calibri"/>
          <w:sz w:val="21"/>
          <w:szCs w:val="21"/>
        </w:rPr>
        <w:t xml:space="preserve">La fonction d’agrégation du score (ADR-016) : seule décision d’architecture encore ouverte, à trancher sur le jeu de développement au mois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Les cinq spikes sont exécutés et leurs résultats consignés. ADR-017 à 021 sont FERMES ; ADR-016 demeure la seule décision d’architecture ouverte, et elle ne bloque pas le squelette marchant. La conception est close au sens de ce document : le développement peut commencer, à la condition que les sept obligations du §1bis soient respectées dès la première ligne de code. Aucune d’elles ne produit de symptôme visible lorsqu’elle est violée — seulement des résultats faux.</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ISC-SAD v1.2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Document d’architecture logicielle v1.1</dc:title>
  <dc:creator>IdentiShield-CM</dc:creator>
  <cp:lastModifiedBy>Un-named</cp:lastModifiedBy>
  <cp:revision>1</cp:revision>
  <dcterms:created xsi:type="dcterms:W3CDTF">2026-08-29T17:19:40.287Z</dcterms:created>
  <dcterms:modified xsi:type="dcterms:W3CDTF">2026-08-29T17:19:40.287Z</dcterms:modified>
</cp:coreProperties>
</file>

<file path=docProps/custom.xml><?xml version="1.0" encoding="utf-8"?>
<Properties xmlns="http://schemas.openxmlformats.org/officeDocument/2006/custom-properties" xmlns:vt="http://schemas.openxmlformats.org/officeDocument/2006/docPropsVTypes"/>
</file>