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DRIVERS D’ARCHITECTURE</w:t>
      </w:r>
    </w:p>
    <w:p>
      <w:pPr>
        <w:spacing w:after="460"/>
        <w:jc w:val="center"/>
      </w:pPr>
      <w:r>
        <w:rPr>
          <w:rFonts w:ascii="Calibri" w:cs="Calibri" w:eastAsia="Calibri" w:hAnsi="Calibri"/>
          <w:sz w:val="21"/>
          <w:szCs w:val="21"/>
        </w:rPr>
        <w:t xml:space="preserve">Architecture Drivers Document — contraintes, objectifs, scénarios de qualité, arbitrages, risques et plan de spikes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ISC-ADD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 — soumis au candidat</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août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Yaniv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ISC-SRS-FR/EN v1.2 (APPROVED par le candidat) ; ISC-TM v1.1 ; journal de défauts v1.1</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Document aval</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ISC-SAD (produit à partir de ce document et des résultats des spikes)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Charnière entre le SRS (ce que le système fait) et le SAD (comment il est structuré). Ce document ne contient aucune information nouvelle : il extrait, hiérarchise et rend mesurables les exigences qui contraignent réellement l’architecture.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Méthode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Attribute-Driven Design (SEI, Carnegie Mellon) : contraintes → objectifs métier → fonctions primaires → scénarios de qualité à six parties → arbitrages → risques → spikes.</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Périmètre et méthode de ce document</w:t>
      </w:r>
    </w:p>
    <w:p>
      <w:pPr>
        <w:spacing w:after="100" w:line="264"/>
      </w:pPr>
      <w:r>
        <w:rPr>
          <w:rFonts w:ascii="Calibri" w:cs="Calibri" w:eastAsia="Calibri" w:hAnsi="Calibri"/>
          <w:sz w:val="21"/>
          <w:szCs w:val="21"/>
        </w:rPr>
        <w:t xml:space="preserve">Le SRS v1.2 compte 117 exigences (42 EF, 25 ES dont 2 retirées, 19 ENF, 11 EAR, 10 EI, 10 ED). Toutes ne contraignent pas l’architecture : une exigence de libellé d’interface ou de langue n’impose aucune structure. Ce document isole les exigences architecturalement significatives (ASR) — celles dont la violation obligerait à redécouper le système — et les traduit en scénarios testables.</w:t>
      </w:r>
    </w:p>
    <w:p>
      <w:pPr>
        <w:spacing w:after="100" w:line="264"/>
      </w:pPr>
      <w:r>
        <w:rPr>
          <w:rFonts w:ascii="Calibri" w:cs="Calibri" w:eastAsia="Calibri" w:hAnsi="Calibri"/>
          <w:sz w:val="21"/>
          <w:szCs w:val="21"/>
        </w:rPr>
        <w:t xml:space="preserve">Format d’un scénario de qualité (six parties, SEI) : SOURCE du stimulus — STIMULUS — ENVIRONNEMENT — ARTEFACT touché — RÉPONSE attendue — MESURE de la réponse. Un scénario sans mesure n’est pas un driver, c’est un souhait.</w:t>
      </w:r>
    </w:p>
    <w:p>
      <w:pPr>
        <w:spacing w:after="100" w:line="264"/>
      </w:pPr>
      <w:r>
        <w:rPr>
          <w:rFonts w:ascii="Calibri" w:cs="Calibri" w:eastAsia="Calibri" w:hAnsi="Calibri"/>
          <w:sz w:val="21"/>
          <w:szCs w:val="21"/>
        </w:rPr>
        <w:t xml:space="preserve">Priorisation à deux axes (notation SEI) : première lettre = importance pour le succès du projet, seconde = difficulté technique estimée. (H,H) = risque architectural majeur, effort et spike obligatoires ; (H,L) = important mais résolu par une pratique connue ; (L,∗) = n’influence pas la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Ce document ne décrit ni les composants ni l’attribution des technologies : cela relève du SAD. La stack figure ici uniquement en contrainte, avec ce qu’elle rend possible ou impossible.</w:t>
            </w:r>
          </w:p>
        </w:tc>
      </w:tr>
    </w:tbl>
    <w:p>
      <w:pPr>
        <w:pStyle w:val="Heading1"/>
        <w:spacing w:after="140" w:before="320"/>
      </w:pPr>
      <w:r>
        <w:rPr>
          <w:rFonts w:ascii="Calibri" w:cs="Calibri" w:eastAsia="Calibri" w:hAnsi="Calibri"/>
        </w:rPr>
        <w:t xml:space="preserve">2. Contraintes (non négociables)</w:t>
      </w:r>
    </w:p>
    <w:p>
      <w:pPr>
        <w:spacing w:after="100" w:line="264"/>
      </w:pPr>
      <w:r>
        <w:rPr>
          <w:rFonts w:ascii="Calibri" w:cs="Calibri" w:eastAsia="Calibri" w:hAnsi="Calibri"/>
          <w:sz w:val="21"/>
          <w:szCs w:val="21"/>
        </w:rPr>
        <w:t xml:space="preserve">Une contrainte élimine des options sans discussion. Elle n’est pas un choix d’architecture ; elle en est la frontière.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400"/>
        <w:gridCol w:w="16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Contrainte</w:t>
            </w:r>
          </w:p>
        </w:tc>
        <w:tc>
          <w:tcPr>
            <w:tcW w:type="dxa" w:w="4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Ce qu’elle impose ou interdit à l’architecture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Source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C-01</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Keystore matériel Android (StrongBox ou TEE), clé non exportable</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IMPOSE une preuve de possession côté client sur le canal application ; INTERDIT un framework multiplateforme qui masquerait l’accès au Keystore ; IMPOSE que la vérification de signature soit un composant serveur isolé et testable.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CT-01, ES-02</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C-02</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canal USSD n’a aucune capacité cryptographique côté client</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INTERDIT toute preuve de possession sur ce canal ; IMPOSE que la protection USSD provienne exclusivement de signaux réseau, de comportement et de temporisation ; IMPOSE que le moteur de décision soit indépendant du canal.</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EF-06, ES-06</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C-03</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Sandbox strict : aucun système réel, réseau isolé, numéros fictifs</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INTERDIT toute dépendance à un service externe (SMS, notification push réelle, API opérateur) ; IMPOSE des adaptateurs simulés pour chaque interface externe.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CT-02, [I1]</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C-04</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développeur, sept mois, exécution du code par outillage sous revue</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IMPOSE une architecture dont chaque composant est explicable seul (CR-05) ; INTERDIT la multiplication des services au-delà du nécessaire ; IMPOSE la sobriété comme critère de conception.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CT-03, CR-05</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C-05</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Démonstration sur une machine unique, lancée par une commande</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INTERDIT toute topologie exigeant plusieurs hôtes ou un orchestrateur lourd ; IMPOSE que l’ensemble tienne en ressources de portable.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ENF-05, CT-04</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C-06</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Stack imposée (ADR-003) : Java/Spring, Python, Kotlin natif, Next.js, PostgreSQL, Docker Compose</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Contrainte assumée antérieure aux exigences (écart de méthode documenté). N’est pas un driver ; borne l’espace de solutions.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CT-01</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C-07</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Schéma de base par service, aucune table partagée</w:t>
            </w:r>
          </w:p>
        </w:tc>
        <w:tc>
          <w:tcPr>
            <w:tcW w:type="dxa" w:w="4400"/>
            <w:tcMar>
              <w:top w:type="dxa" w:w="50"/>
              <w:left w:type="dxa" w:w="90"/>
              <w:bottom w:type="dxa" w:w="50"/>
              <w:right w:type="dxa" w:w="90"/>
            </w:tcMar>
          </w:tcPr>
          <w:p>
            <w:pPr>
              <w:spacing w:after="30" w:line="240"/>
            </w:pPr>
            <w:r>
              <w:rPr>
                <w:rFonts w:ascii="Calibri" w:cs="Calibri" w:eastAsia="Calibri" w:hAnsi="Calibri"/>
                <w:sz w:val="18"/>
                <w:szCs w:val="18"/>
              </w:rPr>
              <w:t xml:space="preserve">IMPOSE que tout échange entre cœur et PDP passe par une interface explicite ; INTERDIT le couplage par la donnée.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ED-01</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C-08</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temps doit être injectable ; aucune règle ne lit l’horloge système</w:t>
            </w:r>
          </w:p>
        </w:tc>
        <w:tc>
          <w:tcPr>
            <w:tcW w:type="dxa" w:w="4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IMPOSE une abstraction d’horloge traversée par tout le moteur de décision ; conditionne la testabilité de CAR_IMSI, TTL_FREEZE, NIGHT, VEL et la simulation en temps virtuel.</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ENF-11, EF-18</w:t>
            </w:r>
          </w:p>
        </w:tc>
      </w:tr>
    </w:tbl>
    <w:p>
      <w:pPr>
        <w:spacing w:after="80"/>
      </w:pPr>
    </w:p>
    <w:p>
      <w:pPr>
        <w:pStyle w:val="Heading1"/>
        <w:spacing w:after="140" w:before="320"/>
      </w:pPr>
      <w:r>
        <w:rPr>
          <w:rFonts w:ascii="Calibri" w:cs="Calibri" w:eastAsia="Calibri" w:hAnsi="Calibri"/>
        </w:rPr>
        <w:t xml:space="preserve">3. Objectifs et priorités de conception</w:t>
      </w:r>
    </w:p>
    <w:p>
      <w:pPr>
        <w:spacing w:after="100" w:line="264"/>
      </w:pPr>
      <w:r>
        <w:rPr>
          <w:rFonts w:ascii="Calibri" w:cs="Calibri" w:eastAsia="Calibri" w:hAnsi="Calibri"/>
          <w:sz w:val="21"/>
          <w:szCs w:val="21"/>
        </w:rPr>
        <w:t xml:space="preserve">Quand deux qualités s’opposent, l’ordre ci-dessous tranche. Il est fixé ici, avant l’architecture, pour qu’aucun arbitrage ne soit décidé au cas par cas pendant l’implémentation.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Rang</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Qualité</w:t>
            </w:r>
          </w:p>
        </w:tc>
        <w:tc>
          <w:tcPr>
            <w:tcW w:type="dxa" w:w="6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Pourquoi à ce rang</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Démontrabilité et explicabilité</w:t>
            </w:r>
          </w:p>
        </w:tc>
        <w:tc>
          <w:tcPr>
            <w:tcW w:type="dxa" w:w="6200"/>
            <w:tcMar>
              <w:top w:type="dxa" w:w="50"/>
              <w:left w:type="dxa" w:w="90"/>
              <w:bottom w:type="dxa" w:w="50"/>
              <w:right w:type="dxa" w:w="90"/>
            </w:tcMar>
          </w:tcPr>
          <w:p>
            <w:pPr>
              <w:spacing w:after="30" w:line="240"/>
            </w:pPr>
            <w:r>
              <w:rPr>
                <w:rFonts w:ascii="Calibri" w:cs="Calibri" w:eastAsia="Calibri" w:hAnsi="Calibri"/>
                <w:sz w:val="18"/>
                <w:szCs w:val="18"/>
              </w:rPr>
              <w:t xml:space="preserve">Le livrable est académique. Une décision que le candidat ne peut pas expliquer (CR-05) ou que le jury ne peut pas voir (CR-04) est sans valeur, même parfaitement implémentée.</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Correction de sécurité</w:t>
            </w:r>
          </w:p>
        </w:tc>
        <w:tc>
          <w:tcPr>
            <w:tcW w:type="dxa" w:w="6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C’est la thèse. Une faille dans la vérification de signature ou dans la machine à états invalide tout le résultat.</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Testabilité et reproductibilité</w:t>
            </w:r>
          </w:p>
        </w:tc>
        <w:tc>
          <w:tcPr>
            <w:tcW w:type="dxa" w:w="6200"/>
            <w:tcMar>
              <w:top w:type="dxa" w:w="50"/>
              <w:left w:type="dxa" w:w="90"/>
              <w:bottom w:type="dxa" w:w="50"/>
              <w:right w:type="dxa" w:w="90"/>
            </w:tcMar>
          </w:tcPr>
          <w:p>
            <w:pPr>
              <w:spacing w:after="30" w:line="240"/>
            </w:pPr>
            <w:r>
              <w:rPr>
                <w:rFonts w:ascii="Calibri" w:cs="Calibri" w:eastAsia="Calibri" w:hAnsi="Calibri"/>
                <w:sz w:val="18"/>
                <w:szCs w:val="18"/>
              </w:rPr>
              <w:t xml:space="preserve">Sans elles, les métriques ne sont pas défendables (R-03, EAR-09).</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Performance</w:t>
            </w:r>
          </w:p>
        </w:tc>
        <w:tc>
          <w:tcPr>
            <w:tcW w:type="dxa" w:w="6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ENF-01 doit être tenue, mais 50 tx/s est modeste : la performance n’est pas le défi de ce système.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Disponibilité</w:t>
            </w:r>
          </w:p>
        </w:tc>
        <w:tc>
          <w:tcPr>
            <w:tcW w:type="dxa" w:w="6200"/>
            <w:tcMar>
              <w:top w:type="dxa" w:w="50"/>
              <w:left w:type="dxa" w:w="90"/>
              <w:bottom w:type="dxa" w:w="50"/>
              <w:right w:type="dxa" w:w="90"/>
            </w:tcMar>
          </w:tcPr>
          <w:p>
            <w:pPr>
              <w:spacing w:after="30" w:line="240"/>
            </w:pPr>
            <w:r>
              <w:rPr>
                <w:rFonts w:ascii="Calibri" w:cs="Calibri" w:eastAsia="Calibri" w:hAnsi="Calibri"/>
                <w:sz w:val="18"/>
                <w:szCs w:val="18"/>
              </w:rPr>
              <w:t xml:space="preserve">Volontairement sacrifiée au rang 2 : le fail-closed (ES-11) préfère refuser que laisser passer.</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Évolutivité, portabilité opérateur</w:t>
            </w:r>
          </w:p>
        </w:tc>
        <w:tc>
          <w:tcPr>
            <w:tcW w:type="dxa" w:w="6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Hors périmètre. Le testbed n’a pas vocation à être déployé.</w:t>
            </w:r>
          </w:p>
        </w:tc>
      </w:tr>
    </w:tbl>
    <w:p>
      <w:pPr>
        <w:spacing w:after="80"/>
      </w:pPr>
    </w:p>
    <w:p>
      <w:pPr>
        <w:pStyle w:val="Heading1"/>
        <w:spacing w:after="140" w:before="320"/>
      </w:pPr>
      <w:r>
        <w:rPr>
          <w:rFonts w:ascii="Calibri" w:cs="Calibri" w:eastAsia="Calibri" w:hAnsi="Calibri"/>
        </w:rPr>
        <w:t xml:space="preserve">4. Fonctions primaires</w:t>
      </w:r>
    </w:p>
    <w:p>
      <w:pPr>
        <w:spacing w:after="100" w:line="264"/>
      </w:pPr>
      <w:r>
        <w:rPr>
          <w:rFonts w:ascii="Calibri" w:cs="Calibri" w:eastAsia="Calibri" w:hAnsi="Calibri"/>
          <w:sz w:val="21"/>
          <w:szCs w:val="21"/>
        </w:rPr>
        <w:t xml:space="preserve">Le petit sous-ensemble de cas d’utilisation qui traverse toute l’architecture. L’architecture est conçue pour eux ; le reste s’y raccroche.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UC</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Fonction</w:t>
            </w:r>
          </w:p>
        </w:tc>
        <w:tc>
          <w:tcPr>
            <w:tcW w:type="dxa" w:w="5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Pourquoi primaire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UC-02</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Effectuer une sortie sensible</w:t>
            </w:r>
          </w:p>
        </w:tc>
        <w:tc>
          <w:tcPr>
            <w:tcW w:type="dxa" w:w="5700"/>
            <w:tcMar>
              <w:top w:type="dxa" w:w="50"/>
              <w:left w:type="dxa" w:w="90"/>
              <w:bottom w:type="dxa" w:w="50"/>
              <w:right w:type="dxa" w:w="90"/>
            </w:tcMar>
          </w:tcPr>
          <w:p>
            <w:pPr>
              <w:spacing w:after="30" w:line="240"/>
            </w:pPr>
            <w:r>
              <w:rPr>
                <w:rFonts w:ascii="Calibri" w:cs="Calibri" w:eastAsia="Calibri" w:hAnsi="Calibri"/>
                <w:sz w:val="18"/>
                <w:szCs w:val="18"/>
              </w:rPr>
              <w:t xml:space="preserve">Traverse tous les composants : canal, cœur, PDP, règles, état de confiance, journal, console. Si cette fonction est propre, tout l’est.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Répondre à un STEP_UP</w:t>
            </w:r>
          </w:p>
        </w:tc>
        <w:tc>
          <w:tcPr>
            <w:tcW w:type="dxa" w:w="5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Fait exister la décision graduée ; introduit l’asynchronisme (temporisation, contact de confiance) qui est la vraie difficulté structurelle.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UC-01 / UC-05</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Enrôler / ré-enrôler un dispositif</w:t>
            </w:r>
          </w:p>
        </w:tc>
        <w:tc>
          <w:tcPr>
            <w:tcW w:type="dxa" w:w="5700"/>
            <w:tcMar>
              <w:top w:type="dxa" w:w="50"/>
              <w:left w:type="dxa" w:w="90"/>
              <w:bottom w:type="dxa" w:w="50"/>
              <w:right w:type="dxa" w:w="90"/>
            </w:tcMar>
          </w:tcPr>
          <w:p>
            <w:pPr>
              <w:spacing w:after="30" w:line="240"/>
            </w:pPr>
            <w:r>
              <w:rPr>
                <w:rFonts w:ascii="Calibri" w:cs="Calibri" w:eastAsia="Calibri" w:hAnsi="Calibri"/>
                <w:sz w:val="18"/>
                <w:szCs w:val="18"/>
              </w:rPr>
              <w:t xml:space="preserve">Point d’entrée de toute la chaîne cryptographique ; AC-13 a montré que c’est le maillon où le device binding peut se retourner contre la victime.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Remplacer une SIM</w:t>
            </w:r>
          </w:p>
        </w:tc>
        <w:tc>
          <w:tcPr>
            <w:tcW w:type="dxa" w:w="5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Déclenche la transition d’état centrale (PROBATION) et l’événement réseau que tout le système consomme.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UC-08</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Traiter un gel</w:t>
            </w:r>
          </w:p>
        </w:tc>
        <w:tc>
          <w:tcPr>
            <w:tcW w:type="dxa" w:w="5700"/>
            <w:tcMar>
              <w:top w:type="dxa" w:w="50"/>
              <w:left w:type="dxa" w:w="90"/>
              <w:bottom w:type="dxa" w:w="50"/>
              <w:right w:type="dxa" w:w="90"/>
            </w:tcMar>
          </w:tcPr>
          <w:p>
            <w:pPr>
              <w:spacing w:after="30" w:line="240"/>
            </w:pPr>
            <w:r>
              <w:rPr>
                <w:rFonts w:ascii="Calibri" w:cs="Calibri" w:eastAsia="Calibri" w:hAnsi="Calibri"/>
                <w:sz w:val="18"/>
                <w:szCs w:val="18"/>
              </w:rPr>
              <w:t xml:space="preserve">Fait entrer l’humain dans la boucle ; impose authentification, rôles, quatre-yeux et audit.</w:t>
            </w:r>
          </w:p>
        </w:tc>
      </w:tr>
    </w:tbl>
    <w:p>
      <w:pPr>
        <w:spacing w:after="80"/>
      </w:pPr>
    </w:p>
    <w:p>
      <w:pPr>
        <w:pStyle w:val="Heading1"/>
        <w:spacing w:after="140" w:before="320"/>
      </w:pPr>
      <w:r>
        <w:rPr>
          <w:rFonts w:ascii="Calibri" w:cs="Calibri" w:eastAsia="Calibri" w:hAnsi="Calibri"/>
        </w:rPr>
        <w:t xml:space="preserve">5. Scénarios de qualité (les drivers)</w:t>
      </w:r>
    </w:p>
    <w:p>
      <w:pPr>
        <w:spacing w:after="100" w:line="264"/>
      </w:pPr>
      <w:r>
        <w:rPr>
          <w:rFonts w:ascii="Calibri" w:cs="Calibri" w:eastAsia="Calibri" w:hAnsi="Calibri"/>
          <w:sz w:val="21"/>
          <w:szCs w:val="21"/>
        </w:rPr>
        <w:t xml:space="preserve">Chaque scénario porte un identifiant SQ-xx, une priorité (importance, difficulté), et une exigence source. Ceux marqués (H,H) sont les risques architecturaux : ils commandent les spikes de la section 8.</w:t>
      </w:r>
    </w:p>
    <w:p>
      <w:pPr>
        <w:pStyle w:val="Heading2"/>
        <w:spacing w:after="100" w:before="220"/>
      </w:pPr>
      <w:r>
        <w:rPr>
          <w:rFonts w:ascii="Calibri" w:cs="Calibri" w:eastAsia="Calibri" w:hAnsi="Calibri"/>
        </w:rPr>
        <w:t xml:space="preserve">5.1 Sécurité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700"/>
        <w:gridCol w:w="13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Scénario (source – stimulus – environnement – artefact – réponse – mesure)</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Source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SQ-01</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Un attaquant ayant obtenu le numéro par SIM swap et le PIN soumet un transfert du solde entier vers un bénéficiaire inconnu, sur le canal USSD, moins de 10 min après le swap, en fonctionnement nominal ; le PDP rend FREEZE et crée un gel notifié ; mesure : 100 % des exécutions de T-AC-02, décision en &lt; 500 ms p95.</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ES-01b, ES-04</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même attaquant installe l’application sur son propre téléphone et tente un premier enrôlement ; le PDP refuse l’enrôlement ; mesure : 100 % de refus tant que le changement d’IMSI date de moins de CAR_IMSI (T-AC-13).</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(H,H)</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ES-17</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Un attaquant rejoue une requête signée capturée 5 min plus tôt ; le PDP refuse pour nonce consommé ou expiré ; mesure : 100 % de refus, aucune exécution (T-AC-11).</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analyste tente seul de lever un gel de 300 000 FCFA ; le système refuse et journalise ; mesure : 100 % de refus au-dessus de THR_4EYES, action tracée avec identité et justification (T-AC-09).</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ES-08, ES-12</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Un opérateur de base modifie une ligne du journal d’audit ; la console signale la rupture et localise l’enregistrement ; mesure : détection en 100 % des cas, position exacte affichée (T-AC-10).</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SQ-06</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utilisateur légitime, dont le téléphone a été volé, remplace sa SIM en agence puis retire 20 000 FCFA vers un bénéficiaire habituel pendant la PROBATION ; la transaction est autorisée ; mesure : autorisée si ≤ CAP_PROB et bénéficiaire connu, sinon FREEZE.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ES-01b, ES-04</w:t>
            </w:r>
          </w:p>
        </w:tc>
      </w:tr>
    </w:tbl>
    <w:p>
      <w:pPr>
        <w:spacing w:after="80"/>
      </w:pPr>
    </w:p>
    <w:p>
      <w:pPr>
        <w:pStyle w:val="Heading2"/>
        <w:spacing w:after="100" w:before="220"/>
      </w:pPr>
      <w:r>
        <w:rPr>
          <w:rFonts w:ascii="Calibri" w:cs="Calibri" w:eastAsia="Calibri" w:hAnsi="Calibri"/>
        </w:rPr>
        <w:t xml:space="preserve">5.2 Explicabilité et démontrabilité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700"/>
        <w:gridCol w:w="13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Scénario</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Source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SQ-10</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Un membre du jury désigne une transaction gelée à l’écran et demande pourquoi ; la console affiche les règles déclenchées, leur contribution au score et la version du jeu de règles ; mesure : justification lisible sans accès au code, en moins de 10 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ENF-14, EF-11</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SQ-11</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candidat lance la démonstration complète (attaque réussie en mode sans couche, puis neutralisée, puis vérification d’intégrité) ; mesure : &lt; 10 min, aucune intervention manuelle hors script, aucun redémarrage.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CR-04</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SQ-12</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Un tiers clone le dépôt sur une machine vierge avec Docker et suit le README ; mesure : environnement opérationnel en &lt; 10 min.</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(H,L)</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ENF-05</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SQ-13</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jury demande de rejouer l’évaluation ; make evaluate régénère toutes les figures ; mesure : résultats identiques à graine fixée, versions du jeu et des règles en légende.</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ENF-04, EAR-09</w:t>
            </w:r>
          </w:p>
        </w:tc>
      </w:tr>
    </w:tbl>
    <w:p>
      <w:pPr>
        <w:spacing w:after="80"/>
      </w:pPr>
    </w:p>
    <w:p>
      <w:pPr>
        <w:pStyle w:val="Heading2"/>
        <w:spacing w:after="100" w:before="220"/>
      </w:pPr>
      <w:r>
        <w:rPr>
          <w:rFonts w:ascii="Calibri" w:cs="Calibri" w:eastAsia="Calibri" w:hAnsi="Calibri"/>
        </w:rPr>
        <w:t xml:space="preserve">5.3 Testabilité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700"/>
        <w:gridCol w:w="13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Scénario</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Source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SQ-20</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La suite de tests place l’horloge à t+47 h après un changement d’IMSI et soumet une sortie ; le PDP applique la règle de PROBATION ; mesure : exécution en &lt; 1 s réelle, aucun délai d’attente réel.</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(H,H)</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ENF-11, EF-18</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SQ-21</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simulateur injecte six mois de trafic en temps virtuel ; mesure : 500 000 transactions traitées en &lt; 30 min, cohérence temporelle préservée (aucune règle faussée par l’accélération).</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(H,H)</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ED-07, EAR-01</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SQ-22</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Chaque cas d’abus AC-01 à AC-13 est exécuté en intégration continue ; mesure : 13 tests verts, durée totale &lt; 10 min.</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ENF-09</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SQ-23</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règle du moteur est testée isolément sans démarrer le cœur ni la base ; mesure : test unitaire pur, &lt; 50 ms.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(M,M)</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ENF-08b</w:t>
            </w:r>
          </w:p>
        </w:tc>
      </w:tr>
    </w:tbl>
    <w:p>
      <w:pPr>
        <w:spacing w:after="80"/>
      </w:pPr>
    </w:p>
    <w:p>
      <w:pPr>
        <w:pStyle w:val="Heading2"/>
        <w:spacing w:after="100" w:before="220"/>
      </w:pPr>
      <w:r>
        <w:rPr>
          <w:rFonts w:ascii="Calibri" w:cs="Calibri" w:eastAsia="Calibri" w:hAnsi="Calibri"/>
        </w:rPr>
        <w:t xml:space="preserve">5.4 Performance et disponibilité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700"/>
        <w:gridCol w:w="13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Scénario</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Source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SQ-30</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soumet 50 transactions/s pendant 10 min sur la machine de démonstration, PDP nominal ; mesure : /evaluate p95 &lt; 500 ms, p99 &lt; 800 ms, aucune décision perdue.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(M,M)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ENF-01, ENF-03</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SQ-31</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devient indisponible pendant 10 min en pleine charge ; le cœur refuse toute sortie &gt; CAP_PROB et journalise les autres en mode dégradé ; mesure : 0 sortie &gt; CAP_PROB exécutée, &lt; 2 % des transactions légitimes affectées.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 QR-5</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SQ-32</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Une décision est émise ; la console la reflète ; mesure : &lt; 2 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(M,L)</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ENF-02</w:t>
            </w:r>
          </w:p>
        </w:tc>
      </w:tr>
    </w:tbl>
    <w:p>
      <w:pPr>
        <w:spacing w:after="80"/>
      </w:pPr>
    </w:p>
    <w:p>
      <w:pPr>
        <w:pStyle w:val="Heading2"/>
        <w:spacing w:after="100" w:before="220"/>
      </w:pPr>
      <w:r>
        <w:rPr>
          <w:rFonts w:ascii="Calibri" w:cs="Calibri" w:eastAsia="Calibri" w:hAnsi="Calibri"/>
        </w:rPr>
        <w:t xml:space="preserve">5.5 Modifiabilité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700"/>
        <w:gridCol w:w="13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Scénario</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Source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SQ-40</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Le chercheur fait varier CAR_IMSI de 24 h à 7 jours pour l’analyse de sensibilité (QR-4) ; mesure : aucune modification de code, aucun redéploiement d’image, version de configuration tracée dans chaque décision.</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ES-15, EF-17</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règle comportementale est ajoutée au moteur ; mesure : aucun impact sur les autres règles, un seul point d’enregistrement, tests existants inchangés.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(M,M)</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ES-05a</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Le modèle appris est branché en évaluateur ombre ; mesure : aucune modification du chemin de décision, prédiction journalisée à côté de la décision.</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(M,M)</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EF-19, EAR-08</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SQ-43</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politique STEP_UP USSD est remplacée (P1 → P3) pour l’expérimentation ; mesure : changement par configuration, comparaison possible sur le même jeu.</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(H,M)</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ES-06, QR-2</w:t>
            </w:r>
          </w:p>
        </w:tc>
      </w:tr>
    </w:tbl>
    <w:p>
      <w:pPr>
        <w:spacing w:after="80"/>
      </w:pPr>
    </w:p>
    <w:p>
      <w:pPr>
        <w:pStyle w:val="Heading1"/>
        <w:spacing w:after="140" w:before="320"/>
      </w:pPr>
      <w:r>
        <w:rPr>
          <w:rFonts w:ascii="Calibri" w:cs="Calibri" w:eastAsia="Calibri" w:hAnsi="Calibri"/>
        </w:rPr>
        <w:t xml:space="preserve">6. Arbitrages explicites</w:t>
      </w:r>
    </w:p>
    <w:p>
      <w:pPr>
        <w:spacing w:after="100" w:line="264"/>
      </w:pPr>
      <w:r>
        <w:rPr>
          <w:rFonts w:ascii="Calibri" w:cs="Calibri" w:eastAsia="Calibri" w:hAnsi="Calibri"/>
          <w:sz w:val="21"/>
          <w:szCs w:val="21"/>
        </w:rPr>
        <w:t xml:space="preserve">Toute architecture arbitre. Une architecture qui n’expose pas ses arbitrages les subit. Voici les quatre tensions de ce système et la position retenue.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2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Tension</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 retenue</w:t>
            </w:r>
          </w:p>
        </w:tc>
        <w:tc>
          <w:tcPr>
            <w:tcW w:type="dxa" w:w="3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Conséquence assumée</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Trace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Sécurité contre disponibilité (SQ-31)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 en cas d’indisponibilité du PDP ; micro-paiements autorisés en mode dégradé traçable.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Une panne du PDP bloque les gros transferts. Coût mesuré par QR-5 ; si &gt; 2 %, l’hypothèse H5 est infirmée et le résultat est publié tel quel.</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Sécurité contre utilisabilité (SQ-06)</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PROBATION plafonnée plutôt que blocage total après changement d’IMSI ; levée anticipée par contact de confiance.</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L’attaque mimétique (AC-07) n’est plus bloquée mais plafonnée : la perte maximale devient CAP_PROB au lieu de zéro. Assumé et présenté comme résultat.</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Explicabilité contre pouvoir de détection (SQ-10, QR-3)</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Le chemin de décision reste un moteur de règles explicite ; l’apprentissage est confiné à un évaluateur ombre sans influence.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Si le modèle appris s’avère supérieur de plus de 5 points de rappel, H3 est infirmée ; la conclusion sera que l’explicabilité a un coût chiffré, non que le choix était mauvais.</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Fidélité à la réalité contre force de la défense (C-02)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canal USSD est conservé sans capacité cryptographique, fidèle au terrain camerounais.</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protection USSD restera structurellement plus faible que la protection application. C’est précisément la question de recherche QR-2, pas un défaut.</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QR-2</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Sobriété contre séparation (C-04, C-07)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Deux services applicatifs seulement (cœur, PDP), schémas séparés ; pas de découpage plus fin.</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Le PDP concentre plusieurs responsabilités (règles, état, gels, audit). Justifié par CR-05 : le candidat doit pouvoir tout expliquer.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r>
    </w:tbl>
    <w:p>
      <w:pPr>
        <w:spacing w:after="80"/>
      </w:pPr>
    </w:p>
    <w:p>
      <w:pPr>
        <w:pStyle w:val="Heading1"/>
        <w:spacing w:after="140" w:before="320"/>
      </w:pPr>
      <w:r>
        <w:rPr>
          <w:rFonts w:ascii="Calibri" w:cs="Calibri" w:eastAsia="Calibri" w:hAnsi="Calibri"/>
        </w:rPr>
        <w:t xml:space="preserve">7. Risques architecturaux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400"/>
        <w:gridCol w:w="32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 menacé</w:t>
            </w:r>
          </w:p>
        </w:tc>
        <w:tc>
          <w:tcPr>
            <w:tcW w:type="dxa" w:w="3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Levé par</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RA-01</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La signature Keystore ne se vérifie pas côté serveur (format, encodage, courbe, attestation) ; toute la thèse cryptographique s’effondre.</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SQ-02, SQ-03</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SPIKE-1</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L’horloge injectable ne traverse pas tout le moteur ; les règles temporelles deviennent intestables et la simulation en temps virtuel fausse les résultats.</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SQ-20, SQ-21</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RA-03</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Le chaînage d’empreintes en écriture seule est contournable ou impossible à imposer au niveau base ; la piste d’audit n’est plus une preuve.</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SPIKE-3</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RA-04</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L’authentification mutuelle cœur↔PDP en sandbox (émission et rotation des certificats) coûte plus qu’elle ne démontre.</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SQ-31</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SPIKE-4</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La décision graduée asynchrone (STEP_UP différé, contact de confiance) introduit un état en attente mal maîtrisé : transactions orphelines, doubles exécutions.</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Modélisation explicite dans le SAD (machine à états de la transaction, pas seulement du compte)</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RA-06</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débit du simulateur en temps virtuel est incompatible avec un appel HTTP par transaction (500 000 appels).</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SQ-21</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SAD : mode d’injection par lot ou appel direct en procédure ; à trancher par ADR-017</w:t>
            </w:r>
          </w:p>
        </w:tc>
      </w:tr>
    </w:tbl>
    <w:p>
      <w:pPr>
        <w:spacing w:after="80"/>
      </w:pPr>
    </w:p>
    <w:p>
      <w:pPr>
        <w:pStyle w:val="Heading1"/>
        <w:spacing w:after="140" w:before="320"/>
      </w:pPr>
      <w:r>
        <w:rPr>
          <w:rFonts w:ascii="Calibri" w:cs="Calibri" w:eastAsia="Calibri" w:hAnsi="Calibri"/>
        </w:rPr>
        <w:t xml:space="preserve">8. Plan de spikes</w:t>
      </w:r>
    </w:p>
    <w:p>
      <w:pPr>
        <w:spacing w:after="100" w:line="264"/>
      </w:pPr>
      <w:r>
        <w:rPr>
          <w:rFonts w:ascii="Calibri" w:cs="Calibri" w:eastAsia="Calibri" w:hAnsi="Calibri"/>
          <w:sz w:val="21"/>
          <w:szCs w:val="21"/>
        </w:rPr>
        <w:t xml:space="preserve">Un spike est un morceau de code jetable, borné en temps, dont l’unique objectif est de lever un risque avant de figer l’architecture. Il ne va pas dans le produit. Son résultat est consigné dans un ADR, qu’il réussisse ou échoue.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1100"/>
        <w:gridCol w:w="21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Objectif — critère de réussite</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Boîte de temps</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SPIKE-1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Générer une clé EC P-256 non exportable dans l’Android Keystore, signer un canonical {compte, montant, bénéficiaire, type, nonce}, et vérifier la signature dans un service Java minimal. Réussite : vérification OK sur appareil réel ; format d’encodage arrêté ; disponibilité de StrongBox et de l’attestation constatée (ferme HP-2).</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2 jours</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ADR-018 (algorithme, canonical, encodage, attestation)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Injecter une horloge virtuelle dans une règle temporelle et faire passer un test à t+47 h sans attente réelle. Réussite : test &lt; 1 s, aucune lecture d’horloge système dans le code de règle.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jour</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ADR-019 (abstraction temporelle)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SPIKE-3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Table d’audit en INSERT seul (rôle PostgreSQL sans UPDATE/DELETE), chaînage SHA-256, détection d’une altération manuelle. Réussite : altération détectée et localisée ; coût en écriture mesuré sous SQ-30.</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1 jour</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ADR-020 (journal d’audit)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mTLS entre deux conteneurs Docker avec une autorité de certification locale générée au démarrage. Réussite : appel refusé sans certificat client, accepté avec ; démarrage de la pile toujours &lt; 10 min (SQ-12).</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jour</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ADR-021 (authentification inter-services)</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SPIKE-5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Injecter 500 000 transactions en temps virtuel et mesurer le débit réel de bout en bout. Réussite : &lt; 30 min, ou décision documentée de changer de mode d’injection.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1 jour</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ADR-017 (mode d’injection du simulateur)</w:t>
            </w:r>
          </w:p>
        </w:tc>
      </w:tr>
    </w:tbl>
    <w:p>
      <w:pPr>
        <w:spacing w:after="80"/>
      </w:pPr>
    </w:p>
    <w:p>
      <w:pPr>
        <w:spacing w:after="100" w:line="264"/>
      </w:pPr>
      <w:r>
        <w:rPr>
          <w:rFonts w:ascii="Calibri" w:cs="Calibri" w:eastAsia="Calibri" w:hAnsi="Calibri"/>
          <w:sz w:val="21"/>
          <w:szCs w:val="21"/>
        </w:rPr>
        <w:t xml:space="preserve">Total : six jours. Les spikes 1 et 5 sont prioritaires : ils portent les deux risques (H,H) et conditionnent respectivement la thèse cryptographique et la faisabilité de l’évaluation.</w:t>
      </w:r>
    </w:p>
    <w:p>
      <w:pPr>
        <w:pStyle w:val="Heading1"/>
        <w:spacing w:after="140" w:before="320"/>
      </w:pPr>
      <w:r>
        <w:rPr>
          <w:rFonts w:ascii="Calibri" w:cs="Calibri" w:eastAsia="Calibri" w:hAnsi="Calibri"/>
        </w:rPr>
        <w:t xml:space="preserve">9. Traçabilité driver → décision → vérification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000"/>
      </w:tblGrid>
      <w:tr>
        <w:trPr>
          <w:tblHeader/>
        </w:trPr>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 d’architecture attendue (SAD)</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confiance du compte comme composant central du PDP ; les règles de PROBATION en découlent.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T-AC-02, T-AC-04</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Composant d’enrôlement distinct du composant de décision, consommant l’historique HLR.</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Service de nonce avec stockage à usage unique et expiration.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T-AC-11</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Composant d’audit isolé, écriture seule, chaîné.</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T-AC-10</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SQ-10, SQ-13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La décision est un objet de première classe (score, règles, contributions, version) persisté et diffusé.</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Démonstration, EVAL</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SQ-20, SQ-21</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Abstraction d’horloge traversée par le cœur et le PDP.</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 tests unitaires</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SQ-30, SQ-31</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Client PDP côté cœur avec délai d’attente, disjoncteur et politique fail-closed paramétrée.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SPIKE-4, T-AC-12</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SQ-40, SQ-43</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Configuration versionnée chargée à chaud, version portée par chaque décision.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Analyse de sensibilité</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SQ-41, SQ-42</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Moteur de règles à enregistrement (chaque règle isolée, contribution explicite) ; évaluateur ombre hors chemin de décision.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unitaires, EVAL-03</w:t>
            </w:r>
          </w:p>
        </w:tc>
      </w:tr>
    </w:tbl>
    <w:p>
      <w:pPr>
        <w:spacing w:after="80"/>
      </w:pPr>
    </w:p>
    <w:p>
      <w:pPr>
        <w:pStyle w:val="Heading1"/>
        <w:spacing w:after="140" w:before="320"/>
      </w:pPr>
      <w:r>
        <w:rPr>
          <w:rFonts w:ascii="Calibri" w:cs="Calibri" w:eastAsia="Calibri" w:hAnsi="Calibri"/>
        </w:rPr>
        <w:t xml:space="preserve">10. Ce que ce document ne décide pas</w:t>
      </w:r>
    </w:p>
    <w:p>
      <w:pPr>
        <w:pStyle w:val="ListParagraph"/>
        <w:numPr>
          <w:ilvl w:val="0"/>
          <w:numId w:val="2"/>
        </w:numPr>
        <w:spacing w:after="60" w:line="264"/>
      </w:pPr>
      <w:r>
        <w:rPr>
          <w:rFonts w:ascii="Calibri" w:cs="Calibri" w:eastAsia="Calibri" w:hAnsi="Calibri"/>
          <w:sz w:val="21"/>
          <w:szCs w:val="21"/>
        </w:rPr>
        <w:t xml:space="preserve">Le découpage interne en composants et leurs interfaces : SAD, vues C4 niveaux 2 et 3.</w:t>
      </w:r>
    </w:p>
    <w:p>
      <w:pPr>
        <w:pStyle w:val="ListParagraph"/>
        <w:numPr>
          <w:ilvl w:val="0"/>
          <w:numId w:val="2"/>
        </w:numPr>
        <w:spacing w:after="60" w:line="264"/>
      </w:pPr>
      <w:r>
        <w:rPr>
          <w:rFonts w:ascii="Calibri" w:cs="Calibri" w:eastAsia="Calibri" w:hAnsi="Calibri"/>
          <w:sz w:val="21"/>
          <w:szCs w:val="21"/>
        </w:rPr>
        <w:t xml:space="preserve">L’attribution technologie ↔ composant : SAD, section vue technologique (la stack est ici une contrainte, C-06).</w:t>
      </w:r>
    </w:p>
    <w:p>
      <w:pPr>
        <w:pStyle w:val="ListParagraph"/>
        <w:numPr>
          <w:ilvl w:val="0"/>
          <w:numId w:val="2"/>
        </w:numPr>
        <w:spacing w:after="60" w:line="264"/>
      </w:pPr>
      <w:r>
        <w:rPr>
          <w:rFonts w:ascii="Calibri" w:cs="Calibri" w:eastAsia="Calibri" w:hAnsi="Calibri"/>
          <w:sz w:val="21"/>
          <w:szCs w:val="21"/>
        </w:rPr>
        <w:t xml:space="preserve">Le contrat OpenAPI /evaluate : SAD, section contrats.</w:t>
      </w:r>
    </w:p>
    <w:p>
      <w:pPr>
        <w:pStyle w:val="ListParagraph"/>
        <w:numPr>
          <w:ilvl w:val="0"/>
          <w:numId w:val="2"/>
        </w:numPr>
        <w:spacing w:after="60" w:line="264"/>
      </w:pPr>
      <w:r>
        <w:rPr>
          <w:rFonts w:ascii="Calibri" w:cs="Calibri" w:eastAsia="Calibri" w:hAnsi="Calibri"/>
          <w:sz w:val="21"/>
          <w:szCs w:val="21"/>
        </w:rPr>
        <w:t xml:space="preserve">La fonction d’agrégation du score (ADR-016) et le mode d’injection du simulateur (ADR-017) : SAD, après SPIKE-5.</w:t>
      </w:r>
    </w:p>
    <w:p>
      <w:pPr>
        <w:pStyle w:val="ListParagraph"/>
        <w:numPr>
          <w:ilvl w:val="0"/>
          <w:numId w:val="2"/>
        </w:numPr>
        <w:spacing w:after="60" w:line="264"/>
      </w:pPr>
      <w:r>
        <w:rPr>
          <w:rFonts w:ascii="Calibri" w:cs="Calibri" w:eastAsia="Calibri" w:hAnsi="Calibri"/>
          <w:sz w:val="21"/>
          <w:szCs w:val="21"/>
        </w:rPr>
        <w:t xml:space="preserve">Le modèle de données détaillé : SAD, vue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Prochaine étape après validation de ce document : exécution des cinq spikes (six jours), puis rédaction de l’ISC-SAD sur la base des drivers et des résultats consignés. Le SAD ne doit rien figer qu’un spike n’ait vérifié ou qu’un ADR n’assume explicitement comme risque résiduel.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ISC-ADD v1.0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Drivers d’architecture v1.0</dc:title>
  <dc:creator>IdentiShield-CM</dc:creator>
  <cp:lastModifiedBy>Un-named</cp:lastModifiedBy>
  <cp:revision>1</cp:revision>
  <dcterms:created xsi:type="dcterms:W3CDTF">2026-08-22T17:46:15.623Z</dcterms:created>
  <dcterms:modified xsi:type="dcterms:W3CDTF">2026-08-22T17:46:15.624Z</dcterms:modified>
</cp:coreProperties>
</file>

<file path=docProps/custom.xml><?xml version="1.0" encoding="utf-8"?>
<Properties xmlns="http://schemas.openxmlformats.org/officeDocument/2006/custom-properties" xmlns:vt="http://schemas.openxmlformats.org/officeDocument/2006/docPropsVTypes"/>
</file>