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PLAN DE DÉPLOIEMENT ET D’INTÉGRATION CONTINUE</w:t>
      </w:r>
    </w:p>
    <w:p>
      <w:pPr>
        <w:spacing w:after="460"/>
        <w:jc w:val="center"/>
      </w:pPr>
      <w:r>
        <w:rPr>
          <w:rFonts w:ascii="Calibri" w:cs="Calibri" w:eastAsia="Calibri" w:hAnsi="Calibri"/>
          <w:sz w:val="21"/>
          <w:szCs w:val="21"/>
        </w:rPr>
        <w:t xml:space="preserve">Virtualisation, environnements d’exécution, réseau, chaîne CI/CD, procédure de soutenance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Identifiant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ISC-DEPLOY</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REVIEW</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 août 2026</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Auteur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 ; Yaniv (propriétaire)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 amont</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ISC-SAD v1.0 §13 ; ISC-DEV v1.0 ; ISC-ADD v1.0 (C-03, C-05)</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Distinction avec ISC-DEV</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ISC-DEV décrit le poste de travail du candidat (éditeurs, SDK, extensions). Le présent document décrit les environnements d’exécution : machine virtuelle, conteneurs, réseau, chaîne d’intégration, procédure du jour de la soutenance.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Décision structurante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ADR-022 : l’ensemble des services s’exécute dans une machine virtuelle Ubuntu Server 24.04 LTS hébergée par VirtualBox sur le poste du candidat. Les téléphones physiques portent uniquement l’application cliente.</w:t>
            </w:r>
          </w:p>
        </w:tc>
      </w:tr>
    </w:tbl>
    <w:p>
      <w:pPr>
        <w:spacing w:after="80"/>
      </w:pPr>
    </w:p>
    <w:p>
      <w:r>
        <w:br w:type="page"/>
      </w:r>
    </w:p>
    <w:p>
      <w:pPr>
        <w:pStyle w:val="Heading1"/>
      </w:pPr>
      <w:r>
        <w:rPr>
          <w:rFonts w:ascii="Calibri" w:cs="Calibri" w:eastAsia="Calibri" w:hAnsi="Calibri"/>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1. Décision de topologie (ADR-022)</w:t>
      </w:r>
    </w:p>
    <w:p>
      <w:pPr>
        <w:pStyle w:val="Heading2"/>
        <w:spacing w:after="100" w:before="220"/>
      </w:pPr>
      <w:r>
        <w:rPr>
          <w:rFonts w:ascii="Calibri" w:cs="Calibri" w:eastAsia="Calibri" w:hAnsi="Calibri"/>
        </w:rPr>
        <w:t xml:space="preserve">1.1 Contexte</w:t>
      </w:r>
    </w:p>
    <w:p>
      <w:pPr>
        <w:spacing w:after="100" w:line="264"/>
      </w:pPr>
      <w:r>
        <w:rPr>
          <w:rFonts w:ascii="Calibri" w:cs="Calibri" w:eastAsia="Calibri" w:hAnsi="Calibri"/>
          <w:sz w:val="21"/>
          <w:szCs w:val="21"/>
        </w:rPr>
        <w:t xml:space="preserve">Trois besoins s’opposaient : reproductibilité par un tiers (ENF-05, SQ-12), isolation stricte du sandbox (CT-02, C-03) et fiabilité absolue le jour de la soutenance (SQ-11, CR-04).</w:t>
      </w:r>
    </w:p>
    <w:p>
      <w:pPr>
        <w:pStyle w:val="Heading2"/>
        <w:spacing w:after="100" w:before="220"/>
      </w:pPr>
      <w:r>
        <w:rPr>
          <w:rFonts w:ascii="Calibri" w:cs="Calibri" w:eastAsia="Calibri" w:hAnsi="Calibri"/>
        </w:rPr>
        <w:t xml:space="preserve">1.2 Décision</w:t>
      </w:r>
    </w:p>
    <w:p>
      <w:pPr>
        <w:spacing w:after="100" w:line="264"/>
      </w:pPr>
      <w:r>
        <w:rPr>
          <w:rFonts w:ascii="Calibri" w:cs="Calibri" w:eastAsia="Calibri" w:hAnsi="Calibri"/>
          <w:sz w:val="21"/>
          <w:szCs w:val="21"/>
        </w:rPr>
        <w:t xml:space="preserve">Machine virtuelle Ubuntu Server 24.04 LTS sous VirtualBox, exécutée sur le poste du candidat. Docker Compose y fait tourner les huit conteneurs de service. Les deux téléphones Android joignent la machine virtuelle par le réseau local.</w:t>
      </w:r>
    </w:p>
    <w:p>
      <w:pPr>
        <w:pStyle w:val="Heading2"/>
        <w:spacing w:after="100" w:before="220"/>
      </w:pPr>
      <w:r>
        <w:rPr>
          <w:rFonts w:ascii="Calibri" w:cs="Calibri" w:eastAsia="Calibri" w:hAnsi="Calibri"/>
        </w:rPr>
        <w:t xml:space="preserve">1.3 Alternatives rejetées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Alternative</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Motif du rejet</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Docker directement sur le poste hôte</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Isolation dépendante du système du candidat ; environnement non reproductible à l’identique par un tiers ; frontière de sandbox moins défendable devant le jury.</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Serveur distant ou VPS</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Introduit une dépendance au réseau de la salle de soutenance. Un incident de connectivité annulerait la démonstration. Risque non compensable.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Hébergement cloud managé</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Contraire à C-03 (aucune dépendance externe) et à CT-02 ; coût sans bénéfice académique.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Services natifs dans la VM, sans Docker</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Perte de la commande unique de démarrage (ENF-05) et de la reproductibilité des versions.</w:t>
            </w:r>
          </w:p>
        </w:tc>
      </w:tr>
    </w:tbl>
    <w:p>
      <w:pPr>
        <w:spacing w:after="80"/>
      </w:pPr>
    </w:p>
    <w:p>
      <w:pPr>
        <w:pStyle w:val="Heading2"/>
        <w:spacing w:after="100" w:before="220"/>
      </w:pPr>
      <w:r>
        <w:rPr>
          <w:rFonts w:ascii="Calibri" w:cs="Calibri" w:eastAsia="Calibri" w:hAnsi="Calibri"/>
        </w:rPr>
        <w:t xml:space="preserve">1.4 Conséquences assumées</w:t>
      </w:r>
    </w:p>
    <w:p>
      <w:pPr>
        <w:pStyle w:val="ListParagraph"/>
        <w:numPr>
          <w:ilvl w:val="0"/>
          <w:numId w:val="2"/>
        </w:numPr>
        <w:spacing w:after="60" w:line="264"/>
      </w:pPr>
      <w:r>
        <w:rPr>
          <w:rFonts w:ascii="Calibri" w:cs="Calibri" w:eastAsia="Calibri" w:hAnsi="Calibri"/>
          <w:sz w:val="21"/>
          <w:szCs w:val="21"/>
        </w:rPr>
        <w:t xml:space="preserve">Virtualisation imbriquée : les mesures de performance (SQ-30) sont effectuées sur une plateforme virtualisée. Toute publication de chiffre DOIT déclarer la configuration de la machine virtuelle, faute de quoi elle n’est pas reproductible.</w:t>
      </w:r>
    </w:p>
    <w:p>
      <w:pPr>
        <w:pStyle w:val="ListParagraph"/>
        <w:numPr>
          <w:ilvl w:val="0"/>
          <w:numId w:val="2"/>
        </w:numPr>
        <w:spacing w:after="60" w:line="264"/>
      </w:pPr>
      <w:r>
        <w:rPr>
          <w:rFonts w:ascii="Calibri" w:cs="Calibri" w:eastAsia="Calibri" w:hAnsi="Calibri"/>
          <w:sz w:val="21"/>
          <w:szCs w:val="21"/>
        </w:rPr>
        <w:t xml:space="preserve">La dérive d’horloge d’une machine virtuelle suspendue puis reprise peut fausser les règles temporelles. L’abstraction Clock (C-08) protège partiellement ; l’hypothèse est énoncée au §6.3.</w:t>
      </w:r>
    </w:p>
    <w:p>
      <w:pPr>
        <w:pStyle w:val="ListParagraph"/>
        <w:numPr>
          <w:ilvl w:val="0"/>
          <w:numId w:val="2"/>
        </w:numPr>
        <w:spacing w:after="60" w:line="264"/>
      </w:pPr>
      <w:r>
        <w:rPr>
          <w:rFonts w:ascii="Calibri" w:cs="Calibri" w:eastAsia="Calibri" w:hAnsi="Calibri"/>
          <w:sz w:val="21"/>
          <w:szCs w:val="21"/>
        </w:rPr>
        <w:t xml:space="preserve">Les téléphones et la machine virtuelle doivent partager un réseau local : la configuration réseau du §3 n’est pas optionnelle.</w:t>
      </w:r>
    </w:p>
    <w:p>
      <w:pPr>
        <w:pStyle w:val="Heading1"/>
        <w:spacing w:after="140" w:before="320"/>
      </w:pPr>
      <w:r>
        <w:rPr>
          <w:rFonts w:ascii="Calibri" w:cs="Calibri" w:eastAsia="Calibri" w:hAnsi="Calibri"/>
        </w:rPr>
        <w:t xml:space="preserve">2. Machine virtuelle</w:t>
      </w:r>
    </w:p>
    <w:p>
      <w:pPr>
        <w:pStyle w:val="Heading2"/>
        <w:spacing w:after="100" w:before="220"/>
      </w:pPr>
      <w:r>
        <w:rPr>
          <w:rFonts w:ascii="Calibri" w:cs="Calibri" w:eastAsia="Calibri" w:hAnsi="Calibri"/>
        </w:rPr>
        <w:t xml:space="preserve">2.1 Dimensionnement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Ressource</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Minimum</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Recommandé</w:t>
            </w:r>
          </w:p>
        </w:tc>
        <w:tc>
          <w:tcPr>
            <w:tcW w:type="dxa" w:w="4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Justification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vCPU</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Deux services Java, PostgreSQL, Next.js, plus les conteneurs éphémères ; SQ-30 exige 50 transactions/s soutenues.</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Mémoire</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8 Go</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12 Go</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Chaque service Spring consomme 512 Mo à 1 Go ; PostgreSQL et Next.js s’y ajoutent ; les campagnes d’évaluation Python sont gourmandes.</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Disque</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60 Go</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100 Go</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Images Docker, journaux, jeux de données intermédiaires. Les jeux gelés volumineux sont stockés hors dépôt avec empreinte.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Virtualisation matérielle</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VT-x ou AMD-V activé dans le BIOS</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Sans elle, la machine virtuelle est émulée : performances inexploitables, mesures SQ-30 invalides.</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Interface graphique</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Aucune (Ubuntu Server sans bureau)</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Économie de ressources ; l’accès se fait par SSH.</w:t>
            </w:r>
          </w:p>
        </w:tc>
      </w:tr>
    </w:tbl>
    <w:p>
      <w:pPr>
        <w:spacing w:after="80"/>
      </w:pPr>
    </w:p>
    <w:p>
      <w:pPr>
        <w:pStyle w:val="Heading2"/>
        <w:spacing w:after="100" w:before="220"/>
      </w:pPr>
      <w:r>
        <w:rPr>
          <w:rFonts w:ascii="Calibri" w:cs="Calibri" w:eastAsia="Calibri" w:hAnsi="Calibri"/>
        </w:rPr>
        <w:t xml:space="preserve">2.2 Installation du système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3800"/>
      </w:tblGrid>
      <w:tr>
        <w:trPr>
          <w:tblHeader/>
        </w:trPr>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Étape</w:t>
            </w:r>
          </w:p>
        </w:tc>
        <w:tc>
          <w:tcPr>
            <w:tcW w:type="dxa" w:w="4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Action</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Vérification</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Télécharger l’image ISO Ubuntu Server 24.04 LTS et vérifier son empreinte SHA-256 publiée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L’empreinte calculée correspond à celle publiée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Créer la machine virtuelle dans VirtualBox avec le dimensionnement du §2.1</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machine démarre sur l’image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Installation minimale ; activer OpenSSH ; ne pas installer de bureau ; partitionnement par défaut</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Connexion SSH établie depuis le poste hôte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Créer l’utilisateur isc, non root, membre du groupe sudo</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isc</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Mettre à jour le système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apt update &amp;&amp; apt upgrade sans erreur</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Installer les Guest Additions VirtualBox</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dossiers partagés et la synchronisation d’horloge fonctionnent</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7</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Configurer le fuseau horaire en UTC</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timedatectl affiche UTC</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8</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Installer le paquet de synchronisation temporelle et vérifier son activité</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timedatectl affiche System clock synchronized: yes</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Le fuseau UTC est une exigence, pas une préférence : ED-04 impose des horodatages UTC générés par le serveur. Une machine virtuelle configurée sur l’heure d’Afrique centrale produirait des décisions dont la fenêtre NIGHT serait décalée de deux heures, et l’erreur serait invisible à l’œil.</w:t>
            </w:r>
          </w:p>
        </w:tc>
      </w:tr>
    </w:tbl>
    <w:p>
      <w:pPr>
        <w:pStyle w:val="Heading2"/>
        <w:spacing w:after="100" w:before="220"/>
      </w:pPr>
      <w:r>
        <w:rPr>
          <w:rFonts w:ascii="Calibri" w:cs="Calibri" w:eastAsia="Calibri" w:hAnsi="Calibri"/>
        </w:rPr>
        <w:t xml:space="preserve">2.3 Logiciels installés dans la machine virtuelle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200"/>
        <w:gridCol w:w="25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Logiciel</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Version</w:t>
            </w:r>
          </w:p>
        </w:tc>
        <w:tc>
          <w:tcPr>
            <w:tcW w:type="dxa" w:w="3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Rôle</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Vérification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Docker Engine</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24 ou supérieure</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Exécution des conteneurs de service</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docker run hello-world</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Docker Compose v2</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plugin officiel</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Orchestration de la pile</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docker compose version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Git</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2.40 ou supérieure</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Récupération du dépôt dans la machine virtuelle</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git --version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GNU make</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Commandes de démonstration (ENF-04)</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make --version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curl, jq</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Vérifications manuelles d’API</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curl --version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OpenSSH server</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Accès depuis le poste hôte</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systemctl status ssh</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OpenSSL</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Génération de l’autorité de certification locale (SPIKE-4)</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openssl version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ufw</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3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Pare-feu : n’exposer que les ports nécessaires</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ufw status</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htop, iotop</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3200"/>
            <w:tcMar>
              <w:top w:type="dxa" w:w="50"/>
              <w:left w:type="dxa" w:w="90"/>
              <w:bottom w:type="dxa" w:w="50"/>
              <w:right w:type="dxa" w:w="90"/>
            </w:tcMar>
          </w:tcPr>
          <w:p>
            <w:pPr>
              <w:spacing w:after="30" w:line="240"/>
            </w:pPr>
            <w:r>
              <w:rPr>
                <w:rFonts w:ascii="Calibri" w:cs="Calibri" w:eastAsia="Calibri" w:hAnsi="Calibri"/>
                <w:sz w:val="18"/>
                <w:szCs w:val="18"/>
              </w:rPr>
              <w:t xml:space="preserve">Observation des ressources pendant les campagnes</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p>
      <w:pPr>
        <w:spacing w:after="100" w:line="264"/>
      </w:pPr>
      <w:r>
        <w:rPr>
          <w:rFonts w:ascii="Calibri" w:cs="Calibri" w:eastAsia="Calibri" w:hAnsi="Calibri"/>
          <w:sz w:val="21"/>
          <w:szCs w:val="21"/>
        </w:rPr>
        <w:t xml:space="preserve">Aucun JDK, aucun Python, aucun Node.js installés directement dans la machine virtuelle : toutes les dépendances applicatives vivent dans les images Docker. Cette règle garantit qu’un tiers reproduit l’environnement sans divergence de versions, et que la machine virtuelle reste un simple hôte de conteneurs.</w:t>
      </w:r>
    </w:p>
    <w:p>
      <w:pPr>
        <w:pStyle w:val="Heading2"/>
        <w:spacing w:after="100" w:before="220"/>
      </w:pPr>
      <w:r>
        <w:rPr>
          <w:rFonts w:ascii="Calibri" w:cs="Calibri" w:eastAsia="Calibri" w:hAnsi="Calibri"/>
        </w:rPr>
        <w:t xml:space="preserve">2.4 Utilisateur, droits et accès</w:t>
      </w:r>
    </w:p>
    <w:p>
      <w:pPr>
        <w:pStyle w:val="ListParagraph"/>
        <w:numPr>
          <w:ilvl w:val="0"/>
          <w:numId w:val="2"/>
        </w:numPr>
        <w:spacing w:after="60" w:line="264"/>
      </w:pPr>
      <w:r>
        <w:rPr>
          <w:rFonts w:ascii="Calibri" w:cs="Calibri" w:eastAsia="Calibri" w:hAnsi="Calibri"/>
          <w:sz w:val="21"/>
          <w:szCs w:val="21"/>
        </w:rPr>
        <w:t xml:space="preserve">L’utilisateur isc appartient au groupe docker : aucune commande de la démonstration ne s’exécute en root.</w:t>
      </w:r>
    </w:p>
    <w:p>
      <w:pPr>
        <w:pStyle w:val="ListParagraph"/>
        <w:numPr>
          <w:ilvl w:val="0"/>
          <w:numId w:val="2"/>
        </w:numPr>
        <w:spacing w:after="60" w:line="264"/>
      </w:pPr>
      <w:r>
        <w:rPr>
          <w:rFonts w:ascii="Calibri" w:cs="Calibri" w:eastAsia="Calibri" w:hAnsi="Calibri"/>
          <w:sz w:val="21"/>
          <w:szCs w:val="21"/>
        </w:rPr>
        <w:t xml:space="preserve">Accès SSH par clé uniquement ; authentification par mot de passe désactivée.</w:t>
      </w:r>
    </w:p>
    <w:p>
      <w:pPr>
        <w:pStyle w:val="ListParagraph"/>
        <w:numPr>
          <w:ilvl w:val="0"/>
          <w:numId w:val="2"/>
        </w:numPr>
        <w:spacing w:after="60" w:line="264"/>
      </w:pPr>
      <w:r>
        <w:rPr>
          <w:rFonts w:ascii="Calibri" w:cs="Calibri" w:eastAsia="Calibri" w:hAnsi="Calibri"/>
          <w:sz w:val="21"/>
          <w:szCs w:val="21"/>
        </w:rPr>
        <w:t xml:space="preserve">ufw autorise SSH depuis le poste hôte, ainsi que les ports de la console et de isc-core depuis le réseau local (pour les téléphones). Tout le reste est fermé.</w:t>
      </w:r>
    </w:p>
    <w:p>
      <w:pPr>
        <w:pStyle w:val="ListParagraph"/>
        <w:numPr>
          <w:ilvl w:val="0"/>
          <w:numId w:val="2"/>
        </w:numPr>
        <w:spacing w:after="60" w:line="264"/>
      </w:pPr>
      <w:r>
        <w:rPr>
          <w:rFonts w:ascii="Calibri" w:cs="Calibri" w:eastAsia="Calibri" w:hAnsi="Calibri"/>
          <w:sz w:val="21"/>
          <w:szCs w:val="21"/>
        </w:rPr>
        <w:t xml:space="preserve">Aucun secret n’est stocké dans la machine virtuelle en clair et versionné : les certificats et mots de passe sont générés au démarrage de la pile.</w:t>
      </w:r>
    </w:p>
    <w:p>
      <w:pPr>
        <w:pStyle w:val="Heading1"/>
        <w:spacing w:after="140" w:before="320"/>
      </w:pPr>
      <w:r>
        <w:rPr>
          <w:rFonts w:ascii="Calibri" w:cs="Calibri" w:eastAsia="Calibri" w:hAnsi="Calibri"/>
        </w:rPr>
        <w:t xml:space="preserve">3. Réseau</w:t>
      </w:r>
    </w:p>
    <w:p>
      <w:pPr>
        <w:pStyle w:val="Heading2"/>
        <w:spacing w:after="100" w:before="220"/>
      </w:pPr>
      <w:r>
        <w:rPr>
          <w:rFonts w:ascii="Calibri" w:cs="Calibri" w:eastAsia="Calibri" w:hAnsi="Calibri"/>
        </w:rPr>
        <w:t xml:space="preserve">3.1 Problème à résoudre</w:t>
      </w:r>
    </w:p>
    <w:p>
      <w:pPr>
        <w:spacing w:after="100" w:line="264"/>
      </w:pPr>
      <w:r>
        <w:rPr>
          <w:rFonts w:ascii="Calibri" w:cs="Calibri" w:eastAsia="Calibri" w:hAnsi="Calibri"/>
          <w:sz w:val="21"/>
          <w:szCs w:val="21"/>
        </w:rPr>
        <w:t xml:space="preserve">Deux exigences contradictoires en apparence : les téléphones physiques doivent joindre isc-core (EF-20, EF-21), et la pile doit rester isolée (CT-02, C-03). La configuration par défaut de VirtualBox (NAT) rend la machine virtuelle injoignable depuis le réseau local : elle est incompatible avec la démonstration.</w:t>
      </w:r>
    </w:p>
    <w:p>
      <w:pPr>
        <w:pStyle w:val="Heading2"/>
        <w:spacing w:after="100" w:before="220"/>
      </w:pPr>
      <w:r>
        <w:rPr>
          <w:rFonts w:ascii="Calibri" w:cs="Calibri" w:eastAsia="Calibri" w:hAnsi="Calibri"/>
        </w:rPr>
        <w:t xml:space="preserve">3.2 Configuration retenue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400"/>
      </w:tblGrid>
      <w:tr>
        <w:trPr>
          <w:tblHeader/>
        </w:trPr>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Interface</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Mode VirtualBox</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Usage</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Justification</w:t>
            </w:r>
          </w:p>
        </w:tc>
      </w:tr>
      <w:tr>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Interface 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Accès par pont (bridged) sur l’interface Wi-Fi ou Ethernet du poste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La machine virtuelle obtient une adresse sur le réseau local ; les téléphones et le navigateur du poste l’atteignent</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Sans elle, l’application Android ne peut pas fonctionner</w:t>
            </w:r>
          </w:p>
        </w:tc>
      </w:tr>
      <w:tr>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2</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Réseau interne (intnet) ou hôte seul</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Réservée aux échanges internes et à l’administration</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Sépare l’accès d’administration du trafic de démonstration</w:t>
            </w:r>
          </w:p>
        </w:tc>
      </w:tr>
      <w:tr>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Réseau Docker</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Bridge interne nommé isc-net, sans accès sortant</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Communication entre conteneurs</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Aucun conteneur ne peut joindre Internet : CT-02 vérifiable</w:t>
            </w:r>
          </w:p>
        </w:tc>
      </w:tr>
    </w:tbl>
    <w:p>
      <w:pPr>
        <w:spacing w:after="80"/>
      </w:pPr>
    </w:p>
    <w:p>
      <w:pPr>
        <w:pStyle w:val="Heading2"/>
        <w:spacing w:after="100" w:before="220"/>
      </w:pPr>
      <w:r>
        <w:rPr>
          <w:rFonts w:ascii="Calibri" w:cs="Calibri" w:eastAsia="Calibri" w:hAnsi="Calibri"/>
        </w:rPr>
        <w:t xml:space="preserve">3.3 Ports exposés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400"/>
        <w:gridCol w:w="36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Port</w:t>
            </w:r>
          </w:p>
        </w:tc>
        <w:tc>
          <w:tcPr>
            <w:tcW w:type="dxa" w:w="2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Service</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Exposé à</w:t>
            </w:r>
          </w:p>
        </w:tc>
        <w:tc>
          <w:tcPr>
            <w:tcW w:type="dxa" w:w="3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Motif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3000</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isc-console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Réseau local</w:t>
            </w:r>
          </w:p>
        </w:tc>
        <w:tc>
          <w:tcPr>
            <w:tcW w:type="dxa" w:w="3600"/>
            <w:tcMar>
              <w:top w:type="dxa" w:w="50"/>
              <w:left w:type="dxa" w:w="90"/>
              <w:bottom w:type="dxa" w:w="50"/>
              <w:right w:type="dxa" w:w="90"/>
            </w:tcMar>
          </w:tcPr>
          <w:p>
            <w:pPr>
              <w:spacing w:after="30" w:line="240"/>
            </w:pPr>
            <w:r>
              <w:rPr>
                <w:rFonts w:ascii="Calibri" w:cs="Calibri" w:eastAsia="Calibri" w:hAnsi="Calibri"/>
                <w:sz w:val="18"/>
                <w:szCs w:val="18"/>
              </w:rPr>
              <w:t xml:space="preserve">Le jury voit la console depuis le navigateur du poste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8080</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Réseau local</w:t>
            </w:r>
          </w:p>
        </w:tc>
        <w:tc>
          <w:tcPr>
            <w:tcW w:type="dxa" w:w="3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téléphones et les outils CLI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8081</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Réseau isc-net uniquement</w:t>
            </w:r>
          </w:p>
        </w:tc>
        <w:tc>
          <w:tcPr>
            <w:tcW w:type="dxa" w:w="3600"/>
            <w:tcMar>
              <w:top w:type="dxa" w:w="50"/>
              <w:left w:type="dxa" w:w="90"/>
              <w:bottom w:type="dxa" w:w="50"/>
              <w:right w:type="dxa" w:w="90"/>
            </w:tcMar>
          </w:tcPr>
          <w:p>
            <w:pPr>
              <w:spacing w:after="30" w:line="240"/>
            </w:pPr>
            <w:r>
              <w:rPr>
                <w:rFonts w:ascii="Calibri" w:cs="Calibri" w:eastAsia="Calibri" w:hAnsi="Calibri"/>
                <w:sz w:val="18"/>
                <w:szCs w:val="18"/>
              </w:rPr>
              <w:t xml:space="preserve">Le PDP n’est jamais joignable directement : seul isc-core l’appelle (ES-11)</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5432</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postgres</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Réseau isc-net uniquement</w:t>
            </w:r>
          </w:p>
        </w:tc>
        <w:tc>
          <w:tcPr>
            <w:tcW w:type="dxa" w:w="3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 exposition ; l’inspection se fait par docker exec</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22</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SSH</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Poste hôte uniquement</w:t>
            </w:r>
          </w:p>
        </w:tc>
        <w:tc>
          <w:tcPr>
            <w:tcW w:type="dxa" w:w="3600"/>
            <w:tcMar>
              <w:top w:type="dxa" w:w="50"/>
              <w:left w:type="dxa" w:w="90"/>
              <w:bottom w:type="dxa" w:w="50"/>
              <w:right w:type="dxa" w:w="90"/>
            </w:tcMar>
          </w:tcPr>
          <w:p>
            <w:pPr>
              <w:spacing w:after="30" w:line="240"/>
            </w:pPr>
            <w:r>
              <w:rPr>
                <w:rFonts w:ascii="Calibri" w:cs="Calibri" w:eastAsia="Calibri" w:hAnsi="Calibri"/>
                <w:sz w:val="18"/>
                <w:szCs w:val="18"/>
              </w:rPr>
              <w:t xml:space="preserve">Administration</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Le fait que isc-pdp ne soit pas joignable depuis l’extérieur est une propriété architecturale, pas une commodité : elle matérialise la frontière de confiance (c) du modèle de menace. Un test de démonstration consiste à tenter un appel direct au PDP depuis le poste hôte et à constater le refus.</w:t>
            </w:r>
          </w:p>
        </w:tc>
      </w:tr>
    </w:tbl>
    <w:p>
      <w:pPr>
        <w:pStyle w:val="Heading2"/>
        <w:spacing w:after="100" w:before="220"/>
      </w:pPr>
      <w:r>
        <w:rPr>
          <w:rFonts w:ascii="Calibri" w:cs="Calibri" w:eastAsia="Calibri" w:hAnsi="Calibri"/>
        </w:rPr>
        <w:t xml:space="preserve">3.4 Adressage et découverte</w:t>
      </w:r>
    </w:p>
    <w:p>
      <w:pPr>
        <w:pStyle w:val="ListParagraph"/>
        <w:numPr>
          <w:ilvl w:val="0"/>
          <w:numId w:val="2"/>
        </w:numPr>
        <w:spacing w:after="60" w:line="264"/>
      </w:pPr>
      <w:r>
        <w:rPr>
          <w:rFonts w:ascii="Calibri" w:cs="Calibri" w:eastAsia="Calibri" w:hAnsi="Calibri"/>
          <w:sz w:val="21"/>
          <w:szCs w:val="21"/>
        </w:rPr>
        <w:t xml:space="preserve">La machine virtuelle reçoit une adresse par DHCP sur le réseau local ; une réservation ou une adresse fixe est recommandée pour que la configuration des téléphones ne change pas entre deux sessions.</w:t>
      </w:r>
    </w:p>
    <w:p>
      <w:pPr>
        <w:pStyle w:val="ListParagraph"/>
        <w:numPr>
          <w:ilvl w:val="0"/>
          <w:numId w:val="2"/>
        </w:numPr>
        <w:spacing w:after="60" w:line="264"/>
      </w:pPr>
      <w:r>
        <w:rPr>
          <w:rFonts w:ascii="Calibri" w:cs="Calibri" w:eastAsia="Calibri" w:hAnsi="Calibri"/>
          <w:sz w:val="21"/>
          <w:szCs w:val="21"/>
        </w:rPr>
        <w:t xml:space="preserve">L’application Android lit l’adresse de isc-core dans une configuration modifiable sans recompilation : le jour de la soutenance, un changement de réseau ne doit jamais imposer de reconstruire l’APK.</w:t>
      </w:r>
    </w:p>
    <w:p>
      <w:pPr>
        <w:pStyle w:val="ListParagraph"/>
        <w:numPr>
          <w:ilvl w:val="0"/>
          <w:numId w:val="2"/>
        </w:numPr>
        <w:spacing w:after="60" w:line="264"/>
      </w:pPr>
      <w:r>
        <w:rPr>
          <w:rFonts w:ascii="Calibri" w:cs="Calibri" w:eastAsia="Calibri" w:hAnsi="Calibri"/>
          <w:sz w:val="21"/>
          <w:szCs w:val="21"/>
        </w:rPr>
        <w:t xml:space="preserve">Aucun nom de domaine, aucun DNS externe : adressage direct par IP, cohérent avec C-03.</w:t>
      </w:r>
    </w:p>
    <w:p>
      <w:pPr>
        <w:pStyle w:val="Heading1"/>
        <w:spacing w:after="140" w:before="320"/>
      </w:pPr>
      <w:r>
        <w:rPr>
          <w:rFonts w:ascii="Calibri" w:cs="Calibri" w:eastAsia="Calibri" w:hAnsi="Calibri"/>
        </w:rPr>
        <w:t xml:space="preserve">4. Exécution de la pile</w:t>
      </w:r>
    </w:p>
    <w:p>
      <w:pPr>
        <w:pStyle w:val="Heading2"/>
        <w:spacing w:after="100" w:before="220"/>
      </w:pPr>
      <w:r>
        <w:rPr>
          <w:rFonts w:ascii="Calibri" w:cs="Calibri" w:eastAsia="Calibri" w:hAnsi="Calibri"/>
        </w:rPr>
        <w:t xml:space="preserve">4.1 Conteneurs permanents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00"/>
      </w:tblGrid>
      <w:tr>
        <w:trPr>
          <w:tblHeader/>
        </w:trPr>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Conteneur</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Image</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Dépendances</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Santé</w:t>
            </w:r>
          </w:p>
        </w:tc>
      </w:tr>
      <w:tr>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postgres</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postgres:16</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pg_isready ; les deux schémas et les rôles existent</w:t>
            </w:r>
          </w:p>
        </w:tc>
      </w:tr>
      <w:tr>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construite depuis core/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postgres, isc-pdp</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point de santé HTTP répondant</w:t>
            </w:r>
          </w:p>
        </w:tc>
      </w:tr>
      <w:tr>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construite depuis pdp/</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postgres</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point de santé HTTP répondant ; version du jeu de règles affichée</w:t>
            </w:r>
          </w:p>
        </w:tc>
      </w:tr>
      <w:tr>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isc-console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construite depuis console/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 isc-pdp</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page servie</w:t>
            </w:r>
          </w:p>
        </w:tc>
      </w:tr>
    </w:tbl>
    <w:p>
      <w:pPr>
        <w:spacing w:after="80"/>
      </w:pPr>
    </w:p>
    <w:p>
      <w:pPr>
        <w:pStyle w:val="Heading2"/>
        <w:spacing w:after="100" w:before="220"/>
      </w:pPr>
      <w:r>
        <w:rPr>
          <w:rFonts w:ascii="Calibri" w:cs="Calibri" w:eastAsia="Calibri" w:hAnsi="Calibri"/>
        </w:rPr>
        <w:t xml:space="preserve">4.2 Conteneurs éphémères</w:t>
      </w:r>
    </w:p>
    <w:p>
      <w:pPr>
        <w:spacing w:after="100" w:line="264"/>
      </w:pPr>
      <w:r>
        <w:rPr>
          <w:rFonts w:ascii="Calibri" w:cs="Calibri" w:eastAsia="Calibri" w:hAnsi="Calibri"/>
          <w:sz w:val="21"/>
          <w:szCs w:val="21"/>
        </w:rPr>
        <w:t xml:space="preserve">isc-sim, isc-attacker, isc-hlr-agent et isc-eval ne tournent pas en permanence : ils sont lancés à la demande sur le réseau isc-net, exécutent leur tâche et se terminent. Chacun possède un jeton d’outil distinct afin que le journal d’audit distingue l’origine de chaque action (SAD §10.1).</w:t>
      </w:r>
    </w:p>
    <w:p>
      <w:pPr>
        <w:pStyle w:val="Heading2"/>
        <w:spacing w:after="100" w:before="220"/>
      </w:pPr>
      <w:r>
        <w:rPr>
          <w:rFonts w:ascii="Calibri" w:cs="Calibri" w:eastAsia="Calibri" w:hAnsi="Calibri"/>
        </w:rPr>
        <w:t xml:space="preserve">4.3 Ordre de démarrage et données initiales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rPr>
          <w:tblHeader/>
        </w:trPr>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Étape</w:t>
            </w:r>
          </w:p>
        </w:tc>
        <w:tc>
          <w:tcPr>
            <w:tcW w:type="dxa" w:w="8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Action</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postgres démarre ; le script d’initialisation crée les schémas core et pdp, les rôles applicatifs, et restreint le rôle du PDP à INSERT sur la table d’audit (ED-06).</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Génération de l’autorité de certification locale et des certificats de service, montés en volume (SPIKE-4).</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isc-pdp démarre, charge sa configuration versionnée, expose sa version de jeu de règles.</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 démarre, vérifie l’accessibilité du PDP, charge le jeu de démonstration réduit.</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isc-console démarre et se connecte au flux temps réel.</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make check-stack vérifie : santé des quatre conteneurs, rôle d’audit correctement restreint, PDP injoignable depuis l’hôte, absence d’accès sortant depuis isc-net.</w:t>
            </w:r>
          </w:p>
        </w:tc>
      </w:tr>
    </w:tbl>
    <w:p>
      <w:pPr>
        <w:spacing w:after="80"/>
      </w:pPr>
    </w:p>
    <w:p>
      <w:pPr>
        <w:spacing w:after="100" w:line="264"/>
      </w:pPr>
      <w:r>
        <w:rPr>
          <w:rFonts w:ascii="Calibri" w:cs="Calibri" w:eastAsia="Calibri" w:hAnsi="Calibri"/>
          <w:sz w:val="21"/>
          <w:szCs w:val="21"/>
        </w:rPr>
        <w:t xml:space="preserve">Le jeu de démonstration réduit est distinct du jeu gelé v1 : il sert uniquement à ce que la console ne soit jamais vide devant le jury.</w:t>
      </w:r>
    </w:p>
    <w:p>
      <w:pPr>
        <w:pStyle w:val="Heading2"/>
        <w:spacing w:after="100" w:before="220"/>
      </w:pPr>
      <w:r>
        <w:rPr>
          <w:rFonts w:ascii="Calibri" w:cs="Calibri" w:eastAsia="Calibri" w:hAnsi="Calibri"/>
        </w:rPr>
        <w:t xml:space="preserve">4.4 Commandes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19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Commande</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Effet</w:t>
            </w:r>
          </w:p>
        </w:tc>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Exigence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make up</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Démarre la pile complète</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ENF-05</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make check-stack</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Vérifie santé, isolation réseau et rôles base</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CT-02, ED-06</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make demo-attack</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Bascule en mode sans couche et exécute un scénario d’attaque : elle réussit</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CR-01</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make demo-defend</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Réactive la couche et rejoue le même scénario : elle échoue</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CR-02</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make abuse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Exécute T-AC-01 à T-AC-13</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ENF-09</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make evaluate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Régénère toutes les métriques et figures</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ENF-04, EAR-09</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make down</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Arrête la pile en conservant les volumes</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make reset</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Arrête et efface les volumes : retour à l’état initial</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Répétitions de démonstration</w:t>
            </w:r>
          </w:p>
        </w:tc>
      </w:tr>
    </w:tbl>
    <w:p>
      <w:pPr>
        <w:spacing w:after="80"/>
      </w:pPr>
    </w:p>
    <w:p>
      <w:pPr>
        <w:pStyle w:val="Heading1"/>
        <w:spacing w:after="140" w:before="320"/>
      </w:pPr>
      <w:r>
        <w:rPr>
          <w:rFonts w:ascii="Calibri" w:cs="Calibri" w:eastAsia="Calibri" w:hAnsi="Calibri"/>
        </w:rPr>
        <w:t xml:space="preserve">5. Chaîne d’intégration continue</w:t>
      </w:r>
    </w:p>
    <w:p>
      <w:pPr>
        <w:pStyle w:val="Heading2"/>
        <w:spacing w:after="100" w:before="220"/>
      </w:pPr>
      <w:r>
        <w:rPr>
          <w:rFonts w:ascii="Calibri" w:cs="Calibri" w:eastAsia="Calibri" w:hAnsi="Calibri"/>
        </w:rPr>
        <w:t xml:space="preserve">5.1 Dépôt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Hébergement</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GitHub, dépôt privé pendant le projet ; publication à la soutenance sous réserve de QO-13 (licence) et des règles de l’université (CT-06).</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Protection de main</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Fusion interdite sans intégration verte et sans relecture explicite du candidat ; poussée directe interdite.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Historique</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Aucun secret, aucun jeu de données volumineux ; les jeux gelés sont référencés par empreinte (EAR-05).</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Étiquettes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Une étiquette par jalon mensuel et une par version de document approuvée.</w:t>
            </w:r>
          </w:p>
        </w:tc>
      </w:tr>
    </w:tbl>
    <w:p>
      <w:pPr>
        <w:spacing w:after="80"/>
      </w:pPr>
    </w:p>
    <w:p>
      <w:pPr>
        <w:pStyle w:val="Heading2"/>
        <w:spacing w:after="100" w:before="220"/>
      </w:pPr>
      <w:r>
        <w:rPr>
          <w:rFonts w:ascii="Calibri" w:cs="Calibri" w:eastAsia="Calibri" w:hAnsi="Calibri"/>
        </w:rPr>
        <w:t xml:space="preserve">5.2 Répartition des exécutions</w:t>
      </w:r>
    </w:p>
    <w:p>
      <w:pPr>
        <w:spacing w:after="100" w:line="264"/>
      </w:pPr>
      <w:r>
        <w:rPr>
          <w:rFonts w:ascii="Calibri" w:cs="Calibri" w:eastAsia="Calibri" w:hAnsi="Calibri"/>
          <w:sz w:val="21"/>
          <w:szCs w:val="21"/>
        </w:rPr>
        <w:t xml:space="preserve">Question tranchée ici : les portes légères s’exécutent sur les exécuteurs hébergés par GitHub à chaque poussée ; les portes lourdes, qui exigent la pile complète ou de longues campagnes, s’exécutent dans la machine virtuelle.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Porte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Où</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Déclenchement</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Motif</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build, format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Exécuteur GitHub</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À chaque poussée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Rapide, sans dépendance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unit, rule-tests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Exécuteur GitHub</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À chaque poussée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Tests isolés, sans base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arch</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Exécuteur GitHub</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À chaque poussée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Analyse statique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contract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Exécuteur GitHub</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À chaque poussée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Validation du fichier OpenAPI</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check-docs, secrets, fictitious-msisdn</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Exécuteur GitHub</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À chaque poussée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Analyse de fichiers</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diagrams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Exécuteur GitHub</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À chaque poussée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Rendu PlantUML</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integration, abuse, audit-role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Machine virtuelle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Sur demande de fusion et chaque nuit</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Exige la pile complète avec PostgreSQL et mTLS</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determinism</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Machine virtuelle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Chaque nuit</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Deux exécutions complètes de make evaluate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performance (SQ-30)</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Machine virtuelle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Hebdomadaire et avant chaque jalon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Mesure sur la plateforme de démonstration, seule mesure valide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Une mesure de performance exécutée sur un exécuteur hébergé serait sans valeur : elle porterait sur une machine inconnue et variable. Seule la machine virtuelle de démonstration produit des chiffres publiables (§1.4).</w:t>
            </w:r>
          </w:p>
        </w:tc>
      </w:tr>
    </w:tbl>
    <w:p>
      <w:pPr>
        <w:pStyle w:val="Heading2"/>
        <w:spacing w:after="100" w:before="220"/>
      </w:pPr>
      <w:r>
        <w:rPr>
          <w:rFonts w:ascii="Calibri" w:cs="Calibri" w:eastAsia="Calibri" w:hAnsi="Calibri"/>
        </w:rPr>
        <w:t xml:space="preserve">5.3 Exécuteur auto-hébergé</w:t>
      </w:r>
    </w:p>
    <w:p>
      <w:pPr>
        <w:pStyle w:val="ListParagraph"/>
        <w:numPr>
          <w:ilvl w:val="0"/>
          <w:numId w:val="2"/>
        </w:numPr>
        <w:spacing w:after="60" w:line="264"/>
      </w:pPr>
      <w:r>
        <w:rPr>
          <w:rFonts w:ascii="Calibri" w:cs="Calibri" w:eastAsia="Calibri" w:hAnsi="Calibri"/>
          <w:sz w:val="21"/>
          <w:szCs w:val="21"/>
        </w:rPr>
        <w:t xml:space="preserve">Un exécuteur GitHub auto-hébergé est installé dans la machine virtuelle, restreint au dépôt du projet.</w:t>
      </w:r>
    </w:p>
    <w:p>
      <w:pPr>
        <w:pStyle w:val="ListParagraph"/>
        <w:numPr>
          <w:ilvl w:val="0"/>
          <w:numId w:val="2"/>
        </w:numPr>
        <w:spacing w:after="60" w:line="264"/>
      </w:pPr>
      <w:r>
        <w:rPr>
          <w:rFonts w:ascii="Calibri" w:cs="Calibri" w:eastAsia="Calibri" w:hAnsi="Calibri"/>
          <w:sz w:val="21"/>
          <w:szCs w:val="21"/>
        </w:rPr>
        <w:t xml:space="preserve">Il est marqué par une étiquette dédiée ; seuls les travaux lourds la réclament.</w:t>
      </w:r>
    </w:p>
    <w:p>
      <w:pPr>
        <w:pStyle w:val="ListParagraph"/>
        <w:numPr>
          <w:ilvl w:val="0"/>
          <w:numId w:val="2"/>
        </w:numPr>
        <w:spacing w:after="60" w:line="264"/>
      </w:pPr>
      <w:r>
        <w:rPr>
          <w:rFonts w:ascii="Calibri" w:cs="Calibri" w:eastAsia="Calibri" w:hAnsi="Calibri"/>
          <w:sz w:val="21"/>
          <w:szCs w:val="21"/>
        </w:rPr>
        <w:t xml:space="preserve">Il ne dispose d’aucun secret de publication : il ne peut ni publier une image, ni pousser sur main.</w:t>
      </w:r>
    </w:p>
    <w:p>
      <w:pPr>
        <w:pStyle w:val="ListParagraph"/>
        <w:numPr>
          <w:ilvl w:val="0"/>
          <w:numId w:val="2"/>
        </w:numPr>
        <w:spacing w:after="60" w:line="264"/>
      </w:pPr>
      <w:r>
        <w:rPr>
          <w:rFonts w:ascii="Calibri" w:cs="Calibri" w:eastAsia="Calibri" w:hAnsi="Calibri"/>
          <w:sz w:val="21"/>
          <w:szCs w:val="21"/>
        </w:rPr>
        <w:t xml:space="preserve">Si la machine virtuelle est éteinte, les travaux lourds restent en attente : c’est un comportement accepté, pas une panne.</w:t>
      </w:r>
    </w:p>
    <w:p>
      <w:pPr>
        <w:pStyle w:val="Heading2"/>
        <w:spacing w:after="100" w:before="220"/>
      </w:pPr>
      <w:r>
        <w:rPr>
          <w:rFonts w:ascii="Calibri" w:cs="Calibri" w:eastAsia="Calibri" w:hAnsi="Calibri"/>
        </w:rPr>
        <w:t xml:space="preserve">5.4 Chaîne de livraison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Étape</w:t>
            </w:r>
          </w:p>
        </w:tc>
        <w:tc>
          <w:tcPr>
            <w:tcW w:type="dxa" w:w="7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Contenu</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Construction</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Images Docker de isc-core, isc-pdp, isc-console, étiquetées par empreinte de commit.</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Publication</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local dans la machine virtuelle. Aucun registre public : C-03 interdit toute dépendance externe à l’exécution.</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APK</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Construit par intégration continue en variante de débogage ; publié comme artefact du dépôt ; installé manuellement sur les deux téléphones. Aucune distribution par magasin d’applications.</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Rendu PDF des documents et des diagrammes à chaque étiquette, joint à la version.</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Résultats d’évaluation</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Figures et tableaux archivés comme artefacts, avec la version du jeu et celle des règles (EAR-09).</w:t>
            </w:r>
          </w:p>
        </w:tc>
      </w:tr>
    </w:tbl>
    <w:p>
      <w:pPr>
        <w:spacing w:after="80"/>
      </w:pPr>
    </w:p>
    <w:p>
      <w:pPr>
        <w:pStyle w:val="Heading2"/>
        <w:spacing w:after="100" w:before="220"/>
      </w:pPr>
      <w:r>
        <w:rPr>
          <w:rFonts w:ascii="Calibri" w:cs="Calibri" w:eastAsia="Calibri" w:hAnsi="Calibri"/>
        </w:rPr>
        <w:t xml:space="preserve">5.5 Signature de l’APK</w:t>
      </w:r>
    </w:p>
    <w:p>
      <w:pPr>
        <w:spacing w:after="100" w:line="264"/>
      </w:pPr>
      <w:r>
        <w:rPr>
          <w:rFonts w:ascii="Calibri" w:cs="Calibri" w:eastAsia="Calibri" w:hAnsi="Calibri"/>
          <w:sz w:val="21"/>
          <w:szCs w:val="21"/>
        </w:rPr>
        <w:t xml:space="preserve">L’application est signée avec une clé de développement propre au projet, conservée hors du dépôt. Cette signature n’a aucun rapport avec le device binding : elle authentifie le paquet, pas l’utilisateur. La distinction doit être claire dans le mémoire, car un jury peut confondre les deux.</w:t>
      </w:r>
    </w:p>
    <w:p>
      <w:pPr>
        <w:pStyle w:val="Heading1"/>
        <w:spacing w:after="140" w:before="320"/>
      </w:pPr>
      <w:r>
        <w:rPr>
          <w:rFonts w:ascii="Calibri" w:cs="Calibri" w:eastAsia="Calibri" w:hAnsi="Calibri"/>
        </w:rPr>
        <w:t xml:space="preserve">6. Parité des environnements et hypothèses</w:t>
      </w:r>
    </w:p>
    <w:p>
      <w:pPr>
        <w:pStyle w:val="Heading2"/>
        <w:spacing w:after="100" w:before="220"/>
      </w:pPr>
      <w:r>
        <w:rPr>
          <w:rFonts w:ascii="Calibri" w:cs="Calibri" w:eastAsia="Calibri" w:hAnsi="Calibri"/>
        </w:rPr>
        <w:t xml:space="preserve">6.1 Trois environnements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Environnement</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Rôle</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Composition</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Poste de travail</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Édition, construction, débogage Android</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ISC-DEV §2</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Machine virtuelle</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de la pile, campagnes d’évaluation, portes lourdes, démonstration</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présent document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Exécuteurs hébergés</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Portes légères uniquement</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§5.2</w:t>
            </w:r>
          </w:p>
        </w:tc>
      </w:tr>
    </w:tbl>
    <w:p>
      <w:pPr>
        <w:spacing w:after="80"/>
      </w:pPr>
    </w:p>
    <w:p>
      <w:pPr>
        <w:pStyle w:val="Heading2"/>
        <w:spacing w:after="100" w:before="220"/>
      </w:pPr>
      <w:r>
        <w:rPr>
          <w:rFonts w:ascii="Calibri" w:cs="Calibri" w:eastAsia="Calibri" w:hAnsi="Calibri"/>
        </w:rPr>
        <w:t xml:space="preserve">6.2 Règle de parité</w:t>
      </w:r>
    </w:p>
    <w:p>
      <w:pPr>
        <w:pStyle w:val="ListParagraph"/>
        <w:numPr>
          <w:ilvl w:val="0"/>
          <w:numId w:val="2"/>
        </w:numPr>
        <w:spacing w:after="60" w:line="264"/>
      </w:pPr>
      <w:r>
        <w:rPr>
          <w:rFonts w:ascii="Calibri" w:cs="Calibri" w:eastAsia="Calibri" w:hAnsi="Calibri"/>
          <w:sz w:val="21"/>
          <w:szCs w:val="21"/>
        </w:rPr>
        <w:t xml:space="preserve">Les mêmes images Docker, identifiées par empreinte, servent aux tests d’intégration et à la démonstration. Aucune image n’est reconstruite pour la soutenance.</w:t>
      </w:r>
    </w:p>
    <w:p>
      <w:pPr>
        <w:pStyle w:val="ListParagraph"/>
        <w:numPr>
          <w:ilvl w:val="0"/>
          <w:numId w:val="2"/>
        </w:numPr>
        <w:spacing w:after="60" w:line="264"/>
      </w:pPr>
      <w:r>
        <w:rPr>
          <w:rFonts w:ascii="Calibri" w:cs="Calibri" w:eastAsia="Calibri" w:hAnsi="Calibri"/>
          <w:sz w:val="21"/>
          <w:szCs w:val="21"/>
        </w:rPr>
        <w:t xml:space="preserve">Aucun comportement ne dépend d’une variable présente sur le poste et absente de la machine virtuelle : la construction s’effectue exclusivement dans des conteneurs.</w:t>
      </w:r>
    </w:p>
    <w:p>
      <w:pPr>
        <w:pStyle w:val="ListParagraph"/>
        <w:numPr>
          <w:ilvl w:val="0"/>
          <w:numId w:val="2"/>
        </w:numPr>
        <w:spacing w:after="60" w:line="264"/>
      </w:pPr>
      <w:r>
        <w:rPr>
          <w:rFonts w:ascii="Calibri" w:cs="Calibri" w:eastAsia="Calibri" w:hAnsi="Calibri"/>
          <w:sz w:val="21"/>
          <w:szCs w:val="21"/>
        </w:rPr>
        <w:t xml:space="preserve">Une divergence entre environnements est un défaut bloquant, au même titre qu’un test rouge.</w:t>
      </w:r>
    </w:p>
    <w:p>
      <w:pPr>
        <w:pStyle w:val="Heading2"/>
        <w:spacing w:after="100" w:before="220"/>
      </w:pPr>
      <w:r>
        <w:rPr>
          <w:rFonts w:ascii="Calibri" w:cs="Calibri" w:eastAsia="Calibri" w:hAnsi="Calibri"/>
        </w:rPr>
        <w:t xml:space="preserve">6.3 Hypothèses de déploiement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200"/>
      </w:tblGrid>
      <w:tr>
        <w:trPr>
          <w:tblHeader/>
        </w:trPr>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4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Hypothèse</w:t>
            </w:r>
          </w:p>
        </w:tc>
        <w:tc>
          <w:tcPr>
            <w:tcW w:type="dxa" w:w="4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Conséquence si infirmée</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HD-1</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La virtualisation matérielle est disponible et activée sur le poste.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Performances inexploitables ; SQ-30 non mesurable ; topologie à revoir.</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HD-2</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réseau local de la salle autorise l’accès par pont et la communication entre téléphones et machine virtuelle.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Plan de secours §7.3 : point d’accès personnel indépendant.</w:t>
            </w:r>
          </w:p>
        </w:tc>
      </w:tr>
      <w:tr>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HD-3</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L’horloge de la machine virtuelle reste synchronisée et ne saute pas pendant une démonstration.</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Les règles temporelles peuvent produire des résultats incohérents. Atténuation : ne jamais suspendre la machine virtuelle avant une démonstration ; redémarrage propre.</w:t>
            </w:r>
          </w:p>
        </w:tc>
      </w:tr>
      <w:tr>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HD-4</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ressources du poste permettent le dimensionnement du §2.1 tout en faisant tourner l’éditeur et Android Studio.</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Réduire le dimensionnement dégrade les mesures ; à documenter.</w:t>
            </w:r>
          </w:p>
        </w:tc>
      </w:tr>
    </w:tbl>
    <w:p>
      <w:pPr>
        <w:spacing w:after="80"/>
      </w:pPr>
    </w:p>
    <w:p>
      <w:pPr>
        <w:pStyle w:val="Heading1"/>
        <w:spacing w:after="140" w:before="320"/>
      </w:pPr>
      <w:r>
        <w:rPr>
          <w:rFonts w:ascii="Calibri" w:cs="Calibri" w:eastAsia="Calibri" w:hAnsi="Calibri"/>
        </w:rPr>
        <w:t xml:space="preserve">7. Procédure du jour de la soutenance</w:t>
      </w:r>
    </w:p>
    <w:p>
      <w:pPr>
        <w:pStyle w:val="Heading2"/>
        <w:spacing w:after="100" w:before="220"/>
      </w:pPr>
      <w:r>
        <w:rPr>
          <w:rFonts w:ascii="Calibri" w:cs="Calibri" w:eastAsia="Calibri" w:hAnsi="Calibri"/>
        </w:rPr>
        <w:t xml:space="preserve">7.1 La veille</w:t>
      </w:r>
    </w:p>
    <w:p>
      <w:pPr>
        <w:pStyle w:val="ListParagraph"/>
        <w:numPr>
          <w:ilvl w:val="0"/>
          <w:numId w:val="2"/>
        </w:numPr>
        <w:spacing w:after="60" w:line="264"/>
      </w:pPr>
      <w:r>
        <w:rPr>
          <w:rFonts w:ascii="Calibri" w:cs="Calibri" w:eastAsia="Calibri" w:hAnsi="Calibri"/>
          <w:sz w:val="21"/>
          <w:szCs w:val="21"/>
        </w:rPr>
        <w:t xml:space="preserve">Redémarrage complet de la machine virtuelle ; make reset puis make up ; make check-stack au vert.</w:t>
      </w:r>
    </w:p>
    <w:p>
      <w:pPr>
        <w:pStyle w:val="ListParagraph"/>
        <w:numPr>
          <w:ilvl w:val="0"/>
          <w:numId w:val="2"/>
        </w:numPr>
        <w:spacing w:after="60" w:line="264"/>
      </w:pPr>
      <w:r>
        <w:rPr>
          <w:rFonts w:ascii="Calibri" w:cs="Calibri" w:eastAsia="Calibri" w:hAnsi="Calibri"/>
          <w:sz w:val="21"/>
          <w:szCs w:val="21"/>
        </w:rPr>
        <w:t xml:space="preserve">Exécution complète de make abuse : treize tests verts.</w:t>
      </w:r>
    </w:p>
    <w:p>
      <w:pPr>
        <w:pStyle w:val="ListParagraph"/>
        <w:numPr>
          <w:ilvl w:val="0"/>
          <w:numId w:val="2"/>
        </w:numPr>
        <w:spacing w:after="60" w:line="264"/>
      </w:pPr>
      <w:r>
        <w:rPr>
          <w:rFonts w:ascii="Calibri" w:cs="Calibri" w:eastAsia="Calibri" w:hAnsi="Calibri"/>
          <w:sz w:val="21"/>
          <w:szCs w:val="21"/>
        </w:rPr>
        <w:t xml:space="preserve">Répétition chronométrée de la démonstration, trois fois de suite, sans intervention hors script (SQ-11).</w:t>
      </w:r>
    </w:p>
    <w:p>
      <w:pPr>
        <w:pStyle w:val="ListParagraph"/>
        <w:numPr>
          <w:ilvl w:val="0"/>
          <w:numId w:val="2"/>
        </w:numPr>
        <w:spacing w:after="60" w:line="264"/>
      </w:pPr>
      <w:r>
        <w:rPr>
          <w:rFonts w:ascii="Calibri" w:cs="Calibri" w:eastAsia="Calibri" w:hAnsi="Calibri"/>
          <w:sz w:val="21"/>
          <w:szCs w:val="21"/>
        </w:rPr>
        <w:t xml:space="preserve">Vérification de l’APK installé sur les deux téléphones et de leur connectivité à la machine virtuelle.</w:t>
      </w:r>
    </w:p>
    <w:p>
      <w:pPr>
        <w:pStyle w:val="ListParagraph"/>
        <w:numPr>
          <w:ilvl w:val="0"/>
          <w:numId w:val="2"/>
        </w:numPr>
        <w:spacing w:after="60" w:line="264"/>
      </w:pPr>
      <w:r>
        <w:rPr>
          <w:rFonts w:ascii="Calibri" w:cs="Calibri" w:eastAsia="Calibri" w:hAnsi="Calibri"/>
          <w:sz w:val="21"/>
          <w:szCs w:val="21"/>
        </w:rPr>
        <w:t xml:space="preserve">Capture d’une vidéo de la démonstration complète, conservée comme secours ultime.</w:t>
      </w:r>
    </w:p>
    <w:p>
      <w:pPr>
        <w:pStyle w:val="Heading2"/>
        <w:spacing w:after="100" w:before="220"/>
      </w:pPr>
      <w:r>
        <w:rPr>
          <w:rFonts w:ascii="Calibri" w:cs="Calibri" w:eastAsia="Calibri" w:hAnsi="Calibri"/>
        </w:rPr>
        <w:t xml:space="preserve">7.2 Le jour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rPr>
          <w:tblHeader/>
        </w:trPr>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Étape</w:t>
            </w:r>
          </w:p>
        </w:tc>
        <w:tc>
          <w:tcPr>
            <w:tcW w:type="dxa" w:w="8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Action</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Démarrer le poste, puis la machine virtuelle sans jamais la reprendre depuis un état suspendu (HD-3).</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Connecter le poste et les téléphones au même réseau ; vérifier l’adresse de la machine virtuelle.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make up puis make check-stack ; la console affiche l’état de la pile.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Projeter deux fenêtres : la console et le terminal attaquant. Les téléphones sont visibles ou mirrorés.</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Dérouler ISC-DEMO : attaque réussie en mode sans couche, puis neutralisée, puis vérification d’intégrité du journal.</w:t>
            </w:r>
          </w:p>
        </w:tc>
      </w:tr>
    </w:tbl>
    <w:p>
      <w:pPr>
        <w:spacing w:after="80"/>
      </w:pPr>
    </w:p>
    <w:p>
      <w:pPr>
        <w:pStyle w:val="Heading2"/>
        <w:spacing w:after="100" w:before="220"/>
      </w:pPr>
      <w:r>
        <w:rPr>
          <w:rFonts w:ascii="Calibri" w:cs="Calibri" w:eastAsia="Calibri" w:hAnsi="Calibri"/>
        </w:rPr>
        <w:t xml:space="preserve">7.3 Plan de secours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Incident</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Réponse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Réseau de la salle indisponible ou restrictif</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Point d’accès personnel indépendant, préparé et testé la veille ; la machine virtuelle et les téléphones s’y connectent.</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téléphone défaillant</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second appareil suffit à démontrer le device binding ; le scénario attaquant bascule sur le canal USSD par ligne de commande.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Machine virtuelle non démarrable</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Sauvegarde exportable de la machine virtuelle (fichier OVA) préparée la veille, importable sur un poste de secours.</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Échec imprévu pendant la démonstration</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vidéo de la veille est projetée, et l’incident est exposé honnêtement au jury. Une défaillance expliquée vaut mieux qu’une improvisation.</w:t>
            </w:r>
          </w:p>
        </w:tc>
      </w:tr>
    </w:tbl>
    <w:p>
      <w:pPr>
        <w:spacing w:after="80"/>
      </w:pPr>
    </w:p>
    <w:p>
      <w:pPr>
        <w:pStyle w:val="Heading1"/>
        <w:spacing w:after="140" w:before="320"/>
      </w:pPr>
      <w:r>
        <w:rPr>
          <w:rFonts w:ascii="Calibri" w:cs="Calibri" w:eastAsia="Calibri" w:hAnsi="Calibri"/>
        </w:rPr>
        <w:t xml:space="preserve">8. Mise en place, pas à pas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000"/>
      </w:tblGrid>
      <w:tr>
        <w:trPr>
          <w:tblHeader/>
        </w:trPr>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Étape</w:t>
            </w:r>
          </w:p>
        </w:tc>
        <w:tc>
          <w:tcPr>
            <w:tcW w:type="dxa" w:w="4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Action</w:t>
            </w:r>
          </w:p>
        </w:tc>
        <w:tc>
          <w:tcPr>
            <w:tcW w:type="dxa" w:w="4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Preuve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Vérifier VT-x ou AMD-V dans le BIOS du poste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VirtualBox ne signale aucun avertissement de virtualisation</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Installer VirtualBox et le pack d’extensions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 affichée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Créer la machine virtuelle (§2.1) et installer Ubuntu Server (§2.2)</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Connexion SSH par clé établie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Configurer les deux interfaces réseau (§3.2)</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téléphone du réseau local atteint la machine virtuelle par ping</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Installer les logiciels du §2.3</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Chaque commande de vérification répond</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Configurer ufw selon le §2.4</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Seuls les ports prévus répondent depuis le réseau local</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7</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Cloner le dépôt dans la machine virtuelle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Le dépôt est présent</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8</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Installer l’exécuteur auto-hébergé avec son étiquette</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Il apparaît actif dans le dépôt</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9</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Exporter une sauvegarde de la machine virtuelle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Fichier OVA conservé hors du poste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À la fin de l’étape 9, la machine virtuelle est opérationnelle, isolée, joignable par les téléphones, et sauvegardée — et aucun service applicatif n’y tourne encore, puisque aucun code de production n’existe. C’est l’état attendu avant les spikes.</w:t>
            </w:r>
          </w:p>
        </w:tc>
      </w:tr>
    </w:tbl>
    <w:p>
      <w:pPr>
        <w:pStyle w:val="Heading1"/>
        <w:spacing w:after="140" w:before="320"/>
      </w:pPr>
      <w:r>
        <w:rPr>
          <w:rFonts w:ascii="Calibri" w:cs="Calibri" w:eastAsia="Calibri" w:hAnsi="Calibri"/>
        </w:rPr>
        <w:t xml:space="preserve">9. Décisions allouées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600"/>
        <w:gridCol w:w="15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c>
          <w:tcPr>
            <w:tcW w:type="dxa" w:w="6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ADR-022</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Machine virtuelle Ubuntu Server 24.04 sous VirtualBox comme unique environnement d’exécution ; démonstration locale.</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ADR-023</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Répartition des portes : légères sur exécuteurs hébergés, lourdes sur exécuteur auto-hébergé dans la machine virtuelle.</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ADR-024</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Registre d’images local ; aucune dépendance à un registre public à l’exécution.</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ADR-025</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 runtime applicatif installé directement dans la machine virtuelle : tout vit dans les images.</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bl>
    <w:p>
      <w:pPr>
        <w:spacing w:after="80"/>
      </w:pP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ISC-DEPLOY v1.0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Plan de déploiement et CI/CD v1.0</dc:title>
  <dc:creator>IdentiShield-CM</dc:creator>
  <cp:lastModifiedBy>Un-named</cp:lastModifiedBy>
  <cp:revision>1</cp:revision>
  <dcterms:created xsi:type="dcterms:W3CDTF">2026-08-22T17:14:06.945Z</dcterms:created>
  <dcterms:modified xsi:type="dcterms:W3CDTF">2026-08-22T17:14:06.957Z</dcterms:modified>
</cp:coreProperties>
</file>

<file path=docProps/custom.xml><?xml version="1.0" encoding="utf-8"?>
<Properties xmlns="http://schemas.openxmlformats.org/officeDocument/2006/custom-properties" xmlns:vt="http://schemas.openxmlformats.org/officeDocument/2006/docPropsVTypes"/>
</file>