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IdentiShield-CM</w:t>
      </w:r>
    </w:p>
    <w:p>
      <w:pPr>
        <w:spacing w:after="38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Secure Identity &amp; Behavioral Trust Layer for Mobile Money Platforms in Cameroon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GUIDE D’ENVIRONNEMENT DE DÉVELOPPEMENT</w:t>
      </w:r>
    </w:p>
    <w:p>
      <w:pPr>
        <w:spacing w:after="4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Outillage, structure du dépôt, cadre d’exécution de l’agent de codage, portes de vérification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6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Identifiant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ISC-DEV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</w:t>
            </w:r>
          </w:p>
        </w:tc>
        <w:tc>
          <w:tcPr>
            <w:tcW w:type="dxa" w:w="6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Statut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6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août 2026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Auteur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Encadrement technique ; Yaniv (propriétaire)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Documents amont</w:t>
            </w:r>
          </w:p>
        </w:tc>
        <w:tc>
          <w:tcPr>
            <w:tcW w:type="dxa" w:w="6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ISC-SRS v1.2 ; ISC-SAD v1.0 ; ISC-ADD v1.0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Objet</w:t>
            </w:r>
          </w:p>
        </w:tc>
        <w:tc>
          <w:tcPr>
            <w:tcW w:type="dxa" w:w="6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Décrire intégralement l’environnement de travail : ce qui est installé, dans quelle version, comment le dépôt est structuré, comment l’agent de codage est encadré, et comment chaque élément est vérifié avant d’être déclaré fonctionnel.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Principe directeur</w:t>
            </w:r>
          </w:p>
        </w:tc>
        <w:tc>
          <w:tcPr>
            <w:tcW w:type="dxa" w:w="6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Rien n’est déclaré opérationnel sans une commande de vérification qui le prouve. Chaque section porte sa preuve.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Table des matières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1. Position de ce document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L’environnement de développement n’est pas le début du projet : la conception le précède et est achevée à l’exception des décisions dépendant des spikes. Ce document est néanmoins un livrable de conception, pour trois raisons : il conditionne la reproductibilité (ENF-05, SQ-12), il définit le cadre dans lequel l’agent de codage opère, et il fixe les portes automatiques qui rendent les règles du projet exécutoires plutôt que déclaratives.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C55A11" w:sz="24"/>
              <w:bottom w:val="none"/>
              <w:right w:val="none"/>
            </w:tcBorders>
            <w:shd w:fill="FFF4E5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Règle qui gouverne tout ce document : une règle qui n’est pas vérifiée par une machine n’est pas une règle, c’est un souhait. Chaque convention énoncée ici est accompagnée du mécanisme qui la fait respecter.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2. Poste de travail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2.1 Logiciels requis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3300"/>
        <w:gridCol w:w="25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1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Vérification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 Engine + Compose v2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 24+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Exécution de toute la pile (C-05)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 compose version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JDK 21 (Temurin)</w:t>
            </w:r>
          </w:p>
        </w:tc>
        <w:tc>
          <w:tcPr>
            <w:tcW w:type="dxa" w:w="1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LTS</w:t>
            </w:r>
          </w:p>
        </w:tc>
        <w:tc>
          <w:tcPr>
            <w:tcW w:type="dxa" w:w="3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Cœur et PDP (CT-01)</w:t>
            </w:r>
          </w:p>
        </w:tc>
        <w:tc>
          <w:tcPr>
            <w:tcW w:type="dxa" w:w="2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java -version affiche 21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Gradle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via wrapper du dépôt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Construction Java ; le wrapper garantit la même version pour tous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./gradlew --version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</w:t>
            </w:r>
          </w:p>
        </w:tc>
        <w:tc>
          <w:tcPr>
            <w:tcW w:type="dxa" w:w="1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3.11 ou 3.12</w:t>
            </w:r>
          </w:p>
        </w:tc>
        <w:tc>
          <w:tcPr>
            <w:tcW w:type="dxa" w:w="3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Simulateur, évaluation, outils CLI</w:t>
            </w:r>
          </w:p>
        </w:tc>
        <w:tc>
          <w:tcPr>
            <w:tcW w:type="dxa" w:w="2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python3 --version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uv ou venv + pip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uv recommandé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Environnements Python déterministes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uv --version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Node.js</w:t>
            </w:r>
          </w:p>
        </w:tc>
        <w:tc>
          <w:tcPr>
            <w:tcW w:type="dxa" w:w="1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LTS</w:t>
            </w:r>
          </w:p>
        </w:tc>
        <w:tc>
          <w:tcPr>
            <w:tcW w:type="dxa" w:w="3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Next.js</w:t>
            </w:r>
          </w:p>
        </w:tc>
        <w:tc>
          <w:tcPr>
            <w:tcW w:type="dxa" w:w="2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 -v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Android Studio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 stable courante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 Kotlin, émulateur, débogage sur appareil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SDK 34+ installé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</w:t>
            </w:r>
          </w:p>
        </w:tc>
        <w:tc>
          <w:tcPr>
            <w:tcW w:type="dxa" w:w="1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2.40+</w:t>
            </w:r>
          </w:p>
        </w:tc>
        <w:tc>
          <w:tcPr>
            <w:tcW w:type="dxa" w:w="3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Versionnement</w:t>
            </w:r>
          </w:p>
        </w:tc>
        <w:tc>
          <w:tcPr>
            <w:tcW w:type="dxa" w:w="2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 --version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make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GNU make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Commandes de démonstration (ENF-04)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make --version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PlantUML + Java</w:t>
            </w:r>
          </w:p>
        </w:tc>
        <w:tc>
          <w:tcPr>
            <w:tcW w:type="dxa" w:w="1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Rendu des diagrammes maintenus en code</w:t>
            </w:r>
          </w:p>
        </w:tc>
        <w:tc>
          <w:tcPr>
            <w:tcW w:type="dxa" w:w="2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make diagrams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jq, curl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Vérifications manuelles d’API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Aucune installation locale de PostgreSQL : la base tourne en conteneur. Aucune installation locale de Kafka, Redis ou autre : ils ne sont pas dans l’architecture (§4 du SAD).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2.2 Environnements de développement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2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Outil recommandé</w:t>
            </w:r>
          </w:p>
        </w:tc>
        <w:tc>
          <w:tcPr>
            <w:tcW w:type="dxa" w:w="4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Motif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isc-core, isc-pdp (Java)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IntelliJ IDEA Community, ou VS Code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IntelliJ comprend Spring et Gradle nativement ; VS Code convient avec les extensions ci-dessous.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isc-app (Kotlin Android)</w:t>
            </w:r>
          </w:p>
        </w:tc>
        <w:tc>
          <w:tcPr>
            <w:tcW w:type="dxa" w:w="2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Android Studio</w:t>
            </w:r>
          </w:p>
        </w:tc>
        <w:tc>
          <w:tcPr>
            <w:tcW w:type="dxa" w:w="4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Obligatoire : débogage sur appareil, gestion du SDK, inspection du Keystore. Aucune alternative.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isc-console (Next.js)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VS Code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Écosystème TypeScript.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isc-sim, isc-eval, outils CLI (Python)</w:t>
            </w:r>
          </w:p>
        </w:tc>
        <w:tc>
          <w:tcPr>
            <w:tcW w:type="dxa" w:w="2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VS Code</w:t>
            </w:r>
          </w:p>
        </w:tc>
        <w:tc>
          <w:tcPr>
            <w:tcW w:type="dxa" w:w="4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Écosystème Python.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Documents et diagrammes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VS Code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Markdown, PlantUML, YAML dans le même éditeur que le code.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2.3 Extensions VS Code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1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4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Utilité</w:t>
            </w:r>
          </w:p>
        </w:tc>
        <w:tc>
          <w:tcPr>
            <w:tcW w:type="dxa" w:w="1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Extension Pack for Java (Microsoft)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Langage, débogueur, tests JUnit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Requise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Spring Boot Extension Pack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Navigation dans les beans, propriétés, actuator</w:t>
            </w:r>
          </w:p>
        </w:tc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Gradle for Java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Tâches de construction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Requise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+ Pylance (Microsoft)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Langage, typage, débogueur</w:t>
            </w:r>
          </w:p>
        </w:tc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Ruff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Formatage et lint Python, rapide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Requise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ESLint + Prettier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Lint et formatage TypeScript</w:t>
            </w:r>
          </w:p>
        </w:tc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Tailwind CSS IntelliSense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Next.js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Recommandée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 (Microsoft)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Conteneurs, journaux, exec</w:t>
            </w:r>
          </w:p>
        </w:tc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PostgreSQL ou SQLTools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Inspection des schémas, vérification des rôles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Requise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PlantUML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Rendu local des diagrammes</w:t>
            </w:r>
          </w:p>
        </w:tc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OpenAPI (Swagger) Editor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Édition et validation du contrat /evaluate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Requise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YAML (Red Hat)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Compose, CI, configuration versionnée</w:t>
            </w:r>
          </w:p>
        </w:tc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markdownlint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Cohérence des documents du dépôt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Recommandée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GitLens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Historique, revue</w:t>
            </w:r>
          </w:p>
        </w:tc>
        <w:tc>
          <w:tcPr>
            <w:tcW w:type="dxa" w:w="1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Recommandée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EditorConfig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Cohérence d’indentation entre éditeurs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Requise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La liste est figée dans .vscode/extensions.json : VS Code proposera l’installation à l’ouverture du dépôt. Toute extension d’assistance au code doit être déclarée dans le mémoire (ENF-15).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2.4 Appareils Android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3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4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  <w:tc>
          <w:tcPr>
            <w:tcW w:type="dxa" w:w="3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Vérification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Android 9 (API 28) minimum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Paramètres → À propos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Keystore</w:t>
            </w:r>
          </w:p>
        </w:tc>
        <w:tc>
          <w:tcPr>
            <w:tcW w:type="dxa" w:w="4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TEE au minimum ; StrongBox si disponible</w:t>
            </w:r>
          </w:p>
        </w:tc>
        <w:tc>
          <w:tcPr>
            <w:tcW w:type="dxa" w:w="3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SPIKE-1 : génération de clé avec setIsStrongBoxBacked(true), repli documenté si échec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Attestation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Souhaitée, non bloquante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SPIKE-1 : chaîne d’attestation lisible ou non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Rôles</w:t>
            </w:r>
          </w:p>
        </w:tc>
        <w:tc>
          <w:tcPr>
            <w:tcW w:type="dxa" w:w="4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appareil victime, un appareil attaquant</w:t>
            </w:r>
          </w:p>
        </w:tc>
        <w:tc>
          <w:tcPr>
            <w:tcW w:type="dxa" w:w="3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Connectivité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Même réseau local que le poste de démonstration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curl vers isc-core depuis l’appareil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C55A11" w:sz="24"/>
              <w:bottom w:val="none"/>
              <w:right w:val="none"/>
            </w:tcBorders>
            <w:shd w:fill="FFF4E5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HP-2 (les appareils disposent d’un Keystore matériel) reste une hypothèse jusqu’à SPIKE-1. Si elle est infirmée, ES-02 et toute la thèse cryptographique sont à revoir. C’est la vérification la plus urgente du projet.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3. Structure du dépôt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Monorepo unique. Chaque répertoire de premier niveau correspond à un conteneur du SAD §4 ou à une fonction transverse. Aucun répertoire ne peut être ajouté sans ADR.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200"/>
        <w:gridCol w:w="21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5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21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Correspondance SAD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core/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cœur opérateur (Java, Gradle)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isc-core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pdp/</w:t>
            </w:r>
          </w:p>
        </w:tc>
        <w:tc>
          <w:tcPr>
            <w:tcW w:type="dxa" w:w="5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Point de décision (Java, Gradle)</w:t>
            </w:r>
          </w:p>
        </w:tc>
        <w:tc>
          <w:tcPr>
            <w:tcW w:type="dxa" w:w="21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isc-pdp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console/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opérateur et SOC (Next.js)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isc-console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android/</w:t>
            </w:r>
          </w:p>
        </w:tc>
        <w:tc>
          <w:tcPr>
            <w:tcW w:type="dxa" w:w="5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 utilisateur (Kotlin)</w:t>
            </w:r>
          </w:p>
        </w:tc>
        <w:tc>
          <w:tcPr>
            <w:tcW w:type="dxa" w:w="21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isc-app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simulator/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Générateur à base d’agents (Python)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isc-sim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attacker/</w:t>
            </w:r>
          </w:p>
        </w:tc>
        <w:tc>
          <w:tcPr>
            <w:tcW w:type="dxa" w:w="5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Outil attaquant CLI (Python)</w:t>
            </w:r>
          </w:p>
        </w:tc>
        <w:tc>
          <w:tcPr>
            <w:tcW w:type="dxa" w:w="21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isc-attacker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hlr-agent/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Outil agent opérateur CLI (Python)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isc-hlr-agent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evaluation/</w:t>
            </w:r>
          </w:p>
        </w:tc>
        <w:tc>
          <w:tcPr>
            <w:tcW w:type="dxa" w:w="5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Métriques, ML ombre, figures (Python)</w:t>
            </w:r>
          </w:p>
        </w:tc>
        <w:tc>
          <w:tcPr>
            <w:tcW w:type="dxa" w:w="21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isc-eval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contracts/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evaluate.yaml (OpenAPI 3.1) et schémas partagés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SAD §8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infra/</w:t>
            </w:r>
          </w:p>
        </w:tc>
        <w:tc>
          <w:tcPr>
            <w:tcW w:type="dxa" w:w="5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docker-compose.yml, initialisation base et rôles, génération de l’autorité locale</w:t>
            </w:r>
          </w:p>
        </w:tc>
        <w:tc>
          <w:tcPr>
            <w:tcW w:type="dxa" w:w="21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SAD §13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spikes/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 jetable des expériences, un répertoire par spike, avec RESULT.md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ISC-ADD §8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docs/</w:t>
            </w:r>
          </w:p>
        </w:tc>
        <w:tc>
          <w:tcPr>
            <w:tcW w:type="dxa" w:w="5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Tous les documents du projet (voir §3.1)</w:t>
            </w:r>
          </w:p>
        </w:tc>
        <w:tc>
          <w:tcPr>
            <w:tcW w:type="dxa" w:w="21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tests/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 d’intégration T-AC-01 à T-AC-13 (Python, pilotant la pile)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ENF-09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datasets/</w:t>
            </w:r>
          </w:p>
        </w:tc>
        <w:tc>
          <w:tcPr>
            <w:tcW w:type="dxa" w:w="5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Jeux gelés : paramètres, empreintes, rapport de plausibilité (données volumineuses hors dépôt, empreintes dedans)</w:t>
            </w:r>
          </w:p>
        </w:tc>
        <w:tc>
          <w:tcPr>
            <w:tcW w:type="dxa" w:w="21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EAR-05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Makefile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up, down, demo-attack, demo-defend, evaluate, test, check-docs, diagrams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ENF-04</w:t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README.md</w:t>
            </w:r>
          </w:p>
        </w:tc>
        <w:tc>
          <w:tcPr>
            <w:tcW w:type="dxa" w:w="52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Chemin le plus court vers une démonstration qui fonctionne</w:t>
            </w:r>
          </w:p>
        </w:tc>
        <w:tc>
          <w:tcPr>
            <w:tcW w:type="dxa" w:w="21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ENF-05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3.1 Contenu de docs/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6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docs/00-registre-questions.md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Questions ouvertes QO-xx, statut, échéance, propriétaire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docs/01-decisions/ADR-nnn.md</w:t>
            </w:r>
          </w:p>
        </w:tc>
        <w:tc>
          <w:tcPr>
            <w:tcW w:type="dxa" w:w="6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fichier par décision : contexte, décision, alternatives rejetées, conséquences, statut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docs/02-specifications/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ISC-CHARTE, ISC-TM, ISC-SRS-FR, ISC-SRS-EN, ISC-ADD, ISC-SAD, ISC-EVAL, ISC-TEST, ISC-PROC, ISC-DEMO, ISC-DEV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docs/03-revues/</w:t>
            </w:r>
          </w:p>
        </w:tc>
        <w:tc>
          <w:tcPr>
            <w:tcW w:type="dxa" w:w="6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Comptes rendus hebdomadaires et journaux de défauts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docs/04-sources/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Fiches de lecture de l’état de l’art, une par source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docs/diagrams/</w:t>
            </w:r>
          </w:p>
        </w:tc>
        <w:tc>
          <w:tcPr>
            <w:tcW w:type="dxa" w:w="6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Diagrammes PlantUML versionnés, rendus en CI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docs/memoire/</w:t>
            </w:r>
          </w:p>
        </w:tc>
        <w:tc>
          <w:tcPr>
            <w:tcW w:type="dxa" w:w="6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Mémoire, rédigé en continu depuis le mois 1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docs/traceability.csv</w:t>
            </w:r>
          </w:p>
        </w:tc>
        <w:tc>
          <w:tcPr>
            <w:tcW w:type="dxa" w:w="6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Matrice origine → exigence → composant → test → résultat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3.2 Conventions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28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</w:t>
            </w:r>
          </w:p>
        </w:tc>
        <w:tc>
          <w:tcPr>
            <w:tcW w:type="dxa" w:w="4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2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Mécanisme d’application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Branches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 protégée ; une branche par lot de travail, nommée par exigence (ex. feat/ES-01b-probation)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Règle de protection du dépôt</w:t>
            </w:r>
          </w:p>
        </w:tc>
      </w:tr>
      <w:tr>
        <w:tc>
          <w:tcPr>
            <w:tcW w:type="dxa" w:w="1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Messages de commit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Conventional Commits, avec l’identifiant d’exigence en portage (ex. feat(pdp): ES-01b transition PROBATION)</w:t>
            </w:r>
          </w:p>
        </w:tc>
        <w:tc>
          <w:tcPr>
            <w:tcW w:type="dxa" w:w="2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Contrôle en CI (commitlint)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Fusion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Aucune fusion sans CI verte et sans relecture explicite du candidat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Règle de protection du dépôt</w:t>
            </w:r>
          </w:p>
        </w:tc>
      </w:tr>
      <w:tr>
        <w:tc>
          <w:tcPr>
            <w:tcW w:type="dxa" w:w="1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Anglais pour identifiants, code et commentaires ; français pour l’interface utilisateur et les documents</w:t>
            </w:r>
          </w:p>
        </w:tc>
        <w:tc>
          <w:tcPr>
            <w:tcW w:type="dxa" w:w="2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Revue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Formatage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Java : Spotless ; Python : Ruff ; TypeScript : Prettier ; commun : EditorConfig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Porte CI</w:t>
            </w:r>
          </w:p>
        </w:tc>
      </w:tr>
      <w:tr>
        <w:tc>
          <w:tcPr>
            <w:tcW w:type="dxa" w:w="1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Secrets</w:t>
            </w:r>
          </w:p>
        </w:tc>
        <w:tc>
          <w:tcPr>
            <w:tcW w:type="dxa" w:w="4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 secret dans le dépôt ; génération au démarrage de la pile</w:t>
            </w:r>
          </w:p>
        </w:tc>
        <w:tc>
          <w:tcPr>
            <w:tcW w:type="dxa" w:w="2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Détection de secrets en CI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Données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 MSISDN hors de la plage fictive ; aucun nom réel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automatisé sur les jeux générés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4. Portes de vérification automatiques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Ces portes transforment les règles des documents en contraintes exécutoires. Une porte rouge bloque la fusion, sans exception et sans dérogation orale.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0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Porte</w:t>
            </w:r>
          </w:p>
        </w:tc>
        <w:tc>
          <w:tcPr>
            <w:tcW w:type="dxa" w:w="5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qu’elle vérifie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</w:t>
            </w:r>
          </w:p>
        </w:tc>
        <w:tc>
          <w:tcPr>
            <w:tcW w:type="dxa" w:w="5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Compilation des quatre bases de code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format</w:t>
            </w:r>
          </w:p>
        </w:tc>
        <w:tc>
          <w:tcPr>
            <w:tcW w:type="dxa" w:w="5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Spotless, Ruff, Prettier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</w:t>
            </w:r>
          </w:p>
        </w:tc>
        <w:tc>
          <w:tcPr>
            <w:tcW w:type="dxa" w:w="5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 unitaires ; couverture PDP ≥ 80 %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ENF-08a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rule-tests</w:t>
            </w:r>
          </w:p>
        </w:tc>
        <w:tc>
          <w:tcPr>
            <w:tcW w:type="dxa" w:w="5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Chaque règle du moteur a au moins un test positif et un négatif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ENF-08b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arch</w:t>
            </w:r>
          </w:p>
        </w:tc>
        <w:tc>
          <w:tcPr>
            <w:tcW w:type="dxa" w:w="5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 d’architecture : aucune lecture d’horloge statique ; RuleEngine sans dépendance à l’infrastructure ; aucun accès croisé entre schémas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ENF-11, SAD §14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</w:t>
            </w:r>
          </w:p>
        </w:tc>
        <w:tc>
          <w:tcPr>
            <w:tcW w:type="dxa" w:w="5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 du fichier OpenAPI et conformité des réponses réelles au contrat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IR-01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abuse</w:t>
            </w:r>
          </w:p>
        </w:tc>
        <w:tc>
          <w:tcPr>
            <w:tcW w:type="dxa" w:w="5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Exécution de T-AC-01 à T-AC-13 contre la pile complète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ENF-09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audit-role</w:t>
            </w:r>
          </w:p>
        </w:tc>
        <w:tc>
          <w:tcPr>
            <w:tcW w:type="dxa" w:w="5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Vérifie que le rôle applicatif ne peut ni modifier ni supprimer une entrée d’audit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ED-06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secrets</w:t>
            </w:r>
          </w:p>
        </w:tc>
        <w:tc>
          <w:tcPr>
            <w:tcW w:type="dxa" w:w="5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 secret détecté dans l’historique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ENF-07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fictitious-msisdn</w:t>
            </w:r>
          </w:p>
        </w:tc>
        <w:tc>
          <w:tcPr>
            <w:tcW w:type="dxa" w:w="5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 numéro hors plage fictive dans le code ni dans les jeux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CT-02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check-docs</w:t>
            </w:r>
          </w:p>
        </w:tc>
        <w:tc>
          <w:tcPr>
            <w:tcW w:type="dxa" w:w="5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 identifiant RETIRÉ référencé ailleurs que dans sa ligne de retrait ; ensembles d’identifiants FR et EN identiques ; tout ADR cité existe dans docs/01-decisions/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SRS §16</w:t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diagrams</w:t>
            </w:r>
          </w:p>
        </w:tc>
        <w:tc>
          <w:tcPr>
            <w:tcW w:type="dxa" w:w="5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 diagrammes se rendent sans erreur</w:t>
            </w:r>
          </w:p>
        </w:tc>
        <w:tc>
          <w:tcPr>
            <w:tcW w:type="dxa" w:w="2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SAD §1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determinism</w:t>
            </w:r>
          </w:p>
        </w:tc>
        <w:tc>
          <w:tcPr>
            <w:tcW w:type="dxa" w:w="5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make evaluate produit deux fois le même résultat à graine fixée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ENF-04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C55A11" w:sz="24"/>
              <w:bottom w:val="none"/>
              <w:right w:val="none"/>
            </w:tcBorders>
            <w:shd w:fill="FFF4E5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La porte check-docs naît d’un incident réel : une correction du modèle de menace avait laissé onze références incohérentes dans trois documents, invisibles à la relecture humaine. La cohérence documentaire se vérifie par machine, comme le code.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5. Cadre d’exécution de l’agent de codage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Le code est produit par un agent de codage (Claude Code) sous spécification et revue du candidat (ADR-006, CT-03). Ce cadre n’est pas une précaution de forme : sans lui, un agent produit du code plausible, abondant et non conforme, et le risque R-02 (code non maîtrisé) se réalise. Il est matérialisé par un fichier de règles projet lu automatiquement par l’agent à chaque session.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5.1 Fichier de règles projet (CLAUDE.md à la racine)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Section du fichier</w:t>
            </w:r>
          </w:p>
        </w:tc>
        <w:tc>
          <w:tcPr>
            <w:tcW w:type="dxa" w:w="6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Identité du projet</w:t>
            </w:r>
          </w:p>
        </w:tc>
        <w:tc>
          <w:tcPr>
            <w:tcW w:type="dxa" w:w="6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Nom, objet, statut académique, périmètre sandbox strict.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Documents faisant autorité</w:t>
            </w:r>
          </w:p>
        </w:tc>
        <w:tc>
          <w:tcPr>
            <w:tcW w:type="dxa" w:w="6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Chemins de ISC-SRS, ISC-SAD, ISC-TM, ISC-ADD. Règle : en cas de contradiction entre une instruction de session et un document, le document l’emporte et l’agent le signale.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Architecture non négociable</w:t>
            </w:r>
          </w:p>
        </w:tc>
        <w:tc>
          <w:tcPr>
            <w:tcW w:type="dxa" w:w="6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Deux services ; vetos hors du moteur de score ; horloge injectée ; schémas séparés ; aucune dépendance externe.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Interdictions</w:t>
            </w:r>
          </w:p>
        </w:tc>
        <w:tc>
          <w:tcPr>
            <w:tcW w:type="dxa" w:w="6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Aucune bibliothèque hors de la stack sans ADR. Aucune lecture d’horloge statique. Aucun secret en clair. Aucun MSISDN réel. Aucune cryptographie écrite à la main : uniquement les API standard. Aucun code dans spikes/ importé par le produit.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Obligations</w:t>
            </w:r>
          </w:p>
        </w:tc>
        <w:tc>
          <w:tcPr>
            <w:tcW w:type="dxa" w:w="6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Toute règle métier porte l’identifiant d’exigence qu’elle implémente en commentaire. Tout code touchant à la signature, au nonce ou à l’audit est signalé explicitement en fin de réponse comme nécessitant une revue ligne à ligne.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Conventions</w:t>
            </w:r>
          </w:p>
        </w:tc>
        <w:tc>
          <w:tcPr>
            <w:tcW w:type="dxa" w:w="6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Commits, nommage de branches, langue du code et de l’interface, formatage.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Commandes</w:t>
            </w:r>
          </w:p>
        </w:tc>
        <w:tc>
          <w:tcPr>
            <w:tcW w:type="dxa" w:w="6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make up, make test, make abuse, make check-docs — à exécuter avant de déclarer une tâche terminée.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Sobriété</w:t>
            </w:r>
          </w:p>
        </w:tc>
        <w:tc>
          <w:tcPr>
            <w:tcW w:type="dxa" w:w="6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Préférer la solution la plus courte et la plus lisible. Ne pas introduire d’abstraction sans deux usages réels. Un système de sécurité se défend d’autant mieux qu’il est petit.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5.2 Protocole de délégation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58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1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</w:t>
            </w:r>
          </w:p>
        </w:tc>
        <w:tc>
          <w:tcPr>
            <w:tcW w:type="dxa" w:w="5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Spécification de tâche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Candidat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 tâche = une ou plusieurs exigences identifiées, le comportement attendu, les cas limites, la commande qui prouvera la réussite. Jamais « implémente le PDP ».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Exécution</w:t>
            </w:r>
          </w:p>
        </w:tc>
        <w:tc>
          <w:tcPr>
            <w:tcW w:type="dxa" w:w="1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Agent</w:t>
            </w:r>
          </w:p>
        </w:tc>
        <w:tc>
          <w:tcPr>
            <w:tcW w:type="dxa" w:w="5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 + tests. L’agent signale toute ambiguïté plutôt que de choisir seul.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Portes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Toutes les portes du §4 doivent être vertes avant relecture humaine.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Revue</w:t>
            </w:r>
          </w:p>
        </w:tc>
        <w:tc>
          <w:tcPr>
            <w:tcW w:type="dxa" w:w="1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Candidat</w:t>
            </w:r>
          </w:p>
        </w:tc>
        <w:tc>
          <w:tcPr>
            <w:tcW w:type="dxa" w:w="5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Lecture intégrale du diff. Refus de tout code non compris. Revue ligne à ligne obligatoire pour la cryptographie, les nonces et l’audit, consignée (ENF-08c).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 Interrogation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Encadrement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Questions hebdomadaires sur le code livré, dans les termes du jury. Un composant non explicable retourne en revue.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 Fusion</w:t>
            </w:r>
          </w:p>
        </w:tc>
        <w:tc>
          <w:tcPr>
            <w:tcW w:type="dxa" w:w="13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Candidat</w:t>
            </w:r>
          </w:p>
        </w:tc>
        <w:tc>
          <w:tcPr>
            <w:tcW w:type="dxa" w:w="58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Signature implicite : ce qui est fusionné est ce que le candidat assume devant le jury.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5.3 Ce que l’agent ne fait jamais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Modifier un document de spécification : les documents sont modifiés par le candidat ou l’encadrement, jamais par l’exécution.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Choisir un paramètre de sécurité : les paramètres nommés viennent de la configuration versionnée, jamais du code.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Introduire une dépendance ou un composant : cela exige un ADR.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Déclarer une tâche terminée sans avoir exécuté les portes.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Écrire du code dans spikes/ qui serait ensuite importé par le produit : le code de spike est jetable par construction.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6. Mise en place, pas à pas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0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4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Preuve de réussite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Installer les outils du §2.1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Chaque commande de vérification répond avec la version attendue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Créer le dépôt privé, structure du §3, main protégée</w:t>
            </w:r>
          </w:p>
        </w:tc>
        <w:tc>
          <w:tcPr>
            <w:tcW w:type="dxa" w:w="4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 log affiche le commit initial ; la protection interdit un push direct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Déposer les documents produits dans docs/02-specifications/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make check-docs passe au vert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Écrire CLAUDE.md selon le §5.1</w:t>
            </w:r>
          </w:p>
        </w:tc>
        <w:tc>
          <w:tcPr>
            <w:tcW w:type="dxa" w:w="4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L’agent, interrogé sur une règle du projet, la restitue correctement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Écrire le Makefile et infra/docker-compose.yml (postgres seul dans un premier temps)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make up démarre postgres ; les deux schémas et les rôles existent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Mettre en place la CI avec les portes disponibles</w:t>
            </w:r>
          </w:p>
        </w:tc>
        <w:tc>
          <w:tcPr>
            <w:tcW w:type="dxa" w:w="4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Pipeline vert sur un dépôt sans code applicatif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Ouvrir contracts/evaluate.yaml et le valider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porte contract passe au vert sur le fichier seul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Vérifier les appareils Android (§2.4)</w:t>
            </w:r>
          </w:p>
        </w:tc>
        <w:tc>
          <w:tcPr>
            <w:tcW w:type="dxa" w:w="4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 vide installée sur les deux appareils, joignant le réseau local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Créer spikes/ avec un RESULT.md vide par spike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 cinq répertoires existent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À la fin de l’étape 9, l’environnement est opérationnel et aucune ligne de code produit n’existe. C’est l’état attendu avant les spikes.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7. Ce qui reste à produire avant le développement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0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Ordre</w:t>
            </w:r>
          </w:p>
        </w:tc>
        <w:tc>
          <w:tcPr>
            <w:tcW w:type="dxa" w:w="4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Livrable</w:t>
            </w:r>
          </w:p>
        </w:tc>
        <w:tc>
          <w:tcPr>
            <w:tcW w:type="dxa" w:w="4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Dépendance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ISC-EVAL — protocole d’évaluation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Partiellement PROVISOIRE tant que SPIKE-5 n’a pas mesuré le débit d’injection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ISC-TEST — stratégie de test et matrice exigence → test</w:t>
            </w:r>
          </w:p>
        </w:tc>
        <w:tc>
          <w:tcPr>
            <w:tcW w:type="dxa" w:w="4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ISC-SRS, ISC-SAD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ISC-PROC — processus d’ingénierie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ISC-DEV (portes)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ISC-DEMO — déroulé minuté de la soutenance</w:t>
            </w:r>
          </w:p>
        </w:tc>
        <w:tc>
          <w:tcPr>
            <w:tcW w:type="dxa" w:w="4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ISC-SAD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Exécution des cinq spikes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Environnement opérationnel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ISC-SAD v1.1 — ADR-016 à 021 passés en FERME</w:t>
            </w:r>
          </w:p>
        </w:tc>
        <w:tc>
          <w:tcPr>
            <w:tcW w:type="dxa" w:w="40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Résultats des spikes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Squelette marchant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SAD v1.1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C55A11" w:sz="24"/>
              <w:bottom w:val="none"/>
              <w:right w:val="none"/>
            </w:tcBorders>
            <w:shd w:fill="FFF4E5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Aucune ligne de code de production avant l’étape 7. Les spikes de l’étape 5 ne sont pas du développement : ce sont des expériences jetables dont l’unique produit est une réponse consignée dans un ADR.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7"/>
        <w:szCs w:val="17"/>
      </w:rPr>
      <w:t xml:space="preserve">ISC-DEV v1.0 — REVIEW — Page </w:t>
    </w:r>
    <w:r>
      <w:rPr>
        <w:rFonts w:ascii="Calibri" w:cs="Calibri" w:eastAsia="Calibri" w:hAnsi="Calibri"/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IdentiShield-CM — Guide d’environnement de développement v1.0</dc:title>
  <dc:creator>IdentiShield-CM</dc:creator>
  <cp:lastModifiedBy>Un-named</cp:lastModifiedBy>
  <cp:revision>1</cp:revision>
  <dcterms:created xsi:type="dcterms:W3CDTF">2026-08-22T16:40:07.529Z</dcterms:created>
  <dcterms:modified xsi:type="dcterms:W3CDTF">2026-08-22T16:40:07.542Z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