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PROTOCOLE D’ÉVALUATION</w:t>
      </w:r>
    </w:p>
    <w:p>
      <w:pPr>
        <w:spacing w:after="460"/>
        <w:jc w:val="center"/>
      </w:pPr>
      <w:r>
        <w:rPr>
          <w:rFonts w:ascii="Calibri" w:cs="Calibri" w:eastAsia="Calibri" w:hAnsi="Calibri"/>
          <w:sz w:val="21"/>
          <w:szCs w:val="21"/>
        </w:rPr>
        <w:t xml:space="preserve">Générateur à base d’agents, jeu de données gelé, métriques, comparaison règles contre apprentissage, analyse de sensibilité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ISC-EVAL</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REVIEW — partiellement PROVISOIRE (§3.5 et §4.1 dépendent de SPIKE-5)</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 août 2026</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 Yaniv (propriétaire)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ISC-SRS v1.2 (QR-1 à QR-5, EAR-01 à EAR-11) ; ISC-TM v1.1 (AC-01 à AC-13) ; ISC-TEST v1.0 (vocabulaire de vérification) ; ISC-ADD v1.0</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Objet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Fixer, avant toute mesure, la manière dont les hypothèses H1 à H5 seront statuées : composition du jeu de données, protocole expérimental, métriques, seuils, procédure de comparaison et limites de validité.</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Principe directeur</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ce qui pourrait être ajusté après avoir vu les résultats est fixé ici. Un protocole écrit après les mesures n’est pas un protocole.</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1. Objet et frontière avec le test</w:t>
      </w:r>
    </w:p>
    <w:p>
      <w:pPr>
        <w:spacing w:after="100" w:line="264"/>
      </w:pPr>
      <w:r>
        <w:rPr>
          <w:rFonts w:ascii="Calibri" w:cs="Calibri" w:eastAsia="Calibri" w:hAnsi="Calibri"/>
          <w:sz w:val="21"/>
          <w:szCs w:val="21"/>
        </w:rPr>
        <w:t xml:space="preserve">ISC-TEST répond à : le système fait-il ce qui est spécifié ? Verdict binaire, par cas. Le présent document répond à : la méthode est-elle efficace, sur quelle population, à quel coût de friction, et comparée à quoi ? Réponse numérique, avec intervalle et limites. Un T-AC vert prouve qu’un scénario est bloqué ; il ne dit rien du taux de faux positifs sur mille commerçants.</w:t>
      </w:r>
    </w:p>
    <w:p>
      <w:pPr>
        <w:pStyle w:val="Heading2"/>
        <w:spacing w:after="100" w:before="220"/>
      </w:pPr>
      <w:r>
        <w:rPr>
          <w:rFonts w:ascii="Calibri" w:cs="Calibri" w:eastAsia="Calibri" w:hAnsi="Calibri"/>
        </w:rPr>
        <w:t xml:space="preserve">1.1 Menace principale sur la validité</w:t>
      </w:r>
    </w:p>
    <w:p>
      <w:pPr>
        <w:spacing w:after="100" w:line="264"/>
      </w:pPr>
      <w:r>
        <w:rPr>
          <w:rFonts w:ascii="Calibri" w:cs="Calibri" w:eastAsia="Calibri" w:hAnsi="Calibri"/>
          <w:sz w:val="21"/>
          <w:szCs w:val="21"/>
        </w:rPr>
        <w:t xml:space="preserve">Le risque R-03 est la critique de circularité : le candidat conçoit l’attaquant, le défenseur et les données. Quatre dispositifs y répondent, et ils structurent tout ce document : le gel du jeu de données avant tout réglage (§3.6), la fixation des seuils avant mesure (§5.4), la présence de scénarios que le système est censé mal traiter (§4.3), et la validation externe du générateur contre des sources publiques (§3.7).</w:t>
      </w:r>
    </w:p>
    <w:p>
      <w:pPr>
        <w:pStyle w:val="Heading1"/>
        <w:spacing w:after="140" w:before="320"/>
      </w:pPr>
      <w:r>
        <w:rPr>
          <w:rFonts w:ascii="Calibri" w:cs="Calibri" w:eastAsia="Calibri" w:hAnsi="Calibri"/>
        </w:rPr>
        <w:t xml:space="preserve">2. Questions, hypothèses et conditions de réfutation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400"/>
        <w:gridCol w:w="3300"/>
      </w:tblGrid>
      <w:tr>
        <w:trPr>
          <w:tblHeader/>
        </w:trPr>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Hypothèse (figée avant mesure)</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Statuée par</w:t>
            </w:r>
          </w:p>
        </w:tc>
        <w:tc>
          <w:tcPr>
            <w:tcW w:type="dxa" w:w="3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Réfutée si</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H1</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Le device binding neutralise 100 % des cas d’abus par SIM swap sur le canal application : AC-03 et AC-11 refusés systématiquement.</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EXP-1</w:t>
            </w:r>
          </w:p>
        </w:tc>
        <w:tc>
          <w:tcPr>
            <w:tcW w:type="dxa" w:w="3300"/>
            <w:tcMar>
              <w:top w:type="dxa" w:w="50"/>
              <w:left w:type="dxa" w:w="90"/>
              <w:bottom w:type="dxa" w:w="50"/>
              <w:right w:type="dxa" w:w="90"/>
            </w:tcMar>
          </w:tcPr>
          <w:p>
            <w:pPr>
              <w:spacing w:after="30" w:line="240"/>
            </w:pPr>
            <w:r>
              <w:rPr>
                <w:rFonts w:ascii="Calibri" w:cs="Calibri" w:eastAsia="Calibri" w:hAnsi="Calibri"/>
                <w:sz w:val="18"/>
                <w:szCs w:val="18"/>
              </w:rPr>
              <w:t xml:space="preserve">Au moins une sortie exécutée sans signature valide.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H2</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 USSD avec signal IMSI : blocage ou plafonnement de AC-02, 04, 05, 06 dans 100 % des cas, perte ≤ CAP_PROB sur AC-07. Sans signal IMSI : rappel &gt; 70 % et FPR &lt; 5 % par persona sur AC-04, 05, 06 ; rappel proche de zéro sur AC-07.</w:t>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EXP-2, EXP-3</w:t>
            </w:r>
          </w:p>
        </w:tc>
        <w:tc>
          <w:tcPr>
            <w:tcW w:type="dxa" w:w="3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Rappel &lt; 70 % ou FPR &gt; 5 % sur au moins un persona ; ou AC-07 détecté sans IMSI, ce qui révélerait un biais du générateur.</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H3</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L’écart de rappel entre moteur de règles et modèle appris est inférieur à 5 points, à explicabilité très supérieure pour les règles.</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EXP-4</w:t>
            </w:r>
          </w:p>
        </w:tc>
        <w:tc>
          <w:tcPr>
            <w:tcW w:type="dxa" w:w="3300"/>
            <w:tcMar>
              <w:top w:type="dxa" w:w="50"/>
              <w:left w:type="dxa" w:w="90"/>
              <w:bottom w:type="dxa" w:w="50"/>
              <w:right w:type="dxa" w:w="90"/>
            </w:tcMar>
          </w:tcPr>
          <w:p>
            <w:pPr>
              <w:spacing w:after="30" w:line="240"/>
            </w:pPr>
            <w:r>
              <w:rPr>
                <w:rFonts w:ascii="Calibri" w:cs="Calibri" w:eastAsia="Calibri" w:hAnsi="Calibri"/>
                <w:sz w:val="18"/>
                <w:szCs w:val="18"/>
              </w:rPr>
              <w:t xml:space="preserve">Écart &gt; 5 points en faveur du modèle appris.</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H4</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Une carence CAR_IMSI de 72 h bloque AC-04 alors que 24 h ne le bloque pas, pour une friction inférieure à 1 % des transactions légitimes.</w:t>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EXP-5</w:t>
            </w:r>
          </w:p>
        </w:tc>
        <w:tc>
          <w:tcPr>
            <w:tcW w:type="dxa" w:w="3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Friction &gt; 1 % à 72 h, ou AC-04 bloqué dès 24 h (ce qui invaliderait le choix du paramètre).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H5</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Le fail-closed au-dessus de CAP_PROB affecte moins de 2 % des transactions légitimes pendant une indisponibilité de 10 minutes.</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EXP-6</w:t>
            </w:r>
          </w:p>
        </w:tc>
        <w:tc>
          <w:tcPr>
            <w:tcW w:type="dxa" w:w="3300"/>
            <w:tcMar>
              <w:top w:type="dxa" w:w="50"/>
              <w:left w:type="dxa" w:w="90"/>
              <w:bottom w:type="dxa" w:w="50"/>
              <w:right w:type="dxa" w:w="90"/>
            </w:tcMar>
          </w:tcPr>
          <w:p>
            <w:pPr>
              <w:spacing w:after="30" w:line="240"/>
            </w:pPr>
            <w:r>
              <w:rPr>
                <w:rFonts w:ascii="Calibri" w:cs="Calibri" w:eastAsia="Calibri" w:hAnsi="Calibri"/>
                <w:sz w:val="18"/>
                <w:szCs w:val="18"/>
              </w:rPr>
              <w:t xml:space="preserve">&gt; 2 %.</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Une hypothèse réfutée est un résultat publiable et sera présentée comme tel. Aucune hypothèse, aucun seuil et aucune définition de métrique ne sera modifié après la première exécution de la campagne. Toute modification ultérieure exige un ADR, est datée, et la version précédente reste publiée.</w:t>
            </w:r>
          </w:p>
        </w:tc>
      </w:tr>
    </w:tbl>
    <w:p>
      <w:pPr>
        <w:pStyle w:val="Heading1"/>
        <w:spacing w:after="140" w:before="320"/>
      </w:pPr>
      <w:r>
        <w:rPr>
          <w:rFonts w:ascii="Calibri" w:cs="Calibri" w:eastAsia="Calibri" w:hAnsi="Calibri"/>
        </w:rPr>
        <w:t xml:space="preserve">3. Jeu de données</w:t>
      </w:r>
    </w:p>
    <w:p>
      <w:pPr>
        <w:pStyle w:val="Heading2"/>
        <w:spacing w:after="100" w:before="220"/>
      </w:pPr>
      <w:r>
        <w:rPr>
          <w:rFonts w:ascii="Calibri" w:cs="Calibri" w:eastAsia="Calibri" w:hAnsi="Calibri"/>
        </w:rPr>
        <w:t xml:space="preserve">3.1 Nature</w:t>
      </w:r>
    </w:p>
    <w:p>
      <w:pPr>
        <w:spacing w:after="100" w:line="264"/>
      </w:pPr>
      <w:r>
        <w:rPr>
          <w:rFonts w:ascii="Calibri" w:cs="Calibri" w:eastAsia="Calibri" w:hAnsi="Calibri"/>
          <w:sz w:val="21"/>
          <w:szCs w:val="21"/>
        </w:rPr>
        <w:t xml:space="preserve">Données entièrement synthétiques, produites par une simulation à base d’agents calibrée sur sources publiques. Aucune donnée réelle, aucun relevé de transaction, aucune donnée personnelle (EAR-10). Filiation méthodologique : PaySim (2016) et MoMTSim (2025) ; différenciation : calibration camerounaise, double canal application et USSD, et bouclage avec le point de décision.</w:t>
      </w:r>
    </w:p>
    <w:p>
      <w:pPr>
        <w:pStyle w:val="Heading2"/>
        <w:spacing w:after="100" w:before="220"/>
      </w:pPr>
      <w:r>
        <w:rPr>
          <w:rFonts w:ascii="Calibri" w:cs="Calibri" w:eastAsia="Calibri" w:hAnsi="Calibri"/>
        </w:rPr>
        <w:t xml:space="preserve">3.2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4400"/>
        <w:gridCol w:w="20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Persona</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Part</w:t>
            </w:r>
          </w:p>
        </w:tc>
        <w:tc>
          <w:tcPr>
            <w:tcW w:type="dxa" w:w="4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Comportement caractéristique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Canal dominant</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Commerçant de marché</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15 %</w:t>
            </w:r>
          </w:p>
        </w:tc>
        <w:tc>
          <w:tcPr>
            <w:tcW w:type="dxa" w:w="4400"/>
            <w:tcMar>
              <w:top w:type="dxa" w:w="50"/>
              <w:left w:type="dxa" w:w="90"/>
              <w:bottom w:type="dxa" w:w="50"/>
              <w:right w:type="dxa" w:w="90"/>
            </w:tcMar>
          </w:tcPr>
          <w:p>
            <w:pPr>
              <w:spacing w:after="30" w:line="240"/>
            </w:pPr>
            <w:r>
              <w:rPr>
                <w:rFonts w:ascii="Calibri" w:cs="Calibri" w:eastAsia="Calibri" w:hAnsi="Calibri"/>
                <w:sz w:val="18"/>
                <w:szCs w:val="18"/>
              </w:rPr>
              <w:t xml:space="preserve">Nombreux petits encaissements en journée, cash-out en fin de journée, bénéficiaires très variés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USSD</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Étudiant</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20 %</w:t>
            </w:r>
          </w:p>
        </w:tc>
        <w:tc>
          <w:tcPr>
            <w:tcW w:type="dxa" w:w="4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Faible volume, pics en début de mois, achats de crédit fréquents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Application</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Salarié urbain</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25 %</w:t>
            </w:r>
          </w:p>
        </w:tc>
        <w:tc>
          <w:tcPr>
            <w:tcW w:type="dxa" w:w="4400"/>
            <w:tcMar>
              <w:top w:type="dxa" w:w="50"/>
              <w:left w:type="dxa" w:w="90"/>
              <w:bottom w:type="dxa" w:w="50"/>
              <w:right w:type="dxa" w:w="90"/>
            </w:tcMar>
          </w:tcPr>
          <w:p>
            <w:pPr>
              <w:spacing w:after="30" w:line="240"/>
            </w:pPr>
            <w:r>
              <w:rPr>
                <w:rFonts w:ascii="Calibri" w:cs="Calibri" w:eastAsia="Calibri" w:hAnsi="Calibri"/>
                <w:sz w:val="18"/>
                <w:szCs w:val="18"/>
              </w:rPr>
              <w:t xml:space="preserve">Dépôt autour du 25–30, factures, transferts familiaux réguliers vers 2 à 4 bénéficiaires stables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Application</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Proche au village</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30 %</w:t>
            </w:r>
          </w:p>
        </w:tc>
        <w:tc>
          <w:tcPr>
            <w:tcW w:type="dxa" w:w="4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Reçoit principalement, cash-out chez l’agent, très peu de sorties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USSD</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Agent Mobile Money</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10 %</w:t>
            </w:r>
          </w:p>
        </w:tc>
        <w:tc>
          <w:tcPr>
            <w:tcW w:type="dxa" w:w="4400"/>
            <w:tcMar>
              <w:top w:type="dxa" w:w="50"/>
              <w:left w:type="dxa" w:w="90"/>
              <w:bottom w:type="dxa" w:w="50"/>
              <w:right w:type="dxa" w:w="90"/>
            </w:tcMar>
          </w:tcPr>
          <w:p>
            <w:pPr>
              <w:spacing w:after="30" w:line="240"/>
            </w:pPr>
            <w:r>
              <w:rPr>
                <w:rFonts w:ascii="Calibri" w:cs="Calibri" w:eastAsia="Calibri" w:hAnsi="Calibri"/>
                <w:sz w:val="18"/>
                <w:szCs w:val="18"/>
              </w:rPr>
              <w:t xml:space="preserve">Gros volumes, cash-in et cash-out, nombreux correspondants, activité étendue en soirée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USSD</w:t>
            </w:r>
          </w:p>
        </w:tc>
      </w:tr>
    </w:tbl>
    <w:p>
      <w:pPr>
        <w:spacing w:after="80"/>
      </w:pPr>
    </w:p>
    <w:p>
      <w:pPr>
        <w:spacing w:after="100" w:line="264"/>
      </w:pPr>
      <w:r>
        <w:rPr>
          <w:rFonts w:ascii="Calibri" w:cs="Calibri" w:eastAsia="Calibri" w:hAnsi="Calibri"/>
          <w:sz w:val="21"/>
          <w:szCs w:val="21"/>
        </w:rPr>
        <w:t xml:space="preserve">Les parts sont des paramètres versionnés, non des constantes. Elles sont justifiées dans le rapport de plausibilité et ajustables entre versions de jeu, jamais à l’intérieur d’une version.</w:t>
      </w:r>
    </w:p>
    <w:p>
      <w:pPr>
        <w:pStyle w:val="Heading2"/>
        <w:spacing w:after="100" w:before="220"/>
      </w:pPr>
      <w:r>
        <w:rPr>
          <w:rFonts w:ascii="Calibri" w:cs="Calibri" w:eastAsia="Calibri" w:hAnsi="Calibri"/>
        </w:rPr>
        <w:t xml:space="preserve">3.3 Dimensions modélisées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Dimension</w:t>
            </w:r>
          </w:p>
        </w:tc>
        <w:tc>
          <w:tcPr>
            <w:tcW w:type="dxa" w:w="7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Modélisation</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Temps</w:t>
            </w:r>
          </w:p>
        </w:tc>
        <w:tc>
          <w:tcPr>
            <w:tcW w:type="dxa" w:w="7300"/>
            <w:tcMar>
              <w:top w:type="dxa" w:w="50"/>
              <w:left w:type="dxa" w:w="90"/>
              <w:bottom w:type="dxa" w:w="50"/>
              <w:right w:type="dxa" w:w="90"/>
            </w:tcMar>
          </w:tcPr>
          <w:p>
            <w:pPr>
              <w:spacing w:after="30" w:line="240"/>
            </w:pPr>
            <w:r>
              <w:rPr>
                <w:rFonts w:ascii="Calibri" w:cs="Calibri" w:eastAsia="Calibri" w:hAnsi="Calibri"/>
                <w:sz w:val="18"/>
                <w:szCs w:val="18"/>
              </w:rPr>
              <w:t xml:space="preserve">Pas horaire, 6 mois simulés ; saisonnalité : fin de mois, rentrée scolaire, fêtes de fin d’année, tontines hebdomadaires</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Montants</w:t>
            </w:r>
          </w:p>
        </w:tc>
        <w:tc>
          <w:tcPr>
            <w:tcW w:type="dxa" w:w="7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Distribution log-normale par persona et par type d’opération, bornée ; montants entiers en FCFA</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Types</w:t>
            </w:r>
          </w:p>
        </w:tc>
        <w:tc>
          <w:tcPr>
            <w:tcW w:type="dxa" w:w="7300"/>
            <w:tcMar>
              <w:top w:type="dxa" w:w="50"/>
              <w:left w:type="dxa" w:w="90"/>
              <w:bottom w:type="dxa" w:w="50"/>
              <w:right w:type="dxa" w:w="90"/>
            </w:tcMar>
          </w:tcPr>
          <w:p>
            <w:pPr>
              <w:spacing w:after="30" w:line="240"/>
            </w:pPr>
            <w:r>
              <w:rPr>
                <w:rFonts w:ascii="Calibri" w:cs="Calibri" w:eastAsia="Calibri" w:hAnsi="Calibri"/>
                <w:sz w:val="18"/>
                <w:szCs w:val="18"/>
              </w:rPr>
              <w:t xml:space="preserve">P2P, cash-in, cash-out, paiement marchand, facture, achat de crédit</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Bénéficiaires</w:t>
            </w:r>
          </w:p>
        </w:tc>
        <w:tc>
          <w:tcPr>
            <w:tcW w:type="dxa" w:w="7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Réseau social par agent : noyau stable de 2 à 6 correspondants, plus une queue de bénéficiaires occasionnels ; probabilité paramétrée d’un bénéficiaire inédit</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Localité</w:t>
            </w:r>
          </w:p>
        </w:tc>
        <w:tc>
          <w:tcPr>
            <w:tcW w:type="dxa" w:w="7300"/>
            <w:tcMar>
              <w:top w:type="dxa" w:w="50"/>
              <w:left w:type="dxa" w:w="90"/>
              <w:bottom w:type="dxa" w:w="50"/>
              <w:right w:type="dxa" w:w="90"/>
            </w:tcMar>
          </w:tcPr>
          <w:p>
            <w:pPr>
              <w:spacing w:after="30" w:line="240"/>
            </w:pPr>
            <w:r>
              <w:rPr>
                <w:rFonts w:ascii="Calibri" w:cs="Calibri" w:eastAsia="Calibri" w:hAnsi="Calibri"/>
                <w:sz w:val="18"/>
                <w:szCs w:val="18"/>
              </w:rPr>
              <w:t xml:space="preserve">1 à 3 cellules habituelles par agent ; probabilité de déplacement paramétrée (ED-10)</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Appareil</w:t>
            </w:r>
          </w:p>
        </w:tc>
        <w:tc>
          <w:tcPr>
            <w:tcW w:type="dxa" w:w="7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IMSI stable ; changement légitime rare, modélisé explicitement (perte, vol, défaut) — indispensable pour mesurer la friction (EXP-5)</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Canal</w:t>
            </w:r>
          </w:p>
        </w:tc>
        <w:tc>
          <w:tcPr>
            <w:tcW w:type="dxa" w:w="7300"/>
            <w:tcMar>
              <w:top w:type="dxa" w:w="50"/>
              <w:left w:type="dxa" w:w="90"/>
              <w:bottom w:type="dxa" w:w="50"/>
              <w:right w:type="dxa" w:w="90"/>
            </w:tcMar>
          </w:tcPr>
          <w:p>
            <w:pPr>
              <w:spacing w:after="30" w:line="240"/>
            </w:pPr>
            <w:r>
              <w:rPr>
                <w:rFonts w:ascii="Calibri" w:cs="Calibri" w:eastAsia="Calibri" w:hAnsi="Calibri"/>
                <w:sz w:val="18"/>
                <w:szCs w:val="18"/>
              </w:rPr>
              <w:t xml:space="preserve">Fixé par persona avec une probabilité de bascule ; certains agents sont USSD-only, population critique pour QR-2</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La modélisation du remplacement de SIM légitime est le point le plus souvent oublié dans ce type de simulateur. Sans lui, la friction mesurée serait nulle par construction et H4 serait invalidable : le générateur produirait la réponse attendue au lieu de la mesurer.</w:t>
            </w:r>
          </w:p>
        </w:tc>
      </w:tr>
    </w:tbl>
    <w:p>
      <w:pPr>
        <w:pStyle w:val="Heading2"/>
        <w:spacing w:after="100" w:before="220"/>
      </w:pPr>
      <w:r>
        <w:rPr>
          <w:rFonts w:ascii="Calibri" w:cs="Calibri" w:eastAsia="Calibri" w:hAnsi="Calibri"/>
        </w:rPr>
        <w:t xml:space="preserve">3.4 Injection des attaques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7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Règle</w:t>
            </w:r>
          </w:p>
        </w:tc>
      </w:tr>
      <w:tr>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Scénarios</w:t>
            </w:r>
          </w:p>
        </w:tc>
        <w:tc>
          <w:tcPr>
            <w:tcW w:type="dxa" w:w="7500"/>
            <w:tcMar>
              <w:top w:type="dxa" w:w="50"/>
              <w:left w:type="dxa" w:w="90"/>
              <w:bottom w:type="dxa" w:w="50"/>
              <w:right w:type="dxa" w:w="90"/>
            </w:tcMar>
          </w:tcPr>
          <w:p>
            <w:pPr>
              <w:spacing w:after="30" w:line="240"/>
            </w:pPr>
            <w:r>
              <w:rPr>
                <w:rFonts w:ascii="Calibri" w:cs="Calibri" w:eastAsia="Calibri" w:hAnsi="Calibri"/>
                <w:sz w:val="18"/>
                <w:szCs w:val="18"/>
              </w:rPr>
              <w:t xml:space="preserve">AC-01 à AC-13, paramétrés (instant, montant, nombre de bénéficiaires, délai post-swap)</w:t>
            </w:r>
          </w:p>
        </w:tc>
      </w:tr>
      <w:tr>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Victimes</w:t>
            </w:r>
          </w:p>
        </w:tc>
        <w:tc>
          <w:tcPr>
            <w:tcW w:type="dxa" w:w="7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Tirées aléatoirement, stratifiées par persona pour que chaque profil soit attaqué</w:t>
            </w:r>
          </w:p>
        </w:tc>
      </w:tr>
      <w:tr>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Prévalence</w:t>
            </w:r>
          </w:p>
        </w:tc>
        <w:tc>
          <w:tcPr>
            <w:tcW w:type="dxa" w:w="7500"/>
            <w:tcMar>
              <w:top w:type="dxa" w:w="50"/>
              <w:left w:type="dxa" w:w="90"/>
              <w:bottom w:type="dxa" w:w="50"/>
              <w:right w:type="dxa" w:w="90"/>
            </w:tcMar>
          </w:tcPr>
          <w:p>
            <w:pPr>
              <w:spacing w:after="30" w:line="240"/>
            </w:pPr>
            <w:r>
              <w:rPr>
                <w:rFonts w:ascii="Calibri" w:cs="Calibri" w:eastAsia="Calibri" w:hAnsi="Calibri"/>
                <w:sz w:val="18"/>
                <w:szCs w:val="18"/>
              </w:rPr>
              <w:t xml:space="preserve">Paramètre versionné, valeur initiale 0,5 % des comptes attaqués sur la période ; l’influence de la prévalence sur les métriques est mesurée (§6.3)</w:t>
            </w:r>
          </w:p>
        </w:tc>
      </w:tr>
      <w:tr>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Étiquetage</w:t>
            </w:r>
          </w:p>
        </w:tc>
        <w:tc>
          <w:tcPr>
            <w:tcW w:type="dxa" w:w="7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Chaque transaction porte : légitime ou frauduleuse, scénario d’origine, identifiant de victime, instant du swap le cas échéant</w:t>
            </w:r>
          </w:p>
        </w:tc>
      </w:tr>
      <w:tr>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Indépendance</w:t>
            </w:r>
          </w:p>
        </w:tc>
        <w:tc>
          <w:tcPr>
            <w:tcW w:type="dxa" w:w="7500"/>
            <w:tcMar>
              <w:top w:type="dxa" w:w="50"/>
              <w:left w:type="dxa" w:w="90"/>
              <w:bottom w:type="dxa" w:w="50"/>
              <w:right w:type="dxa" w:w="90"/>
            </w:tcMar>
          </w:tcPr>
          <w:p>
            <w:pPr>
              <w:spacing w:after="30" w:line="240"/>
            </w:pPr>
            <w:r>
              <w:rPr>
                <w:rFonts w:ascii="Calibri" w:cs="Calibri" w:eastAsia="Calibri" w:hAnsi="Calibri"/>
                <w:sz w:val="18"/>
                <w:szCs w:val="18"/>
              </w:rPr>
              <w:t xml:space="preserve">Les paramètres d’attaque sont fixés avant tout réglage du moteur ; ils ne sont jamais ajustés pour améliorer un résultat</w:t>
            </w:r>
          </w:p>
        </w:tc>
      </w:tr>
    </w:tbl>
    <w:p>
      <w:pPr>
        <w:spacing w:after="80"/>
      </w:pPr>
    </w:p>
    <w:p>
      <w:pPr>
        <w:pStyle w:val="Heading2"/>
        <w:spacing w:after="100" w:before="220"/>
      </w:pPr>
      <w:r>
        <w:rPr>
          <w:rFonts w:ascii="Calibri" w:cs="Calibri" w:eastAsia="Calibri" w:hAnsi="Calibri"/>
        </w:rPr>
        <w:t xml:space="preserve">3.5 Volume — PROVISOIRE (SPIKE-5)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Paramètre</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 cible</w:t>
            </w:r>
          </w:p>
        </w:tc>
        <w:tc>
          <w:tcPr>
            <w:tcW w:type="dxa" w:w="4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Agents</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1 000</w:t>
            </w:r>
          </w:p>
        </w:tc>
        <w:tc>
          <w:tcPr>
            <w:tcW w:type="dxa" w:w="44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Durée simulée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 mois</w:t>
            </w:r>
          </w:p>
        </w:tc>
        <w:tc>
          <w:tcPr>
            <w:tcW w:type="dxa" w:w="4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Transactions</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 500 000</w:t>
            </w:r>
          </w:p>
        </w:tc>
        <w:tc>
          <w:tcPr>
            <w:tcW w:type="dxa" w:w="4400"/>
            <w:tcMar>
              <w:top w:type="dxa" w:w="50"/>
              <w:left w:type="dxa" w:w="90"/>
              <w:bottom w:type="dxa" w:w="50"/>
              <w:right w:type="dxa" w:w="90"/>
            </w:tcMar>
          </w:tcPr>
          <w:p>
            <w:pPr>
              <w:spacing w:after="30" w:line="240"/>
            </w:pPr>
            <w:r>
              <w:rPr>
                <w:rFonts w:ascii="Calibri" w:cs="Calibri" w:eastAsia="Calibri" w:hAnsi="Calibri"/>
                <w:sz w:val="18"/>
                <w:szCs w:val="18"/>
              </w:rPr>
              <w:t xml:space="preserve">PROVISOIRE : dépend du débit d’injection mesuré par SPIKE-5 (RA-06)</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Comptes attaqués</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5 (0,5 %)</w:t>
            </w:r>
          </w:p>
        </w:tc>
        <w:tc>
          <w:tcPr>
            <w:tcW w:type="dxa" w:w="4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Durée d’une campagne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&lt; 30 min</w:t>
            </w:r>
          </w:p>
        </w:tc>
        <w:tc>
          <w:tcPr>
            <w:tcW w:type="dxa" w:w="4400"/>
            <w:tcMar>
              <w:top w:type="dxa" w:w="50"/>
              <w:left w:type="dxa" w:w="90"/>
              <w:bottom w:type="dxa" w:w="50"/>
              <w:right w:type="dxa" w:w="90"/>
            </w:tcMar>
          </w:tcPr>
          <w:p>
            <w:pPr>
              <w:spacing w:after="30" w:line="240"/>
            </w:pPr>
            <w:r>
              <w:rPr>
                <w:rFonts w:ascii="Calibri" w:cs="Calibri" w:eastAsia="Calibri" w:hAnsi="Calibri"/>
                <w:sz w:val="18"/>
                <w:szCs w:val="18"/>
              </w:rPr>
              <w:t xml:space="preserve">PROVISOIRE</w:t>
            </w:r>
          </w:p>
        </w:tc>
      </w:tr>
    </w:tbl>
    <w:p>
      <w:pPr>
        <w:spacing w:after="80"/>
      </w:pPr>
    </w:p>
    <w:p>
      <w:pPr>
        <w:spacing w:after="100" w:line="264"/>
      </w:pPr>
      <w:r>
        <w:rPr>
          <w:rFonts w:ascii="Calibri" w:cs="Calibri" w:eastAsia="Calibri" w:hAnsi="Calibri"/>
          <w:sz w:val="21"/>
          <w:szCs w:val="21"/>
        </w:rPr>
        <w:t xml:space="preserve">Si SPIKE-5 démontre que le débit est insuffisant, deux ajustements sont prévus, par ordre de préférence : changer le mode d’injection (appel direct plutôt qu’appel HTTP par transaction, ADR-017), puis seulement, si nécessaire, réduire la durée simulée à 3 mois en conservant 1 000 agents. Réduire le nombre d’agents est exclu : la stratification par persona perdrait sa puissance statistique.</w:t>
      </w:r>
    </w:p>
    <w:p>
      <w:pPr>
        <w:pStyle w:val="Heading2"/>
        <w:spacing w:after="100" w:before="220"/>
      </w:pPr>
      <w:r>
        <w:rPr>
          <w:rFonts w:ascii="Calibri" w:cs="Calibri" w:eastAsia="Calibri" w:hAnsi="Calibri"/>
        </w:rPr>
        <w:t xml:space="preserve">3.6 Gel et versionnement</w:t>
      </w:r>
    </w:p>
    <w:p>
      <w:pPr>
        <w:pStyle w:val="ListParagraph"/>
        <w:numPr>
          <w:ilvl w:val="0"/>
          <w:numId w:val="2"/>
        </w:numPr>
        <w:spacing w:after="60" w:line="264"/>
      </w:pPr>
      <w:r>
        <w:rPr>
          <w:rFonts w:ascii="Calibri" w:cs="Calibri" w:eastAsia="Calibri" w:hAnsi="Calibri"/>
          <w:sz w:val="21"/>
          <w:szCs w:val="21"/>
        </w:rPr>
        <w:t xml:space="preserve">Le jeu v1 est produit, contrôlé par le rapport de plausibilité, puis gelé : empreinte SHA-256 publiée dans le dépôt, fichier de paramètres versionné joint.</w:t>
      </w:r>
    </w:p>
    <w:p>
      <w:pPr>
        <w:pStyle w:val="ListParagraph"/>
        <w:numPr>
          <w:ilvl w:val="0"/>
          <w:numId w:val="2"/>
        </w:numPr>
        <w:spacing w:after="60" w:line="264"/>
      </w:pPr>
      <w:r>
        <w:rPr>
          <w:rFonts w:ascii="Calibri" w:cs="Calibri" w:eastAsia="Calibri" w:hAnsi="Calibri"/>
          <w:sz w:val="21"/>
          <w:szCs w:val="21"/>
        </w:rPr>
        <w:t xml:space="preserve">Le gel intervient AVANT tout réglage des poids du moteur de règles. Cette antériorité est prouvée par l’horodatage des commits.</w:t>
      </w:r>
    </w:p>
    <w:p>
      <w:pPr>
        <w:pStyle w:val="ListParagraph"/>
        <w:numPr>
          <w:ilvl w:val="0"/>
          <w:numId w:val="2"/>
        </w:numPr>
        <w:spacing w:after="60" w:line="264"/>
      </w:pPr>
      <w:r>
        <w:rPr>
          <w:rFonts w:ascii="Calibri" w:cs="Calibri" w:eastAsia="Calibri" w:hAnsi="Calibri"/>
          <w:sz w:val="21"/>
          <w:szCs w:val="21"/>
        </w:rPr>
        <w:t xml:space="preserve">Un jeu de développement séparé, de plus petite taille et de graine différente, sert au réglage et au débogage. Le jeu v1 n’est jamais utilisé pour régler quoi que ce soit.</w:t>
      </w:r>
    </w:p>
    <w:p>
      <w:pPr>
        <w:pStyle w:val="ListParagraph"/>
        <w:numPr>
          <w:ilvl w:val="0"/>
          <w:numId w:val="2"/>
        </w:numPr>
        <w:spacing w:after="60" w:line="264"/>
      </w:pPr>
      <w:r>
        <w:rPr>
          <w:rFonts w:ascii="Calibri" w:cs="Calibri" w:eastAsia="Calibri" w:hAnsi="Calibri"/>
          <w:sz w:val="21"/>
          <w:szCs w:val="21"/>
        </w:rPr>
        <w:t xml:space="preserve">Toute modification des paramètres du générateur produit un jeu v2, v3, etc. Les jeux antérieurs ne sont ni supprimés ni écrasés.</w:t>
      </w:r>
    </w:p>
    <w:p>
      <w:pPr>
        <w:pStyle w:val="ListParagraph"/>
        <w:numPr>
          <w:ilvl w:val="0"/>
          <w:numId w:val="2"/>
        </w:numPr>
        <w:spacing w:after="60" w:line="264"/>
      </w:pPr>
      <w:r>
        <w:rPr>
          <w:rFonts w:ascii="Calibri" w:cs="Calibri" w:eastAsia="Calibri" w:hAnsi="Calibri"/>
          <w:sz w:val="21"/>
          <w:szCs w:val="21"/>
        </w:rPr>
        <w:t xml:space="preserve">Le déterminisme est vérifié : deux générations à graine identique produisent la même empreinte (EAR-04).</w:t>
      </w:r>
    </w:p>
    <w:p>
      <w:pPr>
        <w:pStyle w:val="Heading2"/>
        <w:spacing w:after="100" w:before="220"/>
      </w:pPr>
      <w:r>
        <w:rPr>
          <w:rFonts w:ascii="Calibri" w:cs="Calibri" w:eastAsia="Calibri" w:hAnsi="Calibri"/>
        </w:rPr>
        <w:t xml:space="preserve">3.7 Rapport de plausibilité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Agrégat produit</w:t>
            </w:r>
          </w:p>
        </w:tc>
        <w:tc>
          <w:tcPr>
            <w:tcW w:type="dxa" w:w="3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Comparé à</w:t>
            </w:r>
          </w:p>
        </w:tc>
        <w:tc>
          <w:tcPr>
            <w:tcW w:type="dxa" w:w="3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Traitement de l’écart</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Distribution des montants par type</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Rapports publics du secteur (GSMA, BEAC), littérature (MoMTSim, PaySim)</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Documenté avec sa magnitude et son sens ; non corrigé après le gel</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Répartition par type d’opération</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Idem</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Idem</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Profil horaire agrégé</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Idem</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Idem</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Part du canal USSD</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Idem</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Écart particulièrement surveillé : il conditionne la portée de QR-2</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Nombre de bénéficiaires distincts par compte</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Littérature</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Idem</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Fréquence des changements d’IMSI légitimes</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Sources opérateurs si disponibles, sinon hypothèse déclarée</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Si aucune source, l’hypothèse est énoncée comme limite majeure : elle influence directement H4</w:t>
            </w:r>
          </w:p>
        </w:tc>
      </w:tr>
    </w:tbl>
    <w:p>
      <w:pPr>
        <w:spacing w:after="80"/>
      </w:pPr>
    </w:p>
    <w:p>
      <w:pPr>
        <w:spacing w:after="100" w:line="264"/>
      </w:pPr>
      <w:r>
        <w:rPr>
          <w:rFonts w:ascii="Calibri" w:cs="Calibri" w:eastAsia="Calibri" w:hAnsi="Calibri"/>
          <w:sz w:val="21"/>
          <w:szCs w:val="21"/>
        </w:rPr>
        <w:t xml:space="preserve">Le rapport de plausibilité est publié avec ses écarts. Un générateur dont on montre les limites vaut davantage qu’un générateur présenté comme fidèle.</w:t>
      </w:r>
    </w:p>
    <w:p>
      <w:pPr>
        <w:pStyle w:val="Heading1"/>
        <w:spacing w:after="140" w:before="320"/>
      </w:pPr>
      <w:r>
        <w:rPr>
          <w:rFonts w:ascii="Calibri" w:cs="Calibri" w:eastAsia="Calibri" w:hAnsi="Calibri"/>
        </w:rPr>
        <w:t xml:space="preserve">4. Plan expérimental</w:t>
      </w:r>
    </w:p>
    <w:p>
      <w:pPr>
        <w:pStyle w:val="Heading2"/>
        <w:spacing w:after="100" w:before="220"/>
      </w:pPr>
      <w:r>
        <w:rPr>
          <w:rFonts w:ascii="Calibri" w:cs="Calibri" w:eastAsia="Calibri" w:hAnsi="Calibri"/>
        </w:rPr>
        <w:t xml:space="preserve">4.1 Les six expériences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800"/>
        <w:gridCol w:w="2200"/>
      </w:tblGrid>
      <w:tr>
        <w:trPr>
          <w:tblHeader/>
        </w:trPr>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Dispositif</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Sortie</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EXP-1</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H1 — device binding sur canal application</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Rejeu de AC-03 et AC-11 sur tous les comptes du jeu disposant d’un dispositif enrôlé, avec variations de montant et de bénéficiaire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Taux de refus ; liste exhaustive des exceptions, s’il en existe</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EXP-2</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H2 avec signal IMSI</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Rejeu du jeu complet, PDP nominal, signal de changement d’IMSI disponible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Décision par transaction ; perte financière par scénario d’attaque</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EXP-3</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H2 sans signal IMSI (protection résiduelle)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Même jeu, signal IMSI masqué à l’entrée du PDP ; seul le score comportemental agit</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Rappel, précision, FPR par persona et par canal</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EXP-4</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H3 — règles contre apprentissage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Même jeu, mêmes découpages ; le modèle appris prédit sur les mêmes transactions que le moteur</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Tableau comparatif complet ; désaccords analysés</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EXP-5</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H4 — sensibilité à CAR_IMSI</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Rejeu du jeu sous CAR_IMSI ∈ {24 h, 48 h, 72 h, 7 j}, autres paramètres inchangés</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Courbe protection contre friction</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EXP-6</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H5 — coût du fail-closed</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Rejeu avec indisponibilité simulée du PDP de 10 min, répétée à différents moments de la journée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Part des transactions légitimes affectées</w:t>
            </w:r>
          </w:p>
        </w:tc>
      </w:tr>
    </w:tbl>
    <w:p>
      <w:pPr>
        <w:spacing w:after="80"/>
      </w:pPr>
    </w:p>
    <w:p>
      <w:pPr>
        <w:spacing w:after="100" w:line="264"/>
      </w:pPr>
      <w:r>
        <w:rPr>
          <w:rFonts w:ascii="Calibri" w:cs="Calibri" w:eastAsia="Calibri" w:hAnsi="Calibri"/>
          <w:sz w:val="21"/>
          <w:szCs w:val="21"/>
        </w:rPr>
        <w:t xml:space="preserve">Toutes les expériences s’exécutent sur le même jeu gelé v1 et sur la machine virtuelle de démonstration, seule plateforme dont les mesures sont publiables (ISC-DEPLOY §5.2). La configuration de la machine est reportée avec chaque résultat.</w:t>
      </w:r>
    </w:p>
    <w:p>
      <w:pPr>
        <w:pStyle w:val="Heading2"/>
        <w:spacing w:after="100" w:before="220"/>
      </w:pPr>
      <w:r>
        <w:rPr>
          <w:rFonts w:ascii="Calibri" w:cs="Calibri" w:eastAsia="Calibri" w:hAnsi="Calibri"/>
        </w:rPr>
        <w:t xml:space="preserve">4.2 Découpage des données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Emploi</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Part</w:t>
            </w:r>
          </w:p>
        </w:tc>
        <w:tc>
          <w:tcPr>
            <w:tcW w:type="dxa" w:w="4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Règle</w:t>
            </w:r>
          </w:p>
        </w:tc>
      </w:tr>
      <w:tr>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Réglage des poids du moteur de règles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0 % du jeu v1</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Effectué exclusivement sur le jeu de développement, avant le gel</w:t>
            </w:r>
          </w:p>
        </w:tc>
      </w:tr>
      <w:tr>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Entraînement du modèle appris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Premiers 60 % de la période simulée</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Découpage temporel, jamais aléatoire</w:t>
            </w:r>
          </w:p>
        </w:tc>
      </w:tr>
      <w:tr>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Validation (choix des hyperparamètres)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20 % suivants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Aucun regard sur le test</w:t>
            </w:r>
          </w:p>
        </w:tc>
      </w:tr>
      <w:tr>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 (résultats publiés)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20 % derniers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Utilisé une seule fois par modèle</w:t>
            </w:r>
          </w:p>
        </w:tc>
      </w:tr>
    </w:tbl>
    <w:p>
      <w:pPr>
        <w:spacing w:after="80"/>
      </w:pPr>
    </w:p>
    <w:p>
      <w:pPr>
        <w:spacing w:after="100" w:line="264"/>
      </w:pPr>
      <w:r>
        <w:rPr>
          <w:rFonts w:ascii="Calibri" w:cs="Calibri" w:eastAsia="Calibri" w:hAnsi="Calibri"/>
          <w:sz w:val="21"/>
          <w:szCs w:val="21"/>
        </w:rPr>
        <w:t xml:space="preserve">Le découpage est temporel et non aléatoire : un découpage aléatoire laisserait des transactions du même compte et du même épisode d’attaque des deux côtés, ce qui produirait une fuite d’information et des scores artificiellement élevés. Le moteur de règles étant évalué sur les mêmes 20 % finaux, la comparaison EXP-4 porte sur des transactions identiques.</w:t>
      </w:r>
    </w:p>
    <w:p>
      <w:pPr>
        <w:pStyle w:val="Heading2"/>
        <w:spacing w:after="100" w:before="220"/>
      </w:pPr>
      <w:r>
        <w:rPr>
          <w:rFonts w:ascii="Calibri" w:cs="Calibri" w:eastAsia="Calibri" w:hAnsi="Calibri"/>
        </w:rPr>
        <w:t xml:space="preserve">4.3 Scénarios témoins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Témoin</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Rôle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AC-07 sans signal IMSI</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Le système DOIT échouer à le détecter. Une détection révélerait que le générateur laisse une signature involontaire dans les transactions frauduleuses.</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AC-01</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 contre-mesure cryptographique n’a d’effet : la victime agit elle-même. Seul le ralentissement est mesuré.</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Population légitime pure</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Sous-ensemble sans aucune attaque injectée : le FPR y est mesuré sans contamination.</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Changements d’IMSI légitimes</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Population spécifique servant à mesurer la friction de EXP-5 indépendamment des attaques.</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La présence de témoins que le système est censé mal traiter est ce qui distingue une évaluation d’une démonstration. Un dispositif qui réussit partout n’a pas été éprouvé.</w:t>
            </w:r>
          </w:p>
        </w:tc>
      </w:tr>
    </w:tbl>
    <w:p>
      <w:pPr>
        <w:pStyle w:val="Heading1"/>
        <w:spacing w:after="140" w:before="320"/>
      </w:pPr>
      <w:r>
        <w:rPr>
          <w:rFonts w:ascii="Calibri" w:cs="Calibri" w:eastAsia="Calibri" w:hAnsi="Calibri"/>
        </w:rPr>
        <w:t xml:space="preserve">5. Métriques</w:t>
      </w:r>
    </w:p>
    <w:p>
      <w:pPr>
        <w:pStyle w:val="Heading2"/>
        <w:spacing w:after="100" w:before="220"/>
      </w:pPr>
      <w:r>
        <w:rPr>
          <w:rFonts w:ascii="Calibri" w:cs="Calibri" w:eastAsia="Calibri" w:hAnsi="Calibri"/>
        </w:rPr>
        <w:t xml:space="preserve">5.1 Définitions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Métrique</w:t>
            </w:r>
          </w:p>
        </w:tc>
        <w:tc>
          <w:tcPr>
            <w:tcW w:type="dxa" w:w="7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Définition opérationnelle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Vrai positif</w:t>
            </w:r>
          </w:p>
        </w:tc>
        <w:tc>
          <w:tcPr>
            <w:tcW w:type="dxa" w:w="7300"/>
            <w:tcMar>
              <w:top w:type="dxa" w:w="50"/>
              <w:left w:type="dxa" w:w="90"/>
              <w:bottom w:type="dxa" w:w="50"/>
              <w:right w:type="dxa" w:w="90"/>
            </w:tcMar>
          </w:tcPr>
          <w:p>
            <w:pPr>
              <w:spacing w:after="30" w:line="240"/>
            </w:pPr>
            <w:r>
              <w:rPr>
                <w:rFonts w:ascii="Calibri" w:cs="Calibri" w:eastAsia="Calibri" w:hAnsi="Calibri"/>
                <w:sz w:val="18"/>
                <w:szCs w:val="18"/>
              </w:rPr>
              <w:t xml:space="preserve">Transaction étiquetée frauduleuse dont la décision est FREEZE, ou STEP_UP non résolu aboutissant à une annulation</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Faux négatif</w:t>
            </w:r>
          </w:p>
        </w:tc>
        <w:tc>
          <w:tcPr>
            <w:tcW w:type="dxa" w:w="7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Transaction frauduleuse exécutée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Faux positif</w:t>
            </w:r>
          </w:p>
        </w:tc>
        <w:tc>
          <w:tcPr>
            <w:tcW w:type="dxa" w:w="7300"/>
            <w:tcMar>
              <w:top w:type="dxa" w:w="50"/>
              <w:left w:type="dxa" w:w="90"/>
              <w:bottom w:type="dxa" w:w="50"/>
              <w:right w:type="dxa" w:w="90"/>
            </w:tcMar>
          </w:tcPr>
          <w:p>
            <w:pPr>
              <w:spacing w:after="30" w:line="240"/>
            </w:pPr>
            <w:r>
              <w:rPr>
                <w:rFonts w:ascii="Calibri" w:cs="Calibri" w:eastAsia="Calibri" w:hAnsi="Calibri"/>
                <w:sz w:val="18"/>
                <w:szCs w:val="18"/>
              </w:rPr>
              <w:t xml:space="preserve">Transaction légitime dont la décision est FREEZE, ou STEP_UP aboutissant à une annulation</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Rappel</w:t>
            </w:r>
          </w:p>
        </w:tc>
        <w:tc>
          <w:tcPr>
            <w:tcW w:type="dxa" w:w="7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VP / (VP + FN), calculé par scénario, par persona et par canal ; jamais uniquement en global</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Précision</w:t>
            </w:r>
          </w:p>
        </w:tc>
        <w:tc>
          <w:tcPr>
            <w:tcW w:type="dxa" w:w="7300"/>
            <w:tcMar>
              <w:top w:type="dxa" w:w="50"/>
              <w:left w:type="dxa" w:w="90"/>
              <w:bottom w:type="dxa" w:w="50"/>
              <w:right w:type="dxa" w:w="90"/>
            </w:tcMar>
          </w:tcPr>
          <w:p>
            <w:pPr>
              <w:spacing w:after="30" w:line="240"/>
            </w:pPr>
            <w:r>
              <w:rPr>
                <w:rFonts w:ascii="Calibri" w:cs="Calibri" w:eastAsia="Calibri" w:hAnsi="Calibri"/>
                <w:sz w:val="18"/>
                <w:szCs w:val="18"/>
              </w:rPr>
              <w:t xml:space="preserve">VP / (VP + FP)</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FPR</w:t>
            </w:r>
          </w:p>
        </w:tc>
        <w:tc>
          <w:tcPr>
            <w:tcW w:type="dxa" w:w="7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FP / total des transactions légitimes, reporté par persona</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Perte évitée</w:t>
            </w:r>
          </w:p>
        </w:tc>
        <w:tc>
          <w:tcPr>
            <w:tcW w:type="dxa" w:w="7300"/>
            <w:tcMar>
              <w:top w:type="dxa" w:w="50"/>
              <w:left w:type="dxa" w:w="90"/>
              <w:bottom w:type="dxa" w:w="50"/>
              <w:right w:type="dxa" w:w="90"/>
            </w:tcMar>
          </w:tcPr>
          <w:p>
            <w:pPr>
              <w:spacing w:after="30" w:line="240"/>
            </w:pPr>
            <w:r>
              <w:rPr>
                <w:rFonts w:ascii="Calibri" w:cs="Calibri" w:eastAsia="Calibri" w:hAnsi="Calibri"/>
                <w:sz w:val="18"/>
                <w:szCs w:val="18"/>
              </w:rPr>
              <w:t xml:space="preserve">Somme des montants frauduleux non exécutés ; métrique financière, complémentaire du rappel</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Friction</w:t>
            </w:r>
          </w:p>
        </w:tc>
        <w:tc>
          <w:tcPr>
            <w:tcW w:type="dxa" w:w="7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Nombre de transactions légitimes retardées ou refusées, et durée cumulée du retard</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Latence</w:t>
            </w:r>
          </w:p>
        </w:tc>
        <w:tc>
          <w:tcPr>
            <w:tcW w:type="dxa" w:w="7300"/>
            <w:tcMar>
              <w:top w:type="dxa" w:w="50"/>
              <w:left w:type="dxa" w:w="90"/>
              <w:bottom w:type="dxa" w:w="50"/>
              <w:right w:type="dxa" w:w="90"/>
            </w:tcMar>
          </w:tcPr>
          <w:p>
            <w:pPr>
              <w:spacing w:after="30" w:line="240"/>
            </w:pPr>
            <w:r>
              <w:rPr>
                <w:rFonts w:ascii="Calibri" w:cs="Calibri" w:eastAsia="Calibri" w:hAnsi="Calibri"/>
                <w:sz w:val="18"/>
                <w:szCs w:val="18"/>
              </w:rPr>
              <w:t xml:space="preserve">Durée de traitement de /evaluate, rapportée en p50, p95 et p99</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Explicabilité</w:t>
            </w:r>
          </w:p>
        </w:tc>
        <w:tc>
          <w:tcPr>
            <w:tcW w:type="dxa" w:w="7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Part des décisions dont les règles déclenchées suffisent à produire une justification en langage naturel sans accès au code</w:t>
            </w:r>
          </w:p>
        </w:tc>
      </w:tr>
    </w:tbl>
    <w:p>
      <w:pPr>
        <w:spacing w:after="80"/>
      </w:pPr>
    </w:p>
    <w:p>
      <w:pPr>
        <w:pStyle w:val="Heading2"/>
        <w:spacing w:after="100" w:before="220"/>
      </w:pPr>
      <w:r>
        <w:rPr>
          <w:rFonts w:ascii="Calibri" w:cs="Calibri" w:eastAsia="Calibri" w:hAnsi="Calibri"/>
        </w:rPr>
        <w:t xml:space="preserve">5.2 Traitement particulier de STEP_UP</w:t>
      </w:r>
    </w:p>
    <w:p>
      <w:pPr>
        <w:spacing w:after="100" w:line="264"/>
      </w:pPr>
      <w:r>
        <w:rPr>
          <w:rFonts w:ascii="Calibri" w:cs="Calibri" w:eastAsia="Calibri" w:hAnsi="Calibri"/>
          <w:sz w:val="21"/>
          <w:szCs w:val="21"/>
        </w:rPr>
        <w:t xml:space="preserve">Une décision STEP_UP n’est ni un succès ni un échec en soi : elle dépend de sa résolution. La convention retenue, fixée ici pour éviter toute réinterprétation ultérieure : pour une transaction frauduleuse, un STEP_UP compte comme vrai positif si et seulement si l’attaquant simulé ne peut pas le résoudre (il ne possède ni la clé du dispositif légitime ni le contact de confiance) ; pour une transaction légitime, un STEP_UP résolu compte comme friction et non comme faux positif, tandis qu’un STEP_UP expiré compte comme faux positif.</w:t>
      </w:r>
    </w:p>
    <w:p>
      <w:pPr>
        <w:pStyle w:val="Heading2"/>
        <w:spacing w:after="100" w:before="220"/>
      </w:pPr>
      <w:r>
        <w:rPr>
          <w:rFonts w:ascii="Calibri" w:cs="Calibri" w:eastAsia="Calibri" w:hAnsi="Calibri"/>
        </w:rPr>
        <w:t xml:space="preserve">5.3 Perte financière</w:t>
      </w:r>
    </w:p>
    <w:p>
      <w:pPr>
        <w:spacing w:after="100" w:line="264"/>
      </w:pPr>
      <w:r>
        <w:rPr>
          <w:rFonts w:ascii="Calibri" w:cs="Calibri" w:eastAsia="Calibri" w:hAnsi="Calibri"/>
          <w:sz w:val="21"/>
          <w:szCs w:val="21"/>
        </w:rPr>
        <w:t xml:space="preserve">La perte résiduelle par scénario est rapportée en francs CFA, en valeur absolue et en part du solde. Cette métrique est indispensable pour AC-07 : avec la probation plafonnée, l’attaque n’est pas bloquée mais bornée à CAP_PROB. Un rappel nul accompagné d’une perte bornée n’a pas la même signification qu’un rappel nul accompagné d’un compte vidé.</w:t>
      </w:r>
    </w:p>
    <w:p>
      <w:pPr>
        <w:pStyle w:val="Heading2"/>
        <w:spacing w:after="100" w:before="220"/>
      </w:pPr>
      <w:r>
        <w:rPr>
          <w:rFonts w:ascii="Calibri" w:cs="Calibri" w:eastAsia="Calibri" w:hAnsi="Calibri"/>
        </w:rPr>
        <w:t xml:space="preserve">5.4 Seuils d’acceptation, fixés avant mesure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00"/>
      </w:tblGrid>
      <w:tr>
        <w:trPr>
          <w:tblHeader/>
        </w:trPr>
        <w:tc>
          <w:tcPr>
            <w:tcW w:type="dxa" w:w="3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Critère</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Seuil</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Hypothèse</w:t>
            </w:r>
          </w:p>
        </w:tc>
      </w:tr>
      <w:tr>
        <w:tc>
          <w:tcPr>
            <w:tcW w:type="dxa" w:w="3600"/>
            <w:tcMar>
              <w:top w:type="dxa" w:w="50"/>
              <w:left w:type="dxa" w:w="90"/>
              <w:bottom w:type="dxa" w:w="50"/>
              <w:right w:type="dxa" w:w="90"/>
            </w:tcMar>
          </w:tcPr>
          <w:p>
            <w:pPr>
              <w:spacing w:after="30" w:line="240"/>
            </w:pPr>
            <w:r>
              <w:rPr>
                <w:rFonts w:ascii="Calibri" w:cs="Calibri" w:eastAsia="Calibri" w:hAnsi="Calibri"/>
                <w:sz w:val="18"/>
                <w:szCs w:val="18"/>
              </w:rPr>
              <w:t xml:space="preserve">Refus des sorties non signées sur application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100 %</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H1</w:t>
            </w:r>
          </w:p>
        </w:tc>
      </w:tr>
      <w:tr>
        <w:tc>
          <w:tcPr>
            <w:tcW w:type="dxa" w:w="3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Blocage ou plafonnement avec signal IMSI (AC-02, 04, 05, 06)</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100 %</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H2</w:t>
            </w:r>
          </w:p>
        </w:tc>
      </w:tr>
      <w:tr>
        <w:tc>
          <w:tcPr>
            <w:tcW w:type="dxa" w:w="3600"/>
            <w:tcMar>
              <w:top w:type="dxa" w:w="50"/>
              <w:left w:type="dxa" w:w="90"/>
              <w:bottom w:type="dxa" w:w="50"/>
              <w:right w:type="dxa" w:w="90"/>
            </w:tcMar>
          </w:tcPr>
          <w:p>
            <w:pPr>
              <w:spacing w:after="30" w:line="240"/>
            </w:pPr>
            <w:r>
              <w:rPr>
                <w:rFonts w:ascii="Calibri" w:cs="Calibri" w:eastAsia="Calibri" w:hAnsi="Calibri"/>
                <w:sz w:val="18"/>
                <w:szCs w:val="18"/>
              </w:rPr>
              <w:t xml:space="preserve">Rappel sans signal IMSI (AC-04, 05, 06)</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&gt; 70 %</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H2</w:t>
            </w:r>
          </w:p>
        </w:tc>
      </w:tr>
      <w:tr>
        <w:tc>
          <w:tcPr>
            <w:tcW w:type="dxa" w:w="3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FPR par persona</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&lt; 5 %</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H2</w:t>
            </w:r>
          </w:p>
        </w:tc>
      </w:tr>
      <w:tr>
        <w:tc>
          <w:tcPr>
            <w:tcW w:type="dxa" w:w="3600"/>
            <w:tcMar>
              <w:top w:type="dxa" w:w="50"/>
              <w:left w:type="dxa" w:w="90"/>
              <w:bottom w:type="dxa" w:w="50"/>
              <w:right w:type="dxa" w:w="90"/>
            </w:tcMar>
          </w:tcPr>
          <w:p>
            <w:pPr>
              <w:spacing w:after="30" w:line="240"/>
            </w:pPr>
            <w:r>
              <w:rPr>
                <w:rFonts w:ascii="Calibri" w:cs="Calibri" w:eastAsia="Calibri" w:hAnsi="Calibri"/>
                <w:sz w:val="18"/>
                <w:szCs w:val="18"/>
              </w:rPr>
              <w:t xml:space="preserve">Rappel sur AC-07 sans signal IMSI</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 0, attendu</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H2 (témoin)</w:t>
            </w:r>
          </w:p>
        </w:tc>
      </w:tr>
      <w:tr>
        <w:tc>
          <w:tcPr>
            <w:tcW w:type="dxa" w:w="3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Écart de rappel règles contre apprentissage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&lt; 5 points</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H3</w:t>
            </w:r>
          </w:p>
        </w:tc>
      </w:tr>
      <w:tr>
        <w:tc>
          <w:tcPr>
            <w:tcW w:type="dxa" w:w="3600"/>
            <w:tcMar>
              <w:top w:type="dxa" w:w="50"/>
              <w:left w:type="dxa" w:w="90"/>
              <w:bottom w:type="dxa" w:w="50"/>
              <w:right w:type="dxa" w:w="90"/>
            </w:tcMar>
          </w:tcPr>
          <w:p>
            <w:pPr>
              <w:spacing w:after="30" w:line="240"/>
            </w:pPr>
            <w:r>
              <w:rPr>
                <w:rFonts w:ascii="Calibri" w:cs="Calibri" w:eastAsia="Calibri" w:hAnsi="Calibri"/>
                <w:sz w:val="18"/>
                <w:szCs w:val="18"/>
              </w:rPr>
              <w:t xml:space="preserve">Friction à CAR_IMSI = 72 h</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&lt; 1 % des transactions légitimes</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H4</w:t>
            </w:r>
          </w:p>
        </w:tc>
      </w:tr>
      <w:tr>
        <w:tc>
          <w:tcPr>
            <w:tcW w:type="dxa" w:w="3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Transactions légitimes affectées par 10 min d’indisponibilité</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&lt; 2 %</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H5</w:t>
            </w:r>
          </w:p>
        </w:tc>
      </w:tr>
      <w:tr>
        <w:tc>
          <w:tcPr>
            <w:tcW w:type="dxa" w:w="3600"/>
            <w:tcMar>
              <w:top w:type="dxa" w:w="50"/>
              <w:left w:type="dxa" w:w="90"/>
              <w:bottom w:type="dxa" w:w="50"/>
              <w:right w:type="dxa" w:w="90"/>
            </w:tcMar>
          </w:tcPr>
          <w:p>
            <w:pPr>
              <w:spacing w:after="30" w:line="240"/>
            </w:pPr>
            <w:r>
              <w:rPr>
                <w:rFonts w:ascii="Calibri" w:cs="Calibri" w:eastAsia="Calibri" w:hAnsi="Calibri"/>
                <w:sz w:val="18"/>
                <w:szCs w:val="18"/>
              </w:rPr>
              <w:t xml:space="preserve">Latence p95 / p99 de /evaluate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&lt; 500 ms / &lt; 800 ms</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SQ-30</w:t>
            </w:r>
          </w:p>
        </w:tc>
      </w:tr>
    </w:tbl>
    <w:p>
      <w:pPr>
        <w:spacing w:after="80"/>
      </w:pPr>
    </w:p>
    <w:p>
      <w:pPr>
        <w:pStyle w:val="Heading2"/>
        <w:spacing w:after="100" w:before="220"/>
      </w:pPr>
      <w:r>
        <w:rPr>
          <w:rFonts w:ascii="Calibri" w:cs="Calibri" w:eastAsia="Calibri" w:hAnsi="Calibri"/>
        </w:rPr>
        <w:t xml:space="preserve">5.5 Incertitude</w:t>
      </w:r>
    </w:p>
    <w:p>
      <w:pPr>
        <w:pStyle w:val="ListParagraph"/>
        <w:numPr>
          <w:ilvl w:val="0"/>
          <w:numId w:val="2"/>
        </w:numPr>
        <w:spacing w:after="60" w:line="264"/>
      </w:pPr>
      <w:r>
        <w:rPr>
          <w:rFonts w:ascii="Calibri" w:cs="Calibri" w:eastAsia="Calibri" w:hAnsi="Calibri"/>
          <w:sz w:val="21"/>
          <w:szCs w:val="21"/>
        </w:rPr>
        <w:t xml:space="preserve">Chaque campagne est répétée sur cinq graines différentes du générateur ; les métriques sont reportées en moyenne et écart-type.</w:t>
      </w:r>
    </w:p>
    <w:p>
      <w:pPr>
        <w:pStyle w:val="ListParagraph"/>
        <w:numPr>
          <w:ilvl w:val="0"/>
          <w:numId w:val="2"/>
        </w:numPr>
        <w:spacing w:after="60" w:line="264"/>
      </w:pPr>
      <w:r>
        <w:rPr>
          <w:rFonts w:ascii="Calibri" w:cs="Calibri" w:eastAsia="Calibri" w:hAnsi="Calibri"/>
          <w:sz w:val="21"/>
          <w:szCs w:val="21"/>
        </w:rPr>
        <w:t xml:space="preserve">Un intervalle de confiance à 95 % est calculé pour le rappel et le FPR par la méthode de Wilson, adaptée aux petits effectifs.</w:t>
      </w:r>
    </w:p>
    <w:p>
      <w:pPr>
        <w:pStyle w:val="ListParagraph"/>
        <w:numPr>
          <w:ilvl w:val="0"/>
          <w:numId w:val="2"/>
        </w:numPr>
        <w:spacing w:after="60" w:line="264"/>
      </w:pPr>
      <w:r>
        <w:rPr>
          <w:rFonts w:ascii="Calibri" w:cs="Calibri" w:eastAsia="Calibri" w:hAnsi="Calibri"/>
          <w:sz w:val="21"/>
          <w:szCs w:val="21"/>
        </w:rPr>
        <w:t xml:space="preserve">Une différence inférieure au recouvrement des intervalles n’est pas présentée comme une différence.</w:t>
      </w:r>
    </w:p>
    <w:p>
      <w:pPr>
        <w:pStyle w:val="ListParagraph"/>
        <w:numPr>
          <w:ilvl w:val="0"/>
          <w:numId w:val="2"/>
        </w:numPr>
        <w:spacing w:after="60" w:line="264"/>
      </w:pPr>
      <w:r>
        <w:rPr>
          <w:rFonts w:ascii="Calibri" w:cs="Calibri" w:eastAsia="Calibri" w:hAnsi="Calibri"/>
          <w:sz w:val="21"/>
          <w:szCs w:val="21"/>
        </w:rPr>
        <w:t xml:space="preserve">Les effectifs bruts accompagnent systématiquement les pourcentages : un rappel de 100 % sur trois cas n’est pas un résultat.</w:t>
      </w:r>
    </w:p>
    <w:p>
      <w:pPr>
        <w:pStyle w:val="Heading1"/>
        <w:spacing w:after="140" w:before="320"/>
      </w:pPr>
      <w:r>
        <w:rPr>
          <w:rFonts w:ascii="Calibri" w:cs="Calibri" w:eastAsia="Calibri" w:hAnsi="Calibri"/>
        </w:rPr>
        <w:t xml:space="preserve">6. Comparaison règles contre apprentissage (EXP-4)</w:t>
      </w:r>
    </w:p>
    <w:p>
      <w:pPr>
        <w:pStyle w:val="Heading2"/>
        <w:spacing w:after="100" w:before="220"/>
      </w:pPr>
      <w:r>
        <w:rPr>
          <w:rFonts w:ascii="Calibri" w:cs="Calibri" w:eastAsia="Calibri" w:hAnsi="Calibri"/>
        </w:rPr>
        <w:t xml:space="preserve">6.1 Cadre</w:t>
      </w:r>
    </w:p>
    <w:p>
      <w:pPr>
        <w:spacing w:after="100" w:line="264"/>
      </w:pPr>
      <w:r>
        <w:rPr>
          <w:rFonts w:ascii="Calibri" w:cs="Calibri" w:eastAsia="Calibri" w:hAnsi="Calibri"/>
          <w:sz w:val="21"/>
          <w:szCs w:val="21"/>
        </w:rPr>
        <w:t xml:space="preserve">Le modèle appris n’intervient jamais dans le chemin de décision (ADR-005) : il est évalué hors ligne sur les mêmes transactions que le moteur de règles. La comparaison porte sur quatre axes : rappel, faux positifs, latence, explicabilité.</w:t>
      </w:r>
    </w:p>
    <w:p>
      <w:pPr>
        <w:pStyle w:val="Heading2"/>
        <w:spacing w:after="100" w:before="220"/>
      </w:pPr>
      <w:r>
        <w:rPr>
          <w:rFonts w:ascii="Calibri" w:cs="Calibri" w:eastAsia="Calibri" w:hAnsi="Calibri"/>
        </w:rPr>
        <w:t xml:space="preserve">6.2 Protocole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7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Modèles</w:t>
            </w:r>
          </w:p>
        </w:tc>
        <w:tc>
          <w:tcPr>
            <w:tcW w:type="dxa" w:w="7100"/>
            <w:tcMar>
              <w:top w:type="dxa" w:w="50"/>
              <w:left w:type="dxa" w:w="90"/>
              <w:bottom w:type="dxa" w:w="50"/>
              <w:right w:type="dxa" w:w="90"/>
            </w:tcMar>
          </w:tcPr>
          <w:p>
            <w:pPr>
              <w:spacing w:after="30" w:line="240"/>
            </w:pPr>
            <w:r>
              <w:rPr>
                <w:rFonts w:ascii="Calibri" w:cs="Calibri" w:eastAsia="Calibri" w:hAnsi="Calibri"/>
                <w:sz w:val="18"/>
                <w:szCs w:val="18"/>
              </w:rPr>
              <w:t xml:space="preserve">Une référence simple (régression logistique) et un modèle d’ensemble (forêt aléatoire ou gradient boosting), conformément à la littérature du domaine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Caractéristiques</w:t>
            </w:r>
          </w:p>
        </w:tc>
        <w:tc>
          <w:tcPr>
            <w:tcW w:type="dxa" w:w="7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Strictement les mêmes signaux que ceux disponibles au moteur de règles au moment de la décision : nouveauté du bénéficiaire, montant relatif à l’historique, vélocité, heure, cohérence de localité, ancienneté du changement d’IMSI, canal</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Interdiction de fuite</w:t>
            </w:r>
          </w:p>
        </w:tc>
        <w:tc>
          <w:tcPr>
            <w:tcW w:type="dxa" w:w="7100"/>
            <w:tcMar>
              <w:top w:type="dxa" w:w="50"/>
              <w:left w:type="dxa" w:w="90"/>
              <w:bottom w:type="dxa" w:w="50"/>
              <w:right w:type="dxa" w:w="90"/>
            </w:tcMar>
          </w:tcPr>
          <w:p>
            <w:pPr>
              <w:spacing w:after="30" w:line="240"/>
            </w:pPr>
            <w:r>
              <w:rPr>
                <w:rFonts w:ascii="Calibri" w:cs="Calibri" w:eastAsia="Calibri" w:hAnsi="Calibri"/>
                <w:sz w:val="18"/>
                <w:szCs w:val="18"/>
              </w:rPr>
              <w:t xml:space="preserve">Aucune caractéristique calculée à partir d’informations postérieures à la transaction ; aucune caractéristique dérivée de l’étiquette ; vérification explicite reportée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Déséquilibre</w:t>
            </w:r>
          </w:p>
        </w:tc>
        <w:tc>
          <w:tcPr>
            <w:tcW w:type="dxa" w:w="7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Traité par pondération des classes, non par sur-échantillonnage du jeu de test</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Hyperparamètres</w:t>
            </w:r>
          </w:p>
        </w:tc>
        <w:tc>
          <w:tcPr>
            <w:tcW w:type="dxa" w:w="7100"/>
            <w:tcMar>
              <w:top w:type="dxa" w:w="50"/>
              <w:left w:type="dxa" w:w="90"/>
              <w:bottom w:type="dxa" w:w="50"/>
              <w:right w:type="dxa" w:w="90"/>
            </w:tcMar>
          </w:tcPr>
          <w:p>
            <w:pPr>
              <w:spacing w:after="30" w:line="240"/>
            </w:pPr>
            <w:r>
              <w:rPr>
                <w:rFonts w:ascii="Calibri" w:cs="Calibri" w:eastAsia="Calibri" w:hAnsi="Calibri"/>
                <w:sz w:val="18"/>
                <w:szCs w:val="18"/>
              </w:rPr>
              <w:t xml:space="preserve">Choisis sur la partition de validation uniquement</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Seuil de décision</w:t>
            </w:r>
          </w:p>
        </w:tc>
        <w:tc>
          <w:tcPr>
            <w:tcW w:type="dxa" w:w="7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Fixé sur la validation pour atteindre le même FPR que le moteur de règles, afin que les rappels soient comparables à coût égal</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Analyse des désaccords</w:t>
            </w:r>
          </w:p>
        </w:tc>
        <w:tc>
          <w:tcPr>
            <w:tcW w:type="dxa" w:w="7100"/>
            <w:tcMar>
              <w:top w:type="dxa" w:w="50"/>
              <w:left w:type="dxa" w:w="90"/>
              <w:bottom w:type="dxa" w:w="50"/>
              <w:right w:type="dxa" w:w="90"/>
            </w:tcMar>
          </w:tcPr>
          <w:p>
            <w:pPr>
              <w:spacing w:after="30" w:line="240"/>
            </w:pPr>
            <w:r>
              <w:rPr>
                <w:rFonts w:ascii="Calibri" w:cs="Calibri" w:eastAsia="Calibri" w:hAnsi="Calibri"/>
                <w:sz w:val="18"/>
                <w:szCs w:val="18"/>
              </w:rPr>
              <w:t xml:space="preserve">Les transactions où règles et modèle divergent sont examinées une par une ; c’est la partie la plus instructive de l’expérience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Comparer deux détecteurs à seuils libres n’a aucun sens : on peut toujours améliorer le rappel en acceptant plus de faux positifs. L’égalisation du FPR avant comparaison est ce qui rend EXP-4 honnête.</w:t>
            </w:r>
          </w:p>
        </w:tc>
      </w:tr>
    </w:tbl>
    <w:p>
      <w:pPr>
        <w:pStyle w:val="Heading2"/>
        <w:spacing w:after="100" w:before="220"/>
      </w:pPr>
      <w:r>
        <w:rPr>
          <w:rFonts w:ascii="Calibri" w:cs="Calibri" w:eastAsia="Calibri" w:hAnsi="Calibri"/>
        </w:rPr>
        <w:t xml:space="preserve">6.3 Analyses complémentaires</w:t>
      </w:r>
    </w:p>
    <w:p>
      <w:pPr>
        <w:pStyle w:val="ListParagraph"/>
        <w:numPr>
          <w:ilvl w:val="0"/>
          <w:numId w:val="2"/>
        </w:numPr>
        <w:spacing w:after="60" w:line="264"/>
      </w:pPr>
      <w:r>
        <w:rPr>
          <w:rFonts w:ascii="Calibri" w:cs="Calibri" w:eastAsia="Calibri" w:hAnsi="Calibri"/>
          <w:sz w:val="21"/>
          <w:szCs w:val="21"/>
        </w:rPr>
        <w:t xml:space="preserve">Influence de la prévalence : les métriques sont recalculées à 0,1 %, 0,5 % et 2 % de comptes attaqués. La précision est très sensible à la prévalence ; l’omettre serait trompeur.</w:t>
      </w:r>
    </w:p>
    <w:p>
      <w:pPr>
        <w:pStyle w:val="ListParagraph"/>
        <w:numPr>
          <w:ilvl w:val="0"/>
          <w:numId w:val="2"/>
        </w:numPr>
        <w:spacing w:after="60" w:line="264"/>
      </w:pPr>
      <w:r>
        <w:rPr>
          <w:rFonts w:ascii="Calibri" w:cs="Calibri" w:eastAsia="Calibri" w:hAnsi="Calibri"/>
          <w:sz w:val="21"/>
          <w:szCs w:val="21"/>
        </w:rPr>
        <w:t xml:space="preserve">Importance des caractéristiques du modèle appris, comparée aux poids du moteur de règles : convergence ou divergence des signaux jugés déterminants.</w:t>
      </w:r>
    </w:p>
    <w:p>
      <w:pPr>
        <w:pStyle w:val="ListParagraph"/>
        <w:numPr>
          <w:ilvl w:val="0"/>
          <w:numId w:val="2"/>
        </w:numPr>
        <w:spacing w:after="60" w:line="264"/>
      </w:pPr>
      <w:r>
        <w:rPr>
          <w:rFonts w:ascii="Calibri" w:cs="Calibri" w:eastAsia="Calibri" w:hAnsi="Calibri"/>
          <w:sz w:val="21"/>
          <w:szCs w:val="21"/>
        </w:rPr>
        <w:t xml:space="preserve">Coût d’explicabilité : part des décisions du modèle appris qu’il est impossible de justifier en langage naturel sans outil d’interprétation.</w:t>
      </w:r>
    </w:p>
    <w:p>
      <w:pPr>
        <w:pStyle w:val="Heading1"/>
        <w:spacing w:after="140" w:before="320"/>
      </w:pPr>
      <w:r>
        <w:rPr>
          <w:rFonts w:ascii="Calibri" w:cs="Calibri" w:eastAsia="Calibri" w:hAnsi="Calibri"/>
        </w:rPr>
        <w:t xml:space="preserve">7. Exécution et reproductibilité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7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Règle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Commande unique</w:t>
            </w:r>
          </w:p>
        </w:tc>
        <w:tc>
          <w:tcPr>
            <w:tcW w:type="dxa" w:w="7100"/>
            <w:tcMar>
              <w:top w:type="dxa" w:w="50"/>
              <w:left w:type="dxa" w:w="90"/>
              <w:bottom w:type="dxa" w:w="50"/>
              <w:right w:type="dxa" w:w="90"/>
            </w:tcMar>
          </w:tcPr>
          <w:p>
            <w:pPr>
              <w:spacing w:after="30" w:line="240"/>
            </w:pPr>
            <w:r>
              <w:rPr>
                <w:rFonts w:ascii="Calibri" w:cs="Calibri" w:eastAsia="Calibri" w:hAnsi="Calibri"/>
                <w:sz w:val="18"/>
                <w:szCs w:val="18"/>
              </w:rPr>
              <w:t xml:space="preserve">make evaluate exécute EXP-1 à EXP-6, produit tous les tableaux et toutes les figures</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Déterminisme</w:t>
            </w:r>
          </w:p>
        </w:tc>
        <w:tc>
          <w:tcPr>
            <w:tcW w:type="dxa" w:w="7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Graines fixées et écrites dans le fichier de paramètres ; deux exécutions produisent des résultats identiques (ENF-04)</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Traçabilité des figures</w:t>
            </w:r>
          </w:p>
        </w:tc>
        <w:tc>
          <w:tcPr>
            <w:tcW w:type="dxa" w:w="7100"/>
            <w:tcMar>
              <w:top w:type="dxa" w:w="50"/>
              <w:left w:type="dxa" w:w="90"/>
              <w:bottom w:type="dxa" w:w="50"/>
              <w:right w:type="dxa" w:w="90"/>
            </w:tcMar>
          </w:tcPr>
          <w:p>
            <w:pPr>
              <w:spacing w:after="30" w:line="240"/>
            </w:pPr>
            <w:r>
              <w:rPr>
                <w:rFonts w:ascii="Calibri" w:cs="Calibri" w:eastAsia="Calibri" w:hAnsi="Calibri"/>
                <w:sz w:val="18"/>
                <w:szCs w:val="18"/>
              </w:rPr>
              <w:t xml:space="preserve">Chaque figure porte en légende la version du jeu, la version du jeu de règles, la graine et l’empreinte de commit (EAR-09)</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 chiffre manuel</w:t>
            </w:r>
          </w:p>
        </w:tc>
        <w:tc>
          <w:tcPr>
            <w:tcW w:type="dxa" w:w="7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chiffre du mémoire qui ne peut pas être régénéré par la commande n’entre pas dans le mémoire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Archivage</w:t>
            </w:r>
          </w:p>
        </w:tc>
        <w:tc>
          <w:tcPr>
            <w:tcW w:type="dxa" w:w="7100"/>
            <w:tcMar>
              <w:top w:type="dxa" w:w="50"/>
              <w:left w:type="dxa" w:w="90"/>
              <w:bottom w:type="dxa" w:w="50"/>
              <w:right w:type="dxa" w:w="90"/>
            </w:tcMar>
          </w:tcPr>
          <w:p>
            <w:pPr>
              <w:spacing w:after="30" w:line="240"/>
            </w:pPr>
            <w:r>
              <w:rPr>
                <w:rFonts w:ascii="Calibri" w:cs="Calibri" w:eastAsia="Calibri" w:hAnsi="Calibri"/>
                <w:sz w:val="18"/>
                <w:szCs w:val="18"/>
              </w:rPr>
              <w:t xml:space="preserve">Résultats bruts, journaux et figures archivés comme artefacts d’intégration continue à chaque campagne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Plateforme</w:t>
            </w:r>
          </w:p>
        </w:tc>
        <w:tc>
          <w:tcPr>
            <w:tcW w:type="dxa" w:w="7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Machine virtuelle de démonstration exclusivement ; configuration reportée avec les mesures</w:t>
            </w:r>
          </w:p>
        </w:tc>
      </w:tr>
    </w:tbl>
    <w:p>
      <w:pPr>
        <w:spacing w:after="80"/>
      </w:pPr>
    </w:p>
    <w:p>
      <w:pPr>
        <w:pStyle w:val="Heading1"/>
        <w:spacing w:after="140" w:before="320"/>
      </w:pPr>
      <w:r>
        <w:rPr>
          <w:rFonts w:ascii="Calibri" w:cs="Calibri" w:eastAsia="Calibri" w:hAnsi="Calibri"/>
        </w:rPr>
        <w:t xml:space="preserve">8. Livrables de l’évaluation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00"/>
      </w:tblGrid>
      <w:tr>
        <w:trPr>
          <w:tblHeader/>
        </w:trPr>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Livrable</w:t>
            </w:r>
          </w:p>
        </w:tc>
        <w:tc>
          <w:tcPr>
            <w:tcW w:type="dxa" w:w="5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EV-1</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Jeu de données v1 gelé</w:t>
            </w:r>
          </w:p>
        </w:tc>
        <w:tc>
          <w:tcPr>
            <w:tcW w:type="dxa" w:w="5600"/>
            <w:tcMar>
              <w:top w:type="dxa" w:w="50"/>
              <w:left w:type="dxa" w:w="90"/>
              <w:bottom w:type="dxa" w:w="50"/>
              <w:right w:type="dxa" w:w="90"/>
            </w:tcMar>
          </w:tcPr>
          <w:p>
            <w:pPr>
              <w:spacing w:after="30" w:line="240"/>
            </w:pPr>
            <w:r>
              <w:rPr>
                <w:rFonts w:ascii="Calibri" w:cs="Calibri" w:eastAsia="Calibri" w:hAnsi="Calibri"/>
                <w:sz w:val="18"/>
                <w:szCs w:val="18"/>
              </w:rPr>
              <w:t xml:space="preserve">Paramètres versionnés, empreinte publiée, description des personas</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EV-2</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Rapport de plausibilité</w:t>
            </w:r>
          </w:p>
        </w:tc>
        <w:tc>
          <w:tcPr>
            <w:tcW w:type="dxa" w:w="5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Agrégats produits, comparaison aux sources publiques, écarts documentés</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EV-3</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Résultats EXP-1 à EXP-6</w:t>
            </w:r>
          </w:p>
        </w:tc>
        <w:tc>
          <w:tcPr>
            <w:tcW w:type="dxa" w:w="5600"/>
            <w:tcMar>
              <w:top w:type="dxa" w:w="50"/>
              <w:left w:type="dxa" w:w="90"/>
              <w:bottom w:type="dxa" w:w="50"/>
              <w:right w:type="dxa" w:w="90"/>
            </w:tcMar>
          </w:tcPr>
          <w:p>
            <w:pPr>
              <w:spacing w:after="30" w:line="240"/>
            </w:pPr>
            <w:r>
              <w:rPr>
                <w:rFonts w:ascii="Calibri" w:cs="Calibri" w:eastAsia="Calibri" w:hAnsi="Calibri"/>
                <w:sz w:val="18"/>
                <w:szCs w:val="18"/>
              </w:rPr>
              <w:t xml:space="preserve">Tableaux et figures, effectifs bruts, intervalles de confiance</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EV-4</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Statut des hypothèses</w:t>
            </w:r>
          </w:p>
        </w:tc>
        <w:tc>
          <w:tcPr>
            <w:tcW w:type="dxa" w:w="5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H1 à H5 : confirmée ou réfutée, avec les chiffres qui tranchent</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EV-5</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Courbe protection contre friction</w:t>
            </w:r>
          </w:p>
        </w:tc>
        <w:tc>
          <w:tcPr>
            <w:tcW w:type="dxa" w:w="5600"/>
            <w:tcMar>
              <w:top w:type="dxa" w:w="50"/>
              <w:left w:type="dxa" w:w="90"/>
              <w:bottom w:type="dxa" w:w="50"/>
              <w:right w:type="dxa" w:w="90"/>
            </w:tcMar>
          </w:tcPr>
          <w:p>
            <w:pPr>
              <w:spacing w:after="30" w:line="240"/>
            </w:pPr>
            <w:r>
              <w:rPr>
                <w:rFonts w:ascii="Calibri" w:cs="Calibri" w:eastAsia="Calibri" w:hAnsi="Calibri"/>
                <w:sz w:val="18"/>
                <w:szCs w:val="18"/>
              </w:rPr>
              <w:t xml:space="preserve">Résultat central de EXP-5, contribution principale sur QR-4</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EV-6</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Tableau comparatif règles contre apprentissage</w:t>
            </w:r>
          </w:p>
        </w:tc>
        <w:tc>
          <w:tcPr>
            <w:tcW w:type="dxa" w:w="5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Résultat de EXP-4, analyse des désaccords</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EV-7</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Section limites</w:t>
            </w:r>
          </w:p>
        </w:tc>
        <w:tc>
          <w:tcPr>
            <w:tcW w:type="dxa" w:w="5600"/>
            <w:tcMar>
              <w:top w:type="dxa" w:w="50"/>
              <w:left w:type="dxa" w:w="90"/>
              <w:bottom w:type="dxa" w:w="50"/>
              <w:right w:type="dxa" w:w="90"/>
            </w:tcMar>
          </w:tcPr>
          <w:p>
            <w:pPr>
              <w:spacing w:after="30" w:line="240"/>
            </w:pPr>
            <w:r>
              <w:rPr>
                <w:rFonts w:ascii="Calibri" w:cs="Calibri" w:eastAsia="Calibri" w:hAnsi="Calibri"/>
                <w:sz w:val="18"/>
                <w:szCs w:val="18"/>
              </w:rPr>
              <w:t xml:space="preserve">Ce que ces résultats ne permettent pas de conclure</w:t>
            </w:r>
          </w:p>
        </w:tc>
      </w:tr>
    </w:tbl>
    <w:p>
      <w:pPr>
        <w:spacing w:after="80"/>
      </w:pPr>
    </w:p>
    <w:p>
      <w:pPr>
        <w:pStyle w:val="Heading1"/>
        <w:spacing w:after="140" w:before="320"/>
      </w:pPr>
      <w:r>
        <w:rPr>
          <w:rFonts w:ascii="Calibri" w:cs="Calibri" w:eastAsia="Calibri" w:hAnsi="Calibri"/>
        </w:rPr>
        <w:t xml:space="preserve">9. Limites de validité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Limite</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Portée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Données synthétiques</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Les métriques mesurent le comportement du système face à un modèle de réalité, non face à la réalité. Elles sont indicatives et ne se substituent pas à une validation sur données opérateur.</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Calibration partielle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Certains paramètres, notamment la fréquence des changements d’IMSI légitimes, reposent sur des hypothèses faute de source publique. H4 en dépend directement.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Hypothèse H-T6</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Les résultats supposent que l’opérateur expose fidèlement l’événement de changement d’IMSI. Sans ce signal, seuls les résultats de EXP-3 s’appliquent.</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Notifications instantanées</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sandbox suppose une délivrance immédiate et certaine. Les résultats sur AC-04 sont optimistes dans cette mesure (dette D-02 du SAD).</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Attaquant simulé</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Les attaquants exécutent des scénarios fixés ; ils ne s’adaptent pas aux défenses observées. Un attaquant adaptatif relève des travaux futurs.</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Plateforme virtualisée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latences sont mesurées sur machine virtuelle et ne préjugent pas des performances sur infrastructure opérateur.</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Population</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Cinq personas ne représentent pas la diversité réelle des usagers camerounais.</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Cette section est écrite avant les résultats, et non après. Elle sera reprise telle quelle dans le mémoire et énoncée à la soutenance (CR-07). Un résultat présenté sans ses limites est une affirmation, pas une mesure.</w:t>
            </w:r>
          </w:p>
        </w:tc>
      </w:tr>
    </w:tbl>
    <w:p>
      <w:pPr>
        <w:pStyle w:val="Heading1"/>
        <w:spacing w:after="140" w:before="320"/>
      </w:pPr>
      <w:r>
        <w:rPr>
          <w:rFonts w:ascii="Calibri" w:cs="Calibri" w:eastAsia="Calibri" w:hAnsi="Calibri"/>
        </w:rPr>
        <w:t xml:space="preserve">10. Ce qui reste PROVISOIRE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00"/>
      </w:tblGrid>
      <w:tr>
        <w:trPr>
          <w:tblHeader/>
        </w:trPr>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Dépendance</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Devient FERME</w:t>
            </w:r>
          </w:p>
        </w:tc>
      </w:tr>
      <w:tr>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Volume de transactions du jeu v1</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SPIKE-5 (débit d’injection)</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ADR-017 consigné</w:t>
            </w:r>
          </w:p>
        </w:tc>
      </w:tr>
      <w:tr>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Durée cible d’une campagne</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SPIKE-5</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ADR-017 consigné</w:t>
            </w:r>
          </w:p>
        </w:tc>
      </w:tr>
      <w:tr>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Mode d’injection du générateur</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SPIKE-5</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ADR-017 consigné</w:t>
            </w:r>
          </w:p>
        </w:tc>
      </w:tr>
      <w:tr>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Fonction d’agrégation du score</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Comparaison sur jeu de développement avant gel</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ADR-016 consigné</w:t>
            </w:r>
          </w:p>
        </w:tc>
      </w:tr>
    </w:tbl>
    <w:p>
      <w:pPr>
        <w:spacing w:after="80"/>
      </w:pPr>
    </w:p>
    <w:p>
      <w:pPr>
        <w:spacing w:after="100" w:line="264"/>
      </w:pPr>
      <w:r>
        <w:rPr>
          <w:rFonts w:ascii="Calibri" w:cs="Calibri" w:eastAsia="Calibri" w:hAnsi="Calibri"/>
          <w:sz w:val="21"/>
          <w:szCs w:val="21"/>
        </w:rPr>
        <w:t xml:space="preserve">Aucune campagne d’évaluation ne démarre avant que ces quatre points soient fermés et que le jeu v1 soit gelé. Les éléments déjà fermes — hypothèses, métriques, seuils, découpages, témoins, limites — ne seront pas modifiés par ces résultats.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ISC-EVAL v1.0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Protocole d’évaluation v1.0</dc:title>
  <dc:creator>IdentiShield-CM</dc:creator>
  <cp:lastModifiedBy>Un-named</cp:lastModifiedBy>
  <cp:revision>1</cp:revision>
  <dcterms:created xsi:type="dcterms:W3CDTF">2026-08-22T17:56:15.750Z</dcterms:created>
  <dcterms:modified xsi:type="dcterms:W3CDTF">2026-08-22T17:56:15.766Z</dcterms:modified>
</cp:coreProperties>
</file>

<file path=docProps/custom.xml><?xml version="1.0" encoding="utf-8"?>
<Properties xmlns="http://schemas.openxmlformats.org/officeDocument/2006/custom-properties" xmlns:vt="http://schemas.openxmlformats.org/officeDocument/2006/docPropsVTypes"/>
</file>