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PROCESSUS D’INGÉNIERIE</w:t>
      </w:r>
    </w:p>
    <w:p>
      <w:pPr>
        <w:spacing w:after="460"/>
        <w:jc w:val="center"/>
      </w:pPr>
      <w:r>
        <w:rPr>
          <w:rFonts w:ascii="Calibri" w:cs="Calibri" w:eastAsia="Calibri" w:hAnsi="Calibri"/>
          <w:sz w:val="21"/>
          <w:szCs w:val="21"/>
        </w:rPr>
        <w:t xml:space="preserve">Cadence, rôles, Definition of Ready et of Done, gestion du travail, revues, registres, métriques de pilotage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ISC-PROC</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 v1.2 ; ISC-TEST v1.0 ; ISC-EVAL v1.0 ; ISC-DEV v1.0 (13 portes) ; ISC-DEPLOY v1.0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Objet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Définir comment le travail est organisé, priorité, exécuté, revu et accepté, du mois 1 à la soutenance.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Méthode retenue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Kanban à cadence hebdomadaire, adapté à un contributeur unique assisté d’un agent de codage. Scrum est explicitement écarté (§1.2).</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Méthode</w:t>
      </w:r>
    </w:p>
    <w:p>
      <w:pPr>
        <w:pStyle w:val="Heading2"/>
        <w:spacing w:after="100" w:before="220"/>
      </w:pPr>
      <w:r>
        <w:rPr>
          <w:rFonts w:ascii="Calibri" w:cs="Calibri" w:eastAsia="Calibri" w:hAnsi="Calibri"/>
        </w:rPr>
        <w:t xml:space="preserve">1.1 Contexte réel</w:t>
      </w:r>
    </w:p>
    <w:p>
      <w:pPr>
        <w:spacing w:after="100" w:line="264"/>
      </w:pPr>
      <w:r>
        <w:rPr>
          <w:rFonts w:ascii="Calibri" w:cs="Calibri" w:eastAsia="Calibri" w:hAnsi="Calibri"/>
          <w:sz w:val="21"/>
          <w:szCs w:val="21"/>
        </w:rPr>
        <w:t xml:space="preserve">Un contributeur unique, en activité professionnelle parallèle, sur sept mois, assisté d’un agent de codage placé sous spécification et revue. Le goulot d’étranglement n’est pas la production de code : c’est la capacité du candidat à spécifier, relire et maîtriser ce qui est produit. Le processus est conçu autour de cette contrainte.</w:t>
      </w:r>
    </w:p>
    <w:p>
      <w:pPr>
        <w:pStyle w:val="Heading2"/>
        <w:spacing w:after="100" w:before="220"/>
      </w:pPr>
      <w:r>
        <w:rPr>
          <w:rFonts w:ascii="Calibri" w:cs="Calibri" w:eastAsia="Calibri" w:hAnsi="Calibri"/>
        </w:rPr>
        <w:t xml:space="preserve">1.2 Pourquoi Scrum est écarté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de Scrum</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Verdict</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Rôles Product Owner, Scrum Master, équipe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Écarté. Une seule personne tient les trois : la séparation devient fictive et le vocabulaire trompeur devant un jury.</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Mêlée quotidienne</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Écartée. Un point de synchronisation avec soi-même n’a pas d’objet.</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Planification de sprint cérémonielle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Écartée. Remplacée par la revue hebdomadaire, qui a une fonction réelle : rendre compte à l’encadrement.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Points de complexité, vélocité</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Écartés. Sans équipe ni historique, ces mesures n’ont aucune valeur prédictive.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Engagement de sprint</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Écarté. Remplacé par les jalons mensuels dotés d’une Definition of Done vérifiable, qui engagent davantage.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Incrément vérifiable à cadence fixe</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CONSERVÉ. C’est le cœur.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Limite de travail en cours</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CONSERVÉE et renforcée : une seule tâche active.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Rétrospective</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CONSERVÉE, mensuelle et écrite.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Backlog priorité et traçable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CONSERVÉ.</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 projet académique qui revendique Scrum sans équipe expose son auteur à une question simple du jury : qui était le Product Owner ? Nommer honnêtement la méthode employée vaut mieux que d’emprunter un label.</w:t>
            </w:r>
          </w:p>
        </w:tc>
      </w:tr>
    </w:tbl>
    <w:p>
      <w:pPr>
        <w:pStyle w:val="Heading2"/>
        <w:spacing w:after="100" w:before="220"/>
      </w:pPr>
      <w:r>
        <w:rPr>
          <w:rFonts w:ascii="Calibri" w:cs="Calibri" w:eastAsia="Calibri" w:hAnsi="Calibri"/>
        </w:rPr>
        <w:t xml:space="preserve">1.3 Ce qu’est un incrément ici</w:t>
      </w:r>
    </w:p>
    <w:p>
      <w:pPr>
        <w:spacing w:after="100" w:line="264"/>
      </w:pPr>
      <w:r>
        <w:rPr>
          <w:rFonts w:ascii="Calibri" w:cs="Calibri" w:eastAsia="Calibri" w:hAnsi="Calibri"/>
          <w:sz w:val="21"/>
          <w:szCs w:val="21"/>
        </w:rPr>
        <w:t xml:space="preserve">Un incrément n’est pas nécessairement du code. Un document approuvé, un spike dont le résultat est consigné dans une décision d’architecture, un jeu de données gelé avec son rapport de plausibilité sont des incréments. Le critère est unique : quelque chose de vérifiable existe à la fin de la période, qui n’existait pas au début.</w:t>
      </w:r>
    </w:p>
    <w:p>
      <w:pPr>
        <w:pStyle w:val="Heading1"/>
        <w:spacing w:after="140" w:before="320"/>
      </w:pPr>
      <w:r>
        <w:rPr>
          <w:rFonts w:ascii="Calibri" w:cs="Calibri" w:eastAsia="Calibri" w:hAnsi="Calibri"/>
        </w:rPr>
        <w:t xml:space="preserve">2. Rôles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Tenu par</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Ne fait pas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Propriétaire du produit et ingénieur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Priorise le backlog, spécifie chaque tâche, relit tout le code, prononce l’acceptation, assume tout devant le jury</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Encadreur</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hostile des documents et du code, interrogation hebdomadaire, arbitrage méthodologique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 décide pas à la place du candidat sur les choix de conception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Supervision académique</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Validation académique, conformité au cadre de l’université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de codage</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Produit code et tests selon spécification, exécute les portes, signale les ambiguïtés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 modifie aucun document, ne choisit aucun paramètre de sécurité, n’ajoute aucune dépendance</w:t>
            </w:r>
          </w:p>
        </w:tc>
      </w:tr>
    </w:tbl>
    <w:p>
      <w:pPr>
        <w:spacing w:after="80"/>
      </w:pPr>
    </w:p>
    <w:p>
      <w:pPr>
        <w:pStyle w:val="Heading1"/>
        <w:spacing w:after="140" w:before="320"/>
      </w:pPr>
      <w:r>
        <w:rPr>
          <w:rFonts w:ascii="Calibri" w:cs="Calibri" w:eastAsia="Calibri" w:hAnsi="Calibri"/>
        </w:rPr>
        <w:t xml:space="preserve">3. Cadence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200"/>
        <w:gridCol w:w="2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Rythme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Événement</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Durée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Quotidien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seule tâche active ; mise à jour du tableau</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État du tableau à jour</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Hebdomadaire (vendredi)</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avec l’encadrement : démonstration de ce qui tourne, interrogation sur le code livré, revue des questions ouvertes et des risques</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60 à 90 min</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Compte rendu dans docs/03-revues/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Hebdomadaire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Planification légère : sélection des tâches Ready de la semaine suivante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 min</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Colonne Ready alimentée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Mensuel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de jalon : vérification de la Definition of Done du mois</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 h</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Jalon accepté ou replanifié</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Mensuel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Rétrospective écrite : ce qui a fonctionné, ce qui a échoué, une action corrective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30 min</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Entrée dans docs/03-revues/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la demande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Présentation au superviseur académique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Objections écrites versées au registre</w:t>
            </w:r>
          </w:p>
        </w:tc>
      </w:tr>
    </w:tbl>
    <w:p>
      <w:pPr>
        <w:spacing w:after="80"/>
      </w:pPr>
    </w:p>
    <w:p>
      <w:pPr>
        <w:spacing w:after="100" w:line="264"/>
      </w:pPr>
      <w:r>
        <w:rPr>
          <w:rFonts w:ascii="Calibri" w:cs="Calibri" w:eastAsia="Calibri" w:hAnsi="Calibri"/>
          <w:sz w:val="21"/>
          <w:szCs w:val="21"/>
        </w:rPr>
        <w:t xml:space="preserve">La règle la plus stricte de ce document : chaque vendredi, le candidat montre ce qui fonctionne, pas ce qui est prévu. Une semaine sans artefact démontrable déclenche une replanification, pas une explication.</w:t>
      </w:r>
    </w:p>
    <w:p>
      <w:pPr>
        <w:pStyle w:val="Heading1"/>
        <w:spacing w:after="140" w:before="320"/>
      </w:pPr>
      <w:r>
        <w:rPr>
          <w:rFonts w:ascii="Calibri" w:cs="Calibri" w:eastAsia="Calibri" w:hAnsi="Calibri"/>
        </w:rPr>
        <w:t xml:space="preserve">4. Gestion du travail</w:t>
      </w:r>
    </w:p>
    <w:p>
      <w:pPr>
        <w:pStyle w:val="Heading2"/>
        <w:spacing w:after="100" w:before="220"/>
      </w:pPr>
      <w:r>
        <w:rPr>
          <w:rFonts w:ascii="Calibri" w:cs="Calibri" w:eastAsia="Calibri" w:hAnsi="Calibri"/>
        </w:rPr>
        <w:t xml:space="preserve">4.1 Tableau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000"/>
      </w:tblGrid>
      <w:tr>
        <w:trPr>
          <w:tblHeader/>
        </w:trPr>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Colonne</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Signification</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Limite</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Backlog</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Tout ce qui est identifié, non prêt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Ready</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Satisfait la Definition of Ready</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éléments</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In Progress</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Travail en cours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1 élément</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 Review</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Attente de relecture du candidat ou des portes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3 éléments</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Blocked</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Bloqué par une question ouverte ou une dépendance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Done</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Satisfait la Definition of Done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La limite d’un seul élément en cours est la règle la plus efficace pour un contributeur seul. Deux tâches simultanées doublent le temps de bascule mental et divisent la qualité de relecture. Elle est non négociable.</w:t>
            </w:r>
          </w:p>
        </w:tc>
      </w:tr>
    </w:tbl>
    <w:p>
      <w:pPr>
        <w:pStyle w:val="Heading2"/>
        <w:spacing w:after="100" w:before="220"/>
      </w:pPr>
      <w:r>
        <w:rPr>
          <w:rFonts w:ascii="Calibri" w:cs="Calibri" w:eastAsia="Calibri" w:hAnsi="Calibri"/>
        </w:rPr>
        <w:t xml:space="preserve">4.2 Anatomie d’une tâche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Obligatoire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Titre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Verbe d’action et objet, sans jargon</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Exigences couvertes</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ou plusieurs identifiants du cahier des charges ; une tâche sans exigence est refusée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Comportement attendu</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En prose, y compris les cas limites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Critère de vérification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commande ou le test qui prouvera la réussite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Composant</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Un des neuf composants du SAD</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Jalon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Mois cible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Risque de sécurité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Oui ou non ; si oui, revue ligne à ligne obligatoire</w:t>
            </w:r>
          </w:p>
        </w:tc>
      </w:tr>
    </w:tbl>
    <w:p>
      <w:pPr>
        <w:spacing w:after="80"/>
      </w:pPr>
    </w:p>
    <w:p>
      <w:pPr>
        <w:pStyle w:val="Heading2"/>
        <w:spacing w:after="100" w:before="220"/>
      </w:pPr>
      <w:r>
        <w:rPr>
          <w:rFonts w:ascii="Calibri" w:cs="Calibri" w:eastAsia="Calibri" w:hAnsi="Calibri"/>
        </w:rPr>
        <w:t xml:space="preserve">4.3 Definition of Ready</w:t>
      </w:r>
    </w:p>
    <w:p>
      <w:pPr>
        <w:pStyle w:val="ListParagraph"/>
        <w:numPr>
          <w:ilvl w:val="0"/>
          <w:numId w:val="2"/>
        </w:numPr>
        <w:spacing w:after="60" w:line="264"/>
      </w:pPr>
      <w:r>
        <w:rPr>
          <w:rFonts w:ascii="Calibri" w:cs="Calibri" w:eastAsia="Calibri" w:hAnsi="Calibri"/>
          <w:sz w:val="21"/>
          <w:szCs w:val="21"/>
        </w:rPr>
        <w:t xml:space="preserve">La tâche référence au moins une exigence existante du cahier des charges.</w:t>
      </w:r>
    </w:p>
    <w:p>
      <w:pPr>
        <w:pStyle w:val="ListParagraph"/>
        <w:numPr>
          <w:ilvl w:val="0"/>
          <w:numId w:val="2"/>
        </w:numPr>
        <w:spacing w:after="60" w:line="264"/>
      </w:pPr>
      <w:r>
        <w:rPr>
          <w:rFonts w:ascii="Calibri" w:cs="Calibri" w:eastAsia="Calibri" w:hAnsi="Calibri"/>
          <w:sz w:val="21"/>
          <w:szCs w:val="21"/>
        </w:rPr>
        <w:t xml:space="preserve">Le comportement attendu est écrit, y compris les cas limites et les assertions négatives.</w:t>
      </w:r>
    </w:p>
    <w:p>
      <w:pPr>
        <w:pStyle w:val="ListParagraph"/>
        <w:numPr>
          <w:ilvl w:val="0"/>
          <w:numId w:val="2"/>
        </w:numPr>
        <w:spacing w:after="60" w:line="264"/>
      </w:pPr>
      <w:r>
        <w:rPr>
          <w:rFonts w:ascii="Calibri" w:cs="Calibri" w:eastAsia="Calibri" w:hAnsi="Calibri"/>
          <w:sz w:val="21"/>
          <w:szCs w:val="21"/>
        </w:rPr>
        <w:t xml:space="preserve">Le critère de vérification est nommé : test, démonstration, inspection ou mesure, selon le vocabulaire d’ISC-TEST.</w:t>
      </w:r>
    </w:p>
    <w:p>
      <w:pPr>
        <w:pStyle w:val="ListParagraph"/>
        <w:numPr>
          <w:ilvl w:val="0"/>
          <w:numId w:val="2"/>
        </w:numPr>
        <w:spacing w:after="60" w:line="264"/>
      </w:pPr>
      <w:r>
        <w:rPr>
          <w:rFonts w:ascii="Calibri" w:cs="Calibri" w:eastAsia="Calibri" w:hAnsi="Calibri"/>
          <w:sz w:val="21"/>
          <w:szCs w:val="21"/>
        </w:rPr>
        <w:t xml:space="preserve">Aucune décision d’architecture PROVISOIRE dont dépend la tâche n’est encore ouverte.</w:t>
      </w:r>
    </w:p>
    <w:p>
      <w:pPr>
        <w:pStyle w:val="ListParagraph"/>
        <w:numPr>
          <w:ilvl w:val="0"/>
          <w:numId w:val="2"/>
        </w:numPr>
        <w:spacing w:after="60" w:line="264"/>
      </w:pPr>
      <w:r>
        <w:rPr>
          <w:rFonts w:ascii="Calibri" w:cs="Calibri" w:eastAsia="Calibri" w:hAnsi="Calibri"/>
          <w:sz w:val="21"/>
          <w:szCs w:val="21"/>
        </w:rPr>
        <w:t xml:space="preserve">Les dépendances sont identifiées et satisfaites.</w:t>
      </w:r>
    </w:p>
    <w:p>
      <w:pPr>
        <w:pStyle w:val="ListParagraph"/>
        <w:numPr>
          <w:ilvl w:val="0"/>
          <w:numId w:val="2"/>
        </w:numPr>
        <w:spacing w:after="60" w:line="264"/>
      </w:pPr>
      <w:r>
        <w:rPr>
          <w:rFonts w:ascii="Calibri" w:cs="Calibri" w:eastAsia="Calibri" w:hAnsi="Calibri"/>
          <w:sz w:val="21"/>
          <w:szCs w:val="21"/>
        </w:rPr>
        <w:t xml:space="preserve">La tâche tient en moins de deux jours de travail effectif ; sinon elle est découpée.</w:t>
      </w:r>
    </w:p>
    <w:p>
      <w:pPr>
        <w:pStyle w:val="Heading2"/>
        <w:spacing w:after="100" w:before="220"/>
      </w:pPr>
      <w:r>
        <w:rPr>
          <w:rFonts w:ascii="Calibri" w:cs="Calibri" w:eastAsia="Calibri" w:hAnsi="Calibri"/>
        </w:rPr>
        <w:t xml:space="preserve">4.4 Definition of Done</w:t>
      </w:r>
    </w:p>
    <w:p>
      <w:pPr>
        <w:pStyle w:val="ListParagraph"/>
        <w:numPr>
          <w:ilvl w:val="0"/>
          <w:numId w:val="2"/>
        </w:numPr>
        <w:spacing w:after="60" w:line="264"/>
      </w:pPr>
      <w:r>
        <w:rPr>
          <w:rFonts w:ascii="Calibri" w:cs="Calibri" w:eastAsia="Calibri" w:hAnsi="Calibri"/>
          <w:sz w:val="21"/>
          <w:szCs w:val="21"/>
        </w:rPr>
        <w:t xml:space="preserve">Le comportement attendu est constaté, cas limites compris.</w:t>
      </w:r>
    </w:p>
    <w:p>
      <w:pPr>
        <w:pStyle w:val="ListParagraph"/>
        <w:numPr>
          <w:ilvl w:val="0"/>
          <w:numId w:val="2"/>
        </w:numPr>
        <w:spacing w:after="60" w:line="264"/>
      </w:pPr>
      <w:r>
        <w:rPr>
          <w:rFonts w:ascii="Calibri" w:cs="Calibri" w:eastAsia="Calibri" w:hAnsi="Calibri"/>
          <w:sz w:val="21"/>
          <w:szCs w:val="21"/>
        </w:rPr>
        <w:t xml:space="preserve">Les tests prévus par ISC-TEST existent et passent, y compris au moins une assertion négative lorsque la tâche touche à la sécurité.</w:t>
      </w:r>
    </w:p>
    <w:p>
      <w:pPr>
        <w:pStyle w:val="ListParagraph"/>
        <w:numPr>
          <w:ilvl w:val="0"/>
          <w:numId w:val="2"/>
        </w:numPr>
        <w:spacing w:after="60" w:line="264"/>
      </w:pPr>
      <w:r>
        <w:rPr>
          <w:rFonts w:ascii="Calibri" w:cs="Calibri" w:eastAsia="Calibri" w:hAnsi="Calibri"/>
          <w:sz w:val="21"/>
          <w:szCs w:val="21"/>
        </w:rPr>
        <w:t xml:space="preserve">Les treize portes d’ISC-DEV sont vertes.</w:t>
      </w:r>
    </w:p>
    <w:p>
      <w:pPr>
        <w:pStyle w:val="ListParagraph"/>
        <w:numPr>
          <w:ilvl w:val="0"/>
          <w:numId w:val="2"/>
        </w:numPr>
        <w:spacing w:after="60" w:line="264"/>
      </w:pPr>
      <w:r>
        <w:rPr>
          <w:rFonts w:ascii="Calibri" w:cs="Calibri" w:eastAsia="Calibri" w:hAnsi="Calibri"/>
          <w:sz w:val="21"/>
          <w:szCs w:val="21"/>
        </w:rPr>
        <w:t xml:space="preserve">Le candidat a lu l’intégralité du changement et peut l’expliquer sans notes.</w:t>
      </w:r>
    </w:p>
    <w:p>
      <w:pPr>
        <w:pStyle w:val="ListParagraph"/>
        <w:numPr>
          <w:ilvl w:val="0"/>
          <w:numId w:val="2"/>
        </w:numPr>
        <w:spacing w:after="60" w:line="264"/>
      </w:pPr>
      <w:r>
        <w:rPr>
          <w:rFonts w:ascii="Calibri" w:cs="Calibri" w:eastAsia="Calibri" w:hAnsi="Calibri"/>
          <w:sz w:val="21"/>
          <w:szCs w:val="21"/>
        </w:rPr>
        <w:t xml:space="preserve">Le code cryptographique, s’il y en a, a fait l’objet d’une revue ligne à ligne consignée.</w:t>
      </w:r>
    </w:p>
    <w:p>
      <w:pPr>
        <w:pStyle w:val="ListParagraph"/>
        <w:numPr>
          <w:ilvl w:val="0"/>
          <w:numId w:val="2"/>
        </w:numPr>
        <w:spacing w:after="60" w:line="264"/>
      </w:pPr>
      <w:r>
        <w:rPr>
          <w:rFonts w:ascii="Calibri" w:cs="Calibri" w:eastAsia="Calibri" w:hAnsi="Calibri"/>
          <w:sz w:val="21"/>
          <w:szCs w:val="21"/>
        </w:rPr>
        <w:t xml:space="preserve">La matrice de traçabilité est à jour ; l’exigence couverte pointe vers un test.</w:t>
      </w:r>
    </w:p>
    <w:p>
      <w:pPr>
        <w:pStyle w:val="ListParagraph"/>
        <w:numPr>
          <w:ilvl w:val="0"/>
          <w:numId w:val="2"/>
        </w:numPr>
        <w:spacing w:after="60" w:line="264"/>
      </w:pPr>
      <w:r>
        <w:rPr>
          <w:rFonts w:ascii="Calibri" w:cs="Calibri" w:eastAsia="Calibri" w:hAnsi="Calibri"/>
          <w:sz w:val="21"/>
          <w:szCs w:val="21"/>
        </w:rPr>
        <w:t xml:space="preserve">Toute décision structurante prise pendant la tâche a donné lieu à une décision d’architecture écrite.</w:t>
      </w:r>
    </w:p>
    <w:p>
      <w:pPr>
        <w:pStyle w:val="ListParagraph"/>
        <w:numPr>
          <w:ilvl w:val="0"/>
          <w:numId w:val="2"/>
        </w:numPr>
        <w:spacing w:after="60" w:line="264"/>
      </w:pPr>
      <w:r>
        <w:rPr>
          <w:rFonts w:ascii="Calibri" w:cs="Calibri" w:eastAsia="Calibri" w:hAnsi="Calibri"/>
          <w:sz w:val="21"/>
          <w:szCs w:val="21"/>
        </w:rPr>
        <w:t xml:space="preserve">Le chapitre du mémoire concerné a été complété ou annoté.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dernier point est ce qui évite la rédaction panique du septième mois. Le mémoire s’écrit au fil de l’eau ou ne s’écrit pas.</w:t>
            </w:r>
          </w:p>
        </w:tc>
      </w:tr>
    </w:tbl>
    <w:p>
      <w:pPr>
        <w:pStyle w:val="Heading1"/>
        <w:spacing w:after="140" w:before="320"/>
      </w:pPr>
      <w:r>
        <w:rPr>
          <w:rFonts w:ascii="Calibri" w:cs="Calibri" w:eastAsia="Calibri" w:hAnsi="Calibri"/>
        </w:rPr>
        <w:t xml:space="preserve">5. Jalons et Definition of Done mensuelle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Mois</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Incrément</w:t>
            </w:r>
          </w:p>
        </w:tc>
        <w:tc>
          <w:tcPr>
            <w:tcW w:type="dxa" w:w="6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 du jalon</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Conception complète et environnement</w:t>
            </w:r>
          </w:p>
        </w:tc>
        <w:tc>
          <w:tcPr>
            <w:tcW w:type="dxa" w:w="6000"/>
            <w:tcMar>
              <w:top w:type="dxa" w:w="50"/>
              <w:left w:type="dxa" w:w="90"/>
              <w:bottom w:type="dxa" w:w="50"/>
              <w:right w:type="dxa" w:w="90"/>
            </w:tcMar>
          </w:tcPr>
          <w:p>
            <w:pPr>
              <w:spacing w:after="30" w:line="240"/>
            </w:pPr>
            <w:r>
              <w:rPr>
                <w:rFonts w:ascii="Calibri" w:cs="Calibri" w:eastAsia="Calibri" w:hAnsi="Calibri"/>
                <w:sz w:val="18"/>
                <w:szCs w:val="18"/>
              </w:rPr>
              <w:t xml:space="preserve">Onze documents en REVIEW ou APPROVED ; questions bloquantes fermées ; dépôt et intégration continue opérationnels ; cinq spikes exécutés et consignés ; six décisions PROVISOIRES passées en FERME ; architecture révisée en conséquence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Sandbox opérateur et attaque</w:t>
            </w:r>
          </w:p>
        </w:tc>
        <w:tc>
          <w:tcPr>
            <w:tcW w:type="dxa" w:w="6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Squelette marchant ; cœur avec les deux canaux ; outils attaquant et agent ; console v1 ; l’attaque AC-02 réussit en mode sans couche, scriptée et visible en console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Générateur et jeu gelé</w:t>
            </w:r>
          </w:p>
        </w:tc>
        <w:tc>
          <w:tcPr>
            <w:tcW w:type="dxa" w:w="6000"/>
            <w:tcMar>
              <w:top w:type="dxa" w:w="50"/>
              <w:left w:type="dxa" w:w="90"/>
              <w:bottom w:type="dxa" w:w="50"/>
              <w:right w:type="dxa" w:w="90"/>
            </w:tcMar>
          </w:tcPr>
          <w:p>
            <w:pPr>
              <w:spacing w:after="30" w:line="240"/>
            </w:pPr>
            <w:r>
              <w:rPr>
                <w:rFonts w:ascii="Calibri" w:cs="Calibri" w:eastAsia="Calibri" w:hAnsi="Calibri"/>
                <w:sz w:val="18"/>
                <w:szCs w:val="18"/>
              </w:rPr>
              <w:t xml:space="preserve">Générateur conforme aux exigences d’artefacts ; rapport de plausibilité publié ; jeu v1 gelé avec empreinte ; déterminisme vérifié</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défense</w:t>
            </w:r>
          </w:p>
        </w:tc>
        <w:tc>
          <w:tcPr>
            <w:tcW w:type="dxa" w:w="6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complet ; application Android ; console v2 ; treize cas d’abus verts dans leurs deux phases ; couverture atteinte ; revue cryptographique consignée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Évaluation</w:t>
            </w:r>
          </w:p>
        </w:tc>
        <w:tc>
          <w:tcPr>
            <w:tcW w:type="dxa" w:w="6000"/>
            <w:tcMar>
              <w:top w:type="dxa" w:w="50"/>
              <w:left w:type="dxa" w:w="90"/>
              <w:bottom w:type="dxa" w:w="50"/>
              <w:right w:type="dxa" w:w="90"/>
            </w:tcMar>
          </w:tcPr>
          <w:p>
            <w:pPr>
              <w:spacing w:after="30" w:line="240"/>
            </w:pPr>
            <w:r>
              <w:rPr>
                <w:rFonts w:ascii="Calibri" w:cs="Calibri" w:eastAsia="Calibri" w:hAnsi="Calibri"/>
                <w:sz w:val="18"/>
                <w:szCs w:val="18"/>
              </w:rPr>
              <w:t xml:space="preserve">Six expériences exécutées ; hypothèses H1 à H5 statuées ; figures régénérables ; chapitre évaluation en brouillon complet</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w:t>
            </w:r>
          </w:p>
        </w:tc>
        <w:tc>
          <w:tcPr>
            <w:tcW w:type="dxa" w:w="6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sur deux téléphones ; trois répétitions chronométrées sous dix minutes ; guide de démarrage validé par un tiers</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Mémoire et soutenance</w:t>
            </w:r>
          </w:p>
        </w:tc>
        <w:tc>
          <w:tcPr>
            <w:tcW w:type="dxa" w:w="6000"/>
            <w:tcMar>
              <w:top w:type="dxa" w:w="50"/>
              <w:left w:type="dxa" w:w="90"/>
              <w:bottom w:type="dxa" w:w="50"/>
              <w:right w:type="dxa" w:w="90"/>
            </w:tcMar>
          </w:tcPr>
          <w:p>
            <w:pPr>
              <w:spacing w:after="30" w:line="240"/>
            </w:pPr>
            <w:r>
              <w:rPr>
                <w:rFonts w:ascii="Calibri" w:cs="Calibri" w:eastAsia="Calibri" w:hAnsi="Calibri"/>
                <w:sz w:val="18"/>
                <w:szCs w:val="18"/>
              </w:rPr>
              <w:t xml:space="preserve">Mémoire complet ; soutenance blanche ; zéro défaut critique ouvert ; dépôt déposé dans les délais</w:t>
            </w:r>
          </w:p>
        </w:tc>
      </w:tr>
    </w:tbl>
    <w:p>
      <w:pPr>
        <w:spacing w:after="80"/>
      </w:pPr>
    </w:p>
    <w:p>
      <w:pPr>
        <w:spacing w:after="100" w:line="264"/>
      </w:pPr>
      <w:r>
        <w:rPr>
          <w:rFonts w:ascii="Calibri" w:cs="Calibri" w:eastAsia="Calibri" w:hAnsi="Calibri"/>
          <w:sz w:val="21"/>
          <w:szCs w:val="21"/>
        </w:rPr>
        <w:t xml:space="preserve">Le mois 7 est également l’amortisseur du projet. S’il est entièrement consommé par la rédaction, c’est que la règle de rédaction continue n’a pas été tenue.</w:t>
      </w:r>
    </w:p>
    <w:p>
      <w:pPr>
        <w:pStyle w:val="Heading1"/>
        <w:spacing w:after="140" w:before="320"/>
      </w:pPr>
      <w:r>
        <w:rPr>
          <w:rFonts w:ascii="Calibri" w:cs="Calibri" w:eastAsia="Calibri" w:hAnsi="Calibri"/>
        </w:rPr>
        <w:t xml:space="preserve">6. Règles de branche et de revue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c>
          <w:tcPr>
            <w:tcW w:type="dxa" w:w="5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Énoncé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Branche par tâche</w:t>
            </w:r>
          </w:p>
        </w:tc>
        <w:tc>
          <w:tcPr>
            <w:tcW w:type="dxa" w:w="5300"/>
            <w:tcMar>
              <w:top w:type="dxa" w:w="50"/>
              <w:left w:type="dxa" w:w="90"/>
              <w:bottom w:type="dxa" w:w="50"/>
              <w:right w:type="dxa" w:w="90"/>
            </w:tcMar>
          </w:tcPr>
          <w:p>
            <w:pPr>
              <w:spacing w:after="30" w:line="240"/>
            </w:pPr>
            <w:r>
              <w:rPr>
                <w:rFonts w:ascii="Calibri" w:cs="Calibri" w:eastAsia="Calibri" w:hAnsi="Calibri"/>
                <w:sz w:val="18"/>
                <w:szCs w:val="18"/>
              </w:rPr>
              <w:t xml:space="preserve">Une branche nommée d’après l’exigence couverte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Convention, vérifiée en revue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poussée directe</w:t>
            </w:r>
          </w:p>
        </w:tc>
        <w:tc>
          <w:tcPr>
            <w:tcW w:type="dxa" w:w="5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branche principale est protégée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du dépôt</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Portes avant relecture</w:t>
            </w:r>
          </w:p>
        </w:tc>
        <w:tc>
          <w:tcPr>
            <w:tcW w:type="dxa" w:w="5300"/>
            <w:tcMar>
              <w:top w:type="dxa" w:w="50"/>
              <w:left w:type="dxa" w:w="90"/>
              <w:bottom w:type="dxa" w:w="50"/>
              <w:right w:type="dxa" w:w="90"/>
            </w:tcMar>
          </w:tcPr>
          <w:p>
            <w:pPr>
              <w:spacing w:after="30" w:line="240"/>
            </w:pPr>
            <w:r>
              <w:rPr>
                <w:rFonts w:ascii="Calibri" w:cs="Calibri" w:eastAsia="Calibri" w:hAnsi="Calibri"/>
                <w:sz w:val="18"/>
                <w:szCs w:val="18"/>
              </w:rPr>
              <w:t xml:space="preserve">La relecture humaine ne commence pas tant que les portes sont rouges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Intégration continue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Relecture intégrale</w:t>
            </w:r>
          </w:p>
        </w:tc>
        <w:tc>
          <w:tcPr>
            <w:tcW w:type="dxa" w:w="5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lit tout le changement, sans exception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Acceptation explicite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Refus de l’incompris</w:t>
            </w:r>
          </w:p>
        </w:tc>
        <w:tc>
          <w:tcPr>
            <w:tcW w:type="dxa" w:w="5300"/>
            <w:tcMar>
              <w:top w:type="dxa" w:w="50"/>
              <w:left w:type="dxa" w:w="90"/>
              <w:bottom w:type="dxa" w:w="50"/>
              <w:right w:type="dxa" w:w="90"/>
            </w:tcMar>
          </w:tcPr>
          <w:p>
            <w:pPr>
              <w:spacing w:after="30" w:line="240"/>
            </w:pPr>
            <w:r>
              <w:rPr>
                <w:rFonts w:ascii="Calibri" w:cs="Calibri" w:eastAsia="Calibri" w:hAnsi="Calibri"/>
                <w:sz w:val="18"/>
                <w:szCs w:val="18"/>
              </w:rPr>
              <w:t xml:space="preserve">Tout code que le candidat ne comprend pas est renvoyé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Règle de revue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renforcée</w:t>
            </w:r>
          </w:p>
        </w:tc>
        <w:tc>
          <w:tcPr>
            <w:tcW w:type="dxa" w:w="5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 nonce, journal d’audit, machine à états : lecture ligne à ligne, compte rendu écrit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Consigné dans les revues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Fusion</w:t>
            </w:r>
          </w:p>
        </w:tc>
        <w:tc>
          <w:tcPr>
            <w:tcW w:type="dxa" w:w="5300"/>
            <w:tcMar>
              <w:top w:type="dxa" w:w="50"/>
              <w:left w:type="dxa" w:w="90"/>
              <w:bottom w:type="dxa" w:w="50"/>
              <w:right w:type="dxa" w:w="90"/>
            </w:tcMar>
          </w:tcPr>
          <w:p>
            <w:pPr>
              <w:spacing w:after="30" w:line="240"/>
            </w:pPr>
            <w:r>
              <w:rPr>
                <w:rFonts w:ascii="Calibri" w:cs="Calibri" w:eastAsia="Calibri" w:hAnsi="Calibri"/>
                <w:sz w:val="18"/>
                <w:szCs w:val="18"/>
              </w:rPr>
              <w:t xml:space="preserve">La fusion vaut engagement devant le jury</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pStyle w:val="Heading1"/>
        <w:spacing w:after="140" w:before="320"/>
      </w:pPr>
      <w:r>
        <w:rPr>
          <w:rFonts w:ascii="Calibri" w:cs="Calibri" w:eastAsia="Calibri" w:hAnsi="Calibri"/>
        </w:rPr>
        <w:t xml:space="preserve">7. Registres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Registre</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Emplacement</w:t>
            </w:r>
          </w:p>
        </w:tc>
        <w:tc>
          <w:tcPr>
            <w:tcW w:type="dxa" w:w="4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 de tenue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Questions ouvertes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docs/00-registre-questions.md</w:t>
            </w:r>
          </w:p>
        </w:tc>
        <w:tc>
          <w:tcPr>
            <w:tcW w:type="dxa" w:w="4800"/>
            <w:tcMar>
              <w:top w:type="dxa" w:w="50"/>
              <w:left w:type="dxa" w:w="90"/>
              <w:bottom w:type="dxa" w:w="50"/>
              <w:right w:type="dxa" w:w="90"/>
            </w:tcMar>
          </w:tcPr>
          <w:p>
            <w:pPr>
              <w:spacing w:after="30" w:line="240"/>
            </w:pPr>
            <w:r>
              <w:rPr>
                <w:rFonts w:ascii="Calibri" w:cs="Calibri" w:eastAsia="Calibri" w:hAnsi="Calibri"/>
                <w:sz w:val="18"/>
                <w:szCs w:val="18"/>
              </w:rPr>
              <w:t xml:space="preserve">Une ligne par question : énoncé, ce qu’elle bloque, propriétaire, échéance, statut. Fermée uniquement par une réponse écrite.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Décisions d’architecture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docs/01-decisions/</w:t>
            </w:r>
          </w:p>
        </w:tc>
        <w:tc>
          <w:tcPr>
            <w:tcW w:type="dxa" w:w="4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fichier par décision : contexte, décision, alternatives rejetées et motif, conséquences, statut. Jamais supprimée ; remplacée par une nouvelle qui la référence.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Défauts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docs/03-revues/</w:t>
            </w:r>
          </w:p>
        </w:tc>
        <w:tc>
          <w:tcPr>
            <w:tcW w:type="dxa" w:w="4800"/>
            <w:tcMar>
              <w:top w:type="dxa" w:w="50"/>
              <w:left w:type="dxa" w:w="90"/>
              <w:bottom w:type="dxa" w:w="50"/>
              <w:right w:type="dxa" w:w="90"/>
            </w:tcMar>
          </w:tcPr>
          <w:p>
            <w:pPr>
              <w:spacing w:after="30" w:line="240"/>
            </w:pPr>
            <w:r>
              <w:rPr>
                <w:rFonts w:ascii="Calibri" w:cs="Calibri" w:eastAsia="Calibri" w:hAnsi="Calibri"/>
                <w:sz w:val="18"/>
                <w:szCs w:val="18"/>
              </w:rPr>
              <w:t xml:space="preserve">Selon la classification d’ISC-TEST : sévérité, exigence violée, commande de reproduction, verdict.</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docs/03-revues/</w:t>
            </w:r>
          </w:p>
        </w:tc>
        <w:tc>
          <w:tcPr>
            <w:tcW w:type="dxa" w:w="4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compte rendu par revue hebdomadaire et par revue de jalon.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Sources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docs/04-sources/</w:t>
            </w:r>
          </w:p>
        </w:tc>
        <w:tc>
          <w:tcPr>
            <w:tcW w:type="dxa" w:w="4800"/>
            <w:tcMar>
              <w:top w:type="dxa" w:w="50"/>
              <w:left w:type="dxa" w:w="90"/>
              <w:bottom w:type="dxa" w:w="50"/>
              <w:right w:type="dxa" w:w="90"/>
            </w:tcMar>
          </w:tcPr>
          <w:p>
            <w:pPr>
              <w:spacing w:after="30" w:line="240"/>
            </w:pPr>
            <w:r>
              <w:rPr>
                <w:rFonts w:ascii="Calibri" w:cs="Calibri" w:eastAsia="Calibri" w:hAnsi="Calibri"/>
                <w:sz w:val="18"/>
                <w:szCs w:val="18"/>
              </w:rPr>
              <w:t xml:space="preserve">Une fiche par source : ce qu’elle établit, ce qu’elle ne couvre pas, en quoi le projet s’en distingue.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Traçabilité</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docs/traceability.csv</w:t>
            </w:r>
          </w:p>
        </w:tc>
        <w:tc>
          <w:tcPr>
            <w:tcW w:type="dxa" w:w="4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Générée ; une exigence obligatoire sans test associé fait échouer une porte.</w:t>
            </w:r>
          </w:p>
        </w:tc>
      </w:tr>
    </w:tbl>
    <w:p>
      <w:pPr>
        <w:spacing w:after="80"/>
      </w:pPr>
    </w:p>
    <w:p>
      <w:pPr>
        <w:pStyle w:val="Heading1"/>
        <w:spacing w:after="140" w:before="320"/>
      </w:pPr>
      <w:r>
        <w:rPr>
          <w:rFonts w:ascii="Calibri" w:cs="Calibri" w:eastAsia="Calibri" w:hAnsi="Calibri"/>
        </w:rPr>
        <w:t xml:space="preserve">8. Métriques de pilotage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2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Indicateur</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qu’il révèle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Fréquence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Seuil d’alerte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Exigences obligatoires couvertes par un test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Avancement réel, non déclaratif</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Hebdomadaire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Stagnation deux semaines de suite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d’abus verts sur treize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Progression de la thèse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Hebdomadaire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Questions ouvertes bloquantes</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Risque d’immobilisation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Hebdomadaire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Plus de trois, ou une ouverte depuis plus de deux semaines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Défauts critiques ouverts</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Santé du système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Continu</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seul suffit à arrêter tout autre travail</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Éléments en attente de relecture</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Goulot de revue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Hebdomadaire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Plus de trois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Chapitres du mémoire en retard sur le jalon</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Risque du mois 7</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Mensuelle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chapitre de retard</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Temps réel disponible du candidat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Réalisme du plan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Mensuelle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Deux mois consécutifs sous l’hypothèse de charge</w:t>
            </w:r>
          </w:p>
        </w:tc>
      </w:tr>
    </w:tbl>
    <w:p>
      <w:pPr>
        <w:spacing w:after="80"/>
      </w:pPr>
    </w:p>
    <w:p>
      <w:pPr>
        <w:spacing w:after="100" w:line="264"/>
      </w:pPr>
      <w:r>
        <w:rPr>
          <w:rFonts w:ascii="Calibri" w:cs="Calibri" w:eastAsia="Calibri" w:hAnsi="Calibri"/>
          <w:sz w:val="21"/>
          <w:szCs w:val="21"/>
        </w:rPr>
        <w:t xml:space="preserve">Ces indicateurs ne servent pas à rendre compte : ils servent à déclencher une replanification avant qu’il ne soit trop tard. Le seul indicateur d’avancement légitime est le nombre d’exigences réellement vérifiées.</w:t>
      </w:r>
    </w:p>
    <w:p>
      <w:pPr>
        <w:pStyle w:val="Heading1"/>
        <w:spacing w:after="140" w:before="320"/>
      </w:pPr>
      <w:r>
        <w:rPr>
          <w:rFonts w:ascii="Calibri" w:cs="Calibri" w:eastAsia="Calibri" w:hAnsi="Calibri"/>
        </w:rPr>
        <w:t xml:space="preserve">9. Gestion des écarts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Situation</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Réponse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Un jalon ne satisfait pas sa Definition of Done</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Le jalon n’est pas accepté. Deux options : réduire le périmètre du jalon par décision écrite, ou décaler en consommant l’amortisseur. Jamais d’acceptation partielle silencieuse.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exigence se révèle irréalisable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Elle passe en RETIRÉE avec motif et décision d’architecture ; son absence est énoncée dans le mémoire.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Un spike infirme une hypothèse structurante</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L’architecture est révisée avant de poursuivre. Aucun contournement du résultat d’un spike.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disponibilité du candidat s’effondre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Replanification immédiate : les exigences facultatives passent en RETIRÉES, les obligatoires sont préservées.</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Un désaccord persiste avec l’encadrement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Le candidat tranche, par écrit, avec ses motifs. C’est son projet et sa responsabilité devant le jury.</w:t>
            </w:r>
          </w:p>
        </w:tc>
      </w:tr>
    </w:tbl>
    <w:p>
      <w:pPr>
        <w:spacing w:after="80"/>
      </w:pPr>
    </w:p>
    <w:p>
      <w:pPr>
        <w:pStyle w:val="Heading1"/>
        <w:spacing w:after="140" w:before="320"/>
      </w:pPr>
      <w:r>
        <w:rPr>
          <w:rFonts w:ascii="Calibri" w:cs="Calibri" w:eastAsia="Calibri" w:hAnsi="Calibri"/>
        </w:rPr>
        <w:t xml:space="preserve">10. Ce que ce document ne décide pas</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 découpage fin des tâches des mois 2 à 6 : il est produit au début de chaque mois, à partir des exigences du jalon, et vit dans le tableau, non dans un document figé.</w:t>
      </w:r>
    </w:p>
    <w:p>
      <w:pPr>
        <w:pStyle w:val="ListParagraph"/>
        <w:numPr>
          <w:ilvl w:val="0"/>
          <w:numId w:val="2"/>
        </w:numPr>
        <w:spacing w:after="60" w:line="264"/>
      </w:pPr>
      <w:r>
        <w:rPr>
          <w:rFonts w:ascii="Calibri" w:cs="Calibri" w:eastAsia="Calibri" w:hAnsi="Calibri"/>
          <w:sz w:val="21"/>
          <w:szCs w:val="21"/>
        </w:rPr>
        <w:t xml:space="preserve">Le contenu du mémoire : il suit le plan académique imposé par l’université, encore inconnu (question ouverte sur le format).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ISC-PROC v1.0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Processus d’ingénierie v1.0</dc:title>
  <dc:creator>IdentiShield-CM</dc:creator>
  <cp:lastModifiedBy>Un-named</cp:lastModifiedBy>
  <cp:revision>1</cp:revision>
  <dcterms:created xsi:type="dcterms:W3CDTF">2026-08-22T17:58:10.934Z</dcterms:created>
  <dcterms:modified xsi:type="dcterms:W3CDTF">2026-08-22T17:58:10.934Z</dcterms:modified>
</cp:coreProperties>
</file>

<file path=docProps/custom.xml><?xml version="1.0" encoding="utf-8"?>
<Properties xmlns="http://schemas.openxmlformats.org/officeDocument/2006/custom-properties" xmlns:vt="http://schemas.openxmlformats.org/officeDocument/2006/docPropsVTypes"/>
</file>