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rFonts w:ascii="Calibri" w:cs="Calibri" w:eastAsia="Calibri" w:hAnsi="Calibri"/>
          <w:b/>
          <w:bCs/>
          <w:color w:val="1F3864"/>
          <w:sz w:val="60"/>
          <w:szCs w:val="60"/>
        </w:rPr>
        <w:t xml:space="preserve">IdentiShield-CM</w:t>
      </w:r>
    </w:p>
    <w:p>
      <w:pPr>
        <w:spacing w:after="380"/>
        <w:jc w:val="center"/>
      </w:pPr>
      <w:r>
        <w:rPr>
          <w:rFonts w:ascii="Calibri" w:cs="Calibri" w:eastAsia="Calibri" w:hAnsi="Calibri"/>
          <w:i/>
          <w:iCs/>
          <w:sz w:val="24"/>
          <w:szCs w:val="24"/>
        </w:rPr>
        <w:t xml:space="preserve">Secure Identity &amp; Behavioral Trust Layer for Mobile Money Platforms in Cameroon</w:t>
      </w:r>
    </w:p>
    <w:p>
      <w:pPr>
        <w:spacing w:after="120"/>
        <w:jc w:val="center"/>
      </w:pPr>
      <w:r>
        <w:rPr>
          <w:rFonts w:ascii="Calibri" w:cs="Calibri" w:eastAsia="Calibri" w:hAnsi="Calibri"/>
          <w:b/>
          <w:bCs/>
          <w:sz w:val="34"/>
          <w:szCs w:val="34"/>
        </w:rPr>
        <w:t xml:space="preserve">CAHIER DES CHARGES</w:t>
      </w:r>
    </w:p>
    <w:p>
      <w:pPr>
        <w:spacing w:after="460"/>
        <w:jc w:val="center"/>
      </w:pPr>
      <w:r>
        <w:rPr>
          <w:rFonts w:ascii="Calibri" w:cs="Calibri" w:eastAsia="Calibri" w:hAnsi="Calibri"/>
          <w:sz w:val="21"/>
          <w:szCs w:val="21"/>
        </w:rPr>
        <w:t xml:space="preserve">Software Requirements Specification — structure ISO/IEC/IEEE 29148:2018, amendée pour un projet de recherche en sécurité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6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Valeur</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Identifiant</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ISC-SRS-FR</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Version</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1.2</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Statut</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REVIEW — soumis au candidat (propriétaire) et au superviseur académique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Date</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20 août 2026</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Auteur</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Encadrement technique (rédaction) ; Yaniv (propriétaire : valide ou amende chaque exigence)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Superviseur académique</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Engr. Moune Daniel, ICT University, Yaoundé</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Documents amont</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ISC-CHARTE v0.1 (dossier de cadrage) ; ISC-TM v1.1 (modèle de menace) ; journal de défauts de la revue v1.1</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Documents aval</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ISC-SAD ; ISC-EVAL ; ISC-TEST ; ISC-DEMO ; mémoire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Langues</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Ce document existe en français (ISC-SRS-FR) et en anglais (ISC-SRS-EN). En cas de divergence, la version française fait foi jusqu’à décision contraire du superviseur.</w:t>
            </w:r>
          </w:p>
        </w:tc>
      </w:tr>
    </w:tbl>
    <w:p>
      <w:pPr>
        <w:spacing w:after="80"/>
      </w:pPr>
    </w:p>
    <w:p>
      <w:pPr>
        <w:pStyle w:val="Heading3"/>
        <w:spacing w:after="80" w:before="160"/>
      </w:pPr>
      <w:r>
        <w:rPr>
          <w:rFonts w:ascii="Calibri" w:cs="Calibri" w:eastAsia="Calibri" w:hAnsi="Calibri"/>
        </w:rPr>
        <w:t xml:space="preserve">Historique des révisions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55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Version</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Date</w:t>
            </w:r>
          </w:p>
        </w:tc>
        <w:tc>
          <w:tcPr>
            <w:tcW w:type="dxa" w:w="1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Auteur</w:t>
            </w:r>
          </w:p>
        </w:tc>
        <w:tc>
          <w:tcPr>
            <w:tcW w:type="dxa" w:w="5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Modification</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1.0</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c>
          <w:tcPr>
            <w:tcW w:type="dxa" w:w="5500"/>
            <w:tcMar>
              <w:top w:type="dxa" w:w="50"/>
              <w:left w:type="dxa" w:w="90"/>
              <w:bottom w:type="dxa" w:w="50"/>
              <w:right w:type="dxa" w:w="90"/>
            </w:tcMar>
          </w:tcPr>
          <w:p>
            <w:pPr>
              <w:spacing w:after="30" w:line="240"/>
            </w:pPr>
            <w:r>
              <w:rPr>
                <w:rFonts w:ascii="Calibri" w:cs="Calibri" w:eastAsia="Calibri" w:hAnsi="Calibri"/>
                <w:sz w:val="18"/>
                <w:szCs w:val="18"/>
              </w:rPr>
              <w:t xml:space="preserve">Première rédaction complète.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1.1</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c>
          <w:tcPr>
            <w:tcW w:type="dxa" w:w="5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 de complétude : ajout interfaces externes (§9), exigences de données (§10), cas d’utilisation détaillés (§6bis), sous-système de notification, remplacement légitime de SIM, sauvegarde des artefacts, déclaration d’usage d’outil IA, références normatives, bloc d’approbation. Éclatement des exigences non atomiques (EF-26, ES-05, ENF-08). Colonne RACI « outil » reformulée.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1.2</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c>
          <w:tcPr>
            <w:tcW w:type="dxa" w:w="5500"/>
            <w:tcMar>
              <w:top w:type="dxa" w:w="50"/>
              <w:left w:type="dxa" w:w="90"/>
              <w:bottom w:type="dxa" w:w="50"/>
              <w:right w:type="dxa" w:w="90"/>
            </w:tcMar>
          </w:tcPr>
          <w:p>
            <w:pPr>
              <w:spacing w:after="30" w:line="240"/>
            </w:pPr>
            <w:r>
              <w:rPr>
                <w:rFonts w:ascii="Calibri" w:cs="Calibri" w:eastAsia="Calibri" w:hAnsi="Calibri"/>
                <w:sz w:val="18"/>
                <w:szCs w:val="18"/>
              </w:rPr>
              <w:t xml:space="preserve">Revue formelle v1.1 (21 défauts). ES-01 et ES-16 RETIRÉES, remplacées par ES-01b et ES-16b (changement d’IMSI → PROBATION, carence portée par le PDP). Ajouts : ES-17 (premier enrôlement), EF-38 (langue console), EF-44 (contacts de confiance via USSD), ED-10 (localité), ED-09 plage MSISDN, ENF-17 (contenu des notifications), SQ-30 (charge), tableau des facteurs d’authentification par canal, UC-01 détaillé, définition de l’IMSI de référence, granularité du FPR, AC-13, ADR-012 à 015.</w:t>
            </w:r>
          </w:p>
        </w:tc>
      </w:tr>
    </w:tbl>
    <w:p>
      <w:pPr>
        <w:spacing w:after="80"/>
      </w:pPr>
    </w:p>
    <w:p>
      <w:pPr>
        <w:pStyle w:val="Heading3"/>
        <w:spacing w:after="80" w:before="160"/>
      </w:pPr>
      <w:r>
        <w:rPr>
          <w:rFonts w:ascii="Calibri" w:cs="Calibri" w:eastAsia="Calibri" w:hAnsi="Calibri"/>
        </w:rPr>
        <w:t xml:space="preserve">Approbation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400"/>
        <w:gridCol w:w="16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Rôle</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Nom</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c>
          <w:tcPr>
            <w:tcW w:type="dxa" w:w="1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Date</w:t>
            </w:r>
          </w:p>
        </w:tc>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Signature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Candidat (propriétaire)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Yaniv</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Superviseur académique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Engr. Moune Daniel</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Encadrement technique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Rédigé, revu (v1.1), corrigé (v1.2), soumis</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bl>
    <w:p>
      <w:pPr>
        <w:spacing w:after="80"/>
      </w:pPr>
    </w:p>
    <w:p>
      <w:r>
        <w:br w:type="page"/>
      </w:r>
    </w:p>
    <w:p>
      <w:pPr>
        <w:pStyle w:val="Heading1"/>
      </w:pPr>
      <w:r>
        <w:rPr>
          <w:rFonts w:ascii="Calibri" w:cs="Calibri" w:eastAsia="Calibri" w:hAnsi="Calibri"/>
        </w:rPr>
        <w:t xml:space="preserve">Table des matières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rPr>
        <w:t xml:space="preserve">0. Conventions de lecture</w:t>
      </w:r>
    </w:p>
    <w:p>
      <w:pPr>
        <w:spacing w:after="100" w:line="264"/>
      </w:pPr>
      <w:r>
        <w:rPr>
          <w:rFonts w:ascii="Calibri" w:cs="Calibri" w:eastAsia="Calibri" w:hAnsi="Calibri"/>
          <w:sz w:val="21"/>
          <w:szCs w:val="21"/>
        </w:rPr>
        <w:t xml:space="preserve">Vocabulaire normatif (RFC 2119 / ISO 29148) : DOIT = obligatoire ; DEVRAIT = recommandé, tout écart justifié par écrit ; PEUT = optionnel. Priorité MoSCoW : M (Must), S (Should), C (Could), W (Won’t, cette version). Méthode de vérification : T = test automatisé ; D = démonstration ; I = inspection ; A = analyse ou mesure.</w:t>
      </w:r>
    </w:p>
    <w:p>
      <w:pPr>
        <w:spacing w:after="100" w:line="264"/>
      </w:pPr>
      <w:r>
        <w:rPr>
          <w:rFonts w:ascii="Calibri" w:cs="Calibri" w:eastAsia="Calibri" w:hAnsi="Calibri"/>
          <w:sz w:val="21"/>
          <w:szCs w:val="21"/>
        </w:rPr>
        <w:t xml:space="preserve">Familles d’identifiants : EF (fonctionnelle), ES (sécurité, tracée vers un cas d’abus AC), ENF (non fonctionnelle), EAR (artefacts de recherche), ED (données), EI (interface), CT (contrainte), UC (cas d’utilisation), AC (cas d’abus), QR/H (question de recherche / hypothèse), R (risque), L (livrable), CR (critère de recette), ADR (décision d’architecture).</w:t>
      </w:r>
    </w:p>
    <w:p>
      <w:pPr>
        <w:spacing w:after="100" w:line="264"/>
      </w:pPr>
      <w:r>
        <w:rPr>
          <w:rFonts w:ascii="Calibri" w:cs="Calibri" w:eastAsia="Calibri" w:hAnsi="Calibri"/>
          <w:sz w:val="21"/>
          <w:szCs w:val="21"/>
        </w:rPr>
        <w:t xml:space="preserve">Une exigence RETIRÉE conserve son identifiant, est marquée comme telle avec le défaut qui l’a retirée, et est remplacée par un nouvel identifiant suffixé (ex. ES-01b). Rien n’est supprimé.</w:t>
      </w:r>
    </w:p>
    <w:p>
      <w:pPr>
        <w:spacing w:after="100" w:line="264"/>
      </w:pPr>
      <w:r>
        <w:rPr>
          <w:rFonts w:ascii="Calibri" w:cs="Calibri" w:eastAsia="Calibri" w:hAnsi="Calibri"/>
          <w:sz w:val="21"/>
          <w:szCs w:val="21"/>
        </w:rPr>
        <w:t xml:space="preserve">Règle d’atomicité : une exigence = une obligation = une priorité = une méthode de vérification. Les paramètres nommés (CAR_IMSI, CAP_PROB, THR_HIGH, THR_4EYES, TTL_FREEZE, NIGHT, VEL, DEFER, CAR_ENROL) sont définis dans ISC-TM §7 ; ce document les référence par nom, jamais par valeur.</w:t>
      </w:r>
    </w:p>
    <w:p>
      <w:pPr>
        <w:pStyle w:val="Heading3"/>
        <w:spacing w:after="80" w:before="160"/>
      </w:pPr>
      <w:r>
        <w:rPr>
          <w:rFonts w:ascii="Calibri" w:cs="Calibri" w:eastAsia="Calibri" w:hAnsi="Calibri"/>
        </w:rPr>
        <w:t xml:space="preserve">Références normatives et informatives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Réf.</w:t>
            </w:r>
          </w:p>
        </w:tc>
        <w:tc>
          <w:tcPr>
            <w:tcW w:type="dxa" w:w="8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Document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[N1]</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ISO/IEC/IEEE 29148:2018 — Systems and software engineering — Life cycle processes — Requirements engineering.</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[N2]</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NIST SP 800-63B, Digital Identity Guidelines: Authentication and Lifecycle Management (rev 3, 2017 ; rev 4, 2024) — §5.1.3.3 (PSTN restreint), §6.1.2 (liaison d’un nouvel authentifiant).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[N3]</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GSMA Open Gateway / CAMARA — Sim Swap API, Device Swap API.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[N4]</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RFC 2119 — Key words for use in RFCs to Indicate Requirement Levels.</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[N5]</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Microsoft Security Development Lifecycle — Threat Modeling (STRIDE).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[I1]</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Loi n° 2010/012 du 21 décembre 2010 relative à la cybersécurité et la cybercriminalité au Cameroun.</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[I2]</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Loi camerounaise de 2024 relative à la protection des données à caractère personnel (numéro exact à vérifier avant citation).</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[I3]</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Safaricom, communiqué du 9 novembre 2021, mesures anti-SIM swap.</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[I4]</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MoMTSim — A labeled synthetic mobile money transaction dataset (2025) ; PaySim (Lopez-Rojas et al., 2016).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[I5]</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Sayibu et al., Fraud Prediction and Prevention in MMPS: A Systematic Literature Review (2025).</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[I6]</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MINPOSTEL, « Arnaque via Mobile Money — la riposte du Ministre » ; FHNW, Mobile Money &amp; Social Engineering in Cameroon (2025).</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[I7]</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ISC-CHARTE v0.1 ; ISC-TM v1.1 ; journal de défauts ISC-SRS v1.1.</w:t>
            </w:r>
          </w:p>
        </w:tc>
      </w:tr>
    </w:tbl>
    <w:p>
      <w:pPr>
        <w:spacing w:after="80"/>
      </w:pPr>
    </w:p>
    <w:p>
      <w:pPr>
        <w:pStyle w:val="Heading1"/>
        <w:spacing w:after="140" w:before="320"/>
      </w:pPr>
      <w:r>
        <w:rPr>
          <w:rFonts w:ascii="Calibri" w:cs="Calibri" w:eastAsia="Calibri" w:hAnsi="Calibri"/>
        </w:rPr>
        <w:t xml:space="preserve">PARTIE I — CADRAGE</w:t>
      </w:r>
    </w:p>
    <w:p>
      <w:pPr>
        <w:pStyle w:val="Heading2"/>
        <w:spacing w:after="100" w:before="220"/>
      </w:pPr>
      <w:r>
        <w:rPr>
          <w:rFonts w:ascii="Calibri" w:cs="Calibri" w:eastAsia="Calibri" w:hAnsi="Calibri"/>
        </w:rPr>
        <w:t xml:space="preserve">1. Résumé exécutif</w:t>
      </w:r>
    </w:p>
    <w:p>
      <w:pPr>
        <w:spacing w:after="100" w:line="264"/>
      </w:pPr>
      <w:r>
        <w:rPr>
          <w:rFonts w:ascii="Calibri" w:cs="Calibri" w:eastAsia="Calibri" w:hAnsi="Calibri"/>
          <w:sz w:val="21"/>
          <w:szCs w:val="21"/>
        </w:rPr>
        <w:t xml:space="preserve">Les plateformes de Mobile Money au Cameroun authentifient une transaction par PIN et OTP SMS. L’OTP prouve la possession du numéro, pas l’identité : un échange de SIM (SIM swap), obtenu par ingénierie sociale ou agent complice, transfère ce facteur à l’attaquant. NIST SP 800-63B [N2] classe cet authentifiant comme restreint et impose de lier le numéro à un appareil physique et de traiter le changement de SIM comme indicateur de risque. IdentiShield-CM est un point de décision de politique (PDP) inséré dans le flux d’autorisation d’un opérateur simulé : il combine un veto cryptographique (clé de dispositif), un veto de transition (changement d’IMSI → probation) et un score comportemental pour rendre une décision graduée ALLOW / STEP_UP / FREEZE avant tout commit. Le changement d’IMSI place le compte en probation plafonnée plutôt qu’en blocage total, afin que la protection reste supportable pour un utilisateur dont le téléphone a été volé. Le projet livre un testbed ouvert, reproductible, calibré sur le Cameroun, couvrant les canaux application et USSD, un générateur de transactions à base d’agents et une évaluation quantifiée comparant règles et apprentissage. Durée : 7 mois. Périmètre strictement sandbox. Réussite : treize cas d’abus rejoués devant le jury, attaque réussie sans la couche, neutralisée avec, métriques régénérables par une commande.</w:t>
      </w:r>
    </w:p>
    <w:p>
      <w:pPr>
        <w:pStyle w:val="Heading2"/>
        <w:spacing w:after="100" w:before="220"/>
      </w:pPr>
      <w:r>
        <w:rPr>
          <w:rFonts w:ascii="Calibri" w:cs="Calibri" w:eastAsia="Calibri" w:hAnsi="Calibri"/>
        </w:rPr>
        <w:t xml:space="preserve">2. Contexte et justification</w:t>
      </w:r>
    </w:p>
    <w:p>
      <w:pPr>
        <w:spacing w:after="100" w:line="264"/>
      </w:pPr>
      <w:r>
        <w:rPr>
          <w:rFonts w:ascii="Calibri" w:cs="Calibri" w:eastAsia="Calibri" w:hAnsi="Calibri"/>
          <w:sz w:val="21"/>
          <w:szCs w:val="21"/>
        </w:rPr>
        <w:t xml:space="preserve">Situation actuelle : contrôle d’accès par PIN + OTP SMS sur USSD et application ; reprogrammation de SIM décrite par les acteurs comme faillible et accessible aux fraudeurs [I6]. Les opérateurs attribuent la fraude à l’ingénierie sociale ; ce projet traite les deux explications comme compatibles et ferme l’écart architectural indépendamment de la cause attribuée.</w:t>
      </w:r>
    </w:p>
    <w:p>
      <w:pPr>
        <w:spacing w:after="100" w:line="264"/>
      </w:pPr>
      <w:r>
        <w:rPr>
          <w:rFonts w:ascii="Calibri" w:cs="Calibri" w:eastAsia="Calibri" w:hAnsi="Calibri"/>
          <w:sz w:val="21"/>
          <w:szCs w:val="21"/>
        </w:rPr>
        <w:t xml:space="preserve">Coût de l’inaction : perte irréversible des fonds, absence de mécanisme de gel, érosion de la confiance dans un service porteur de l’inclusion financière.</w:t>
      </w:r>
    </w:p>
    <w:p>
      <w:pPr>
        <w:spacing w:after="100" w:line="264"/>
      </w:pPr>
      <w:r>
        <w:rPr>
          <w:rFonts w:ascii="Calibri" w:cs="Calibri" w:eastAsia="Calibri" w:hAnsi="Calibri"/>
          <w:sz w:val="21"/>
          <w:szCs w:val="21"/>
        </w:rPr>
        <w:t xml:space="preserve">Traçabilité : document de description initial (Draft v1.0) ; audit d’encadrement (8 failles, ISC-CHARTE §3) ; état de l’art (ISC-CHARTE §9) ; modèle de menace (ISC-TM).</w:t>
      </w:r>
    </w:p>
    <w:p>
      <w:pPr>
        <w:pStyle w:val="Heading2"/>
        <w:spacing w:after="100" w:before="220"/>
      </w:pPr>
      <w:r>
        <w:rPr>
          <w:rFonts w:ascii="Calibri" w:cs="Calibri" w:eastAsia="Calibri" w:hAnsi="Calibri"/>
        </w:rPr>
        <w:t xml:space="preserve">3. Objectifs SMART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3000"/>
        <w:gridCol w:w="16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3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Objectif</w:t>
            </w:r>
          </w:p>
        </w:tc>
        <w:tc>
          <w:tcPr>
            <w:tcW w:type="dxa" w:w="3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Mesure</w:t>
            </w:r>
          </w:p>
        </w:tc>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Échéance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OBJ-1</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Reproduire dans le sandbox les treize cas d’abus AC-01 à AC-13, scriptés et rejouables</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13/13 exécutables par l’outil attaquant ; attaque réussie sans la couche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M2 (AC-02 à 07), M4 (tous)</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OBJ-2</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Neutraliser par la couche tous les cas d’abus couverts par un veto</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100 % FREEZE / refus sur AC-02, 03, 05, 06, 08, 09, 10, 11, 12, 13 ; perte plafonnée à CAP_PROB sur AC-07 avec IMSI</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OBJ-3</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Quantifier la protection résiduelle du score comportemental sans veto</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Rappel, FPR, latence sur AC-01, 04, 05, 06, 07 sans IMSI, par canal et persona</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OBJ-4</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Comparer règles et modèle appris sur le même jeu</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Rappel / FPR / latence / explicabilité</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OBJ-5</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Livrer un testbed reproductible</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Démo lancée en une commande en &lt; 10 min par un tiers</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M6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OBJ-6</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Livrer le mémoire et soutenir</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Chapitres complets ; figures régénérables</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M7</w:t>
            </w:r>
          </w:p>
        </w:tc>
      </w:tr>
    </w:tbl>
    <w:p>
      <w:pPr>
        <w:spacing w:after="80"/>
      </w:pPr>
    </w:p>
    <w:p>
      <w:pPr>
        <w:pStyle w:val="Heading2"/>
        <w:spacing w:after="100" w:before="220"/>
      </w:pPr>
      <w:r>
        <w:rPr>
          <w:rFonts w:ascii="Calibri" w:cs="Calibri" w:eastAsia="Calibri" w:hAnsi="Calibri"/>
        </w:rPr>
        <w:t xml:space="preserve">3bis. Questions de recherche et hypothèses falsifiables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500"/>
      </w:tblGrid>
      <w:tr>
        <w:trPr>
          <w:tblHeader/>
        </w:trPr>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Question / hypothèse</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Infirmée si</w:t>
            </w:r>
          </w:p>
        </w:tc>
      </w:tr>
      <w:tr>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QR-1 / H1</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Le device binding neutralise-t-il tous les cas d’abus par SIM swap sur le canal application ? H1 : 100 % de refus sur AC-03 et AC-11.</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Une sortie passe sans signature valide.</w:t>
            </w:r>
          </w:p>
        </w:tc>
      </w:tr>
      <w:tr>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QR-2 / H2</w:t>
            </w:r>
          </w:p>
        </w:tc>
        <w:tc>
          <w:tcPr>
            <w:tcW w:type="dxa" w:w="5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Sur USSD, quelle protection offrent les seuls signaux réseau et comportementaux ? H2 : avec IMSI, 100 % FREEZE sur AC-02, 04, 05, 06 et perte ≤ CAP_PROB sur AC-07 ; sans IMSI, rappel &gt; 70 % et FPR &lt; 5 % par persona (reporté par canal) sur AC-04, 05, 06 ; rappel ≈ 0 sur AC-07.</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Rappel &lt; 70 % ou FPR &gt; 5 % sur au moins un persona ; ou AC-07 détecté sans IMSI (biais du générateur).</w:t>
            </w:r>
          </w:p>
        </w:tc>
      </w:tr>
      <w:tr>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QR-3 / H3</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Règles ou modèle appris : meilleur compromis détection / FP / explicabilité ? H3 : écart de rappel &lt; 5 points, explicabilité supérieure pour les règles.</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Écart &gt; 5 points en faveur du ML.</w:t>
            </w:r>
          </w:p>
        </w:tc>
      </w:tr>
      <w:tr>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QR-4 / H4</w:t>
            </w:r>
          </w:p>
        </w:tc>
        <w:tc>
          <w:tcPr>
            <w:tcW w:type="dxa" w:w="5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Quelle carence post-IMSI minimise la friction à protection égale ? H4 : 72 h bloque AC-04, 24 h non ; friction &lt; 1 % des transactions légitimes.</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Friction &gt; 1 % à 72 h.</w:t>
            </w:r>
          </w:p>
        </w:tc>
      </w:tr>
      <w:tr>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QR-5 / H5</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Le fail-closed au-dessus de CAP_PROB est-il soutenable ? H5 : &lt; 2 % des transactions légitimes affectées par 10 min d’indisponibilité.</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&gt; 2 %.</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Une hypothèse infirmée est un résultat, pas un échec. Les hypothèses sont figées avant toute mesure.</w:t>
            </w:r>
          </w:p>
        </w:tc>
      </w:tr>
    </w:tbl>
    <w:p>
      <w:pPr>
        <w:pStyle w:val="Heading1"/>
        <w:spacing w:after="140" w:before="320"/>
      </w:pPr>
      <w:r>
        <w:rPr>
          <w:rFonts w:ascii="Calibri" w:cs="Calibri" w:eastAsia="Calibri" w:hAnsi="Calibri"/>
        </w:rPr>
        <w:t xml:space="preserve">PARTIE II — PÉRIMÈTRE</w:t>
      </w:r>
    </w:p>
    <w:p>
      <w:pPr>
        <w:pStyle w:val="Heading2"/>
        <w:spacing w:after="100" w:before="220"/>
      </w:pPr>
      <w:r>
        <w:rPr>
          <w:rFonts w:ascii="Calibri" w:cs="Calibri" w:eastAsia="Calibri" w:hAnsi="Calibri"/>
        </w:rPr>
        <w:t xml:space="preserve">4. Périmètre fonctionnel et limites de validité</w:t>
      </w:r>
    </w:p>
    <w:p>
      <w:pPr>
        <w:pStyle w:val="Heading3"/>
        <w:spacing w:after="80" w:before="160"/>
      </w:pPr>
      <w:r>
        <w:rPr>
          <w:rFonts w:ascii="Calibri" w:cs="Calibri" w:eastAsia="Calibri" w:hAnsi="Calibri"/>
        </w:rPr>
        <w:t xml:space="preserve">4.1 Dans le périmètre</w:t>
      </w:r>
    </w:p>
    <w:p>
      <w:pPr>
        <w:pStyle w:val="ListParagraph"/>
        <w:numPr>
          <w:ilvl w:val="0"/>
          <w:numId w:val="2"/>
        </w:numPr>
        <w:spacing w:after="60" w:line="264"/>
      </w:pPr>
      <w:r>
        <w:rPr>
          <w:rFonts w:ascii="Calibri" w:cs="Calibri" w:eastAsia="Calibri" w:hAnsi="Calibri"/>
          <w:sz w:val="21"/>
          <w:szCs w:val="21"/>
        </w:rPr>
        <w:t xml:space="preserve">Cœur opérateur simulé : comptes, soldes, HLR (MSISDN → IMSI), OTP, sessions, transferts P2P, cash-in/out, paiement marchand, facture, crédit.</w:t>
      </w:r>
    </w:p>
    <w:p>
      <w:pPr>
        <w:pStyle w:val="ListParagraph"/>
        <w:numPr>
          <w:ilvl w:val="0"/>
          <w:numId w:val="2"/>
        </w:numPr>
        <w:spacing w:after="60" w:line="264"/>
      </w:pPr>
      <w:r>
        <w:rPr>
          <w:rFonts w:ascii="Calibri" w:cs="Calibri" w:eastAsia="Calibri" w:hAnsi="Calibri"/>
          <w:sz w:val="21"/>
          <w:szCs w:val="21"/>
        </w:rPr>
        <w:t xml:space="preserve">Deux canaux : application Android native (clé de dispositif) et USSD simulé (machine à états de session).</w:t>
      </w:r>
    </w:p>
    <w:p>
      <w:pPr>
        <w:pStyle w:val="ListParagraph"/>
        <w:numPr>
          <w:ilvl w:val="0"/>
          <w:numId w:val="2"/>
        </w:numPr>
        <w:spacing w:after="60" w:line="264"/>
      </w:pPr>
      <w:r>
        <w:rPr>
          <w:rFonts w:ascii="Calibri" w:cs="Calibri" w:eastAsia="Calibri" w:hAnsi="Calibri"/>
          <w:sz w:val="21"/>
          <w:szCs w:val="21"/>
        </w:rPr>
        <w:t xml:space="preserve">PDP : registre de dispositifs, vérification de signature, détection de changement d’IMSI, moteur de règles, machine à états de confiance, décision graduée, journal d’audit chaîné.</w:t>
      </w:r>
    </w:p>
    <w:p>
      <w:pPr>
        <w:pStyle w:val="ListParagraph"/>
        <w:numPr>
          <w:ilvl w:val="0"/>
          <w:numId w:val="2"/>
        </w:numPr>
        <w:spacing w:after="60" w:line="264"/>
      </w:pPr>
      <w:r>
        <w:rPr>
          <w:rFonts w:ascii="Calibri" w:cs="Calibri" w:eastAsia="Calibri" w:hAnsi="Calibri"/>
          <w:sz w:val="21"/>
          <w:szCs w:val="21"/>
        </w:rPr>
        <w:t xml:space="preserve">Sous-système de notification simulé (SMS, push) et gestion des contacts de confiance.</w:t>
      </w:r>
    </w:p>
    <w:p>
      <w:pPr>
        <w:pStyle w:val="ListParagraph"/>
        <w:numPr>
          <w:ilvl w:val="0"/>
          <w:numId w:val="2"/>
        </w:numPr>
        <w:spacing w:after="60" w:line="264"/>
      </w:pPr>
      <w:r>
        <w:rPr>
          <w:rFonts w:ascii="Calibri" w:cs="Calibri" w:eastAsia="Calibri" w:hAnsi="Calibri"/>
          <w:sz w:val="21"/>
          <w:szCs w:val="21"/>
        </w:rPr>
        <w:t xml:space="preserve">Console opérateur / SOC : supervision, file de travail, chronologie d’attaque, intégrité du journal, page d’évaluation.</w:t>
      </w:r>
    </w:p>
    <w:p>
      <w:pPr>
        <w:pStyle w:val="ListParagraph"/>
        <w:numPr>
          <w:ilvl w:val="0"/>
          <w:numId w:val="2"/>
        </w:numPr>
        <w:spacing w:after="60" w:line="264"/>
      </w:pPr>
      <w:r>
        <w:rPr>
          <w:rFonts w:ascii="Calibri" w:cs="Calibri" w:eastAsia="Calibri" w:hAnsi="Calibri"/>
          <w:sz w:val="21"/>
          <w:szCs w:val="21"/>
        </w:rPr>
        <w:t xml:space="preserve">Outil attaquant CLI (AC-01 à AC-13) ; outil agent HLR (remplacement légitime ou complice).</w:t>
      </w:r>
    </w:p>
    <w:p>
      <w:pPr>
        <w:pStyle w:val="ListParagraph"/>
        <w:numPr>
          <w:ilvl w:val="0"/>
          <w:numId w:val="2"/>
        </w:numPr>
        <w:spacing w:after="60" w:line="264"/>
      </w:pPr>
      <w:r>
        <w:rPr>
          <w:rFonts w:ascii="Calibri" w:cs="Calibri" w:eastAsia="Calibri" w:hAnsi="Calibri"/>
          <w:sz w:val="21"/>
          <w:szCs w:val="21"/>
        </w:rPr>
        <w:t xml:space="preserve">Générateur à base d’agents calibré sur sources publiques ; évaluation règles vs ML ; sensibilité des paramètres.</w:t>
      </w:r>
    </w:p>
    <w:p>
      <w:pPr>
        <w:pStyle w:val="ListParagraph"/>
        <w:numPr>
          <w:ilvl w:val="0"/>
          <w:numId w:val="2"/>
        </w:numPr>
        <w:spacing w:after="60" w:line="264"/>
      </w:pPr>
      <w:r>
        <w:rPr>
          <w:rFonts w:ascii="Calibri" w:cs="Calibri" w:eastAsia="Calibri" w:hAnsi="Calibri"/>
          <w:sz w:val="21"/>
          <w:szCs w:val="21"/>
        </w:rPr>
        <w:t xml:space="preserve">Documentation : SRS, SAD, protocole d’évaluation, stratégie de test, script de démo, mémoire.</w:t>
      </w:r>
    </w:p>
    <w:p>
      <w:pPr>
        <w:pStyle w:val="Heading3"/>
        <w:spacing w:after="80" w:before="160"/>
      </w:pPr>
      <w:r>
        <w:rPr>
          <w:rFonts w:ascii="Calibri" w:cs="Calibri" w:eastAsia="Calibri" w:hAnsi="Calibri"/>
        </w:rPr>
        <w:t xml:space="preserve">4.2 Hors périmètre</w:t>
      </w:r>
    </w:p>
    <w:p>
      <w:pPr>
        <w:pStyle w:val="ListParagraph"/>
        <w:numPr>
          <w:ilvl w:val="0"/>
          <w:numId w:val="2"/>
        </w:numPr>
        <w:spacing w:after="60" w:line="264"/>
      </w:pPr>
      <w:r>
        <w:rPr>
          <w:rFonts w:ascii="Calibri" w:cs="Calibri" w:eastAsia="Calibri" w:hAnsi="Calibri"/>
          <w:sz w:val="21"/>
          <w:szCs w:val="21"/>
        </w:rPr>
        <w:t xml:space="preserve">Toute interaction avec un système réel (MTN MoMo, Orange Money, HLR réel, numéros réels).</w:t>
      </w:r>
    </w:p>
    <w:p>
      <w:pPr>
        <w:pStyle w:val="ListParagraph"/>
        <w:numPr>
          <w:ilvl w:val="0"/>
          <w:numId w:val="2"/>
        </w:numPr>
        <w:spacing w:after="60" w:line="264"/>
      </w:pPr>
      <w:r>
        <w:rPr>
          <w:rFonts w:ascii="Calibri" w:cs="Calibri" w:eastAsia="Calibri" w:hAnsi="Calibri"/>
          <w:sz w:val="21"/>
          <w:szCs w:val="21"/>
        </w:rPr>
        <w:t xml:space="preserve">Interception SS7 ; compromission du téléphone de la victime ; insider technique opérateur (ISC-TM §9).</w:t>
      </w:r>
    </w:p>
    <w:p>
      <w:pPr>
        <w:pStyle w:val="ListParagraph"/>
        <w:numPr>
          <w:ilvl w:val="0"/>
          <w:numId w:val="2"/>
        </w:numPr>
        <w:spacing w:after="60" w:line="264"/>
      </w:pPr>
      <w:r>
        <w:rPr>
          <w:rFonts w:ascii="Calibri" w:cs="Calibri" w:eastAsia="Calibri" w:hAnsi="Calibri"/>
          <w:sz w:val="21"/>
          <w:szCs w:val="21"/>
        </w:rPr>
        <w:t xml:space="preserve">Traçabilité aval, anti-blanchiment, outillage judiciaire ; KYC / biométrie nationale.</w:t>
      </w:r>
    </w:p>
    <w:p>
      <w:pPr>
        <w:pStyle w:val="ListParagraph"/>
        <w:numPr>
          <w:ilvl w:val="0"/>
          <w:numId w:val="2"/>
        </w:numPr>
        <w:spacing w:after="60" w:line="264"/>
      </w:pPr>
      <w:r>
        <w:rPr>
          <w:rFonts w:ascii="Calibri" w:cs="Calibri" w:eastAsia="Calibri" w:hAnsi="Calibri"/>
          <w:sz w:val="21"/>
          <w:szCs w:val="21"/>
        </w:rPr>
        <w:t xml:space="preserve">Administration des politiques du PDP en production (rôle déclaré, non démontré) ; SSO ; haute disponibilité multi-site ; déploiement commercial ; iOS.</w:t>
      </w:r>
    </w:p>
    <w:p>
      <w:pPr>
        <w:pStyle w:val="Heading3"/>
        <w:spacing w:after="80" w:before="160"/>
      </w:pPr>
      <w:r>
        <w:rPr>
          <w:rFonts w:ascii="Calibri" w:cs="Calibri" w:eastAsia="Calibri" w:hAnsi="Calibri"/>
        </w:rPr>
        <w:t xml:space="preserve">4.3 Limites de validité</w:t>
      </w:r>
    </w:p>
    <w:p>
      <w:pPr>
        <w:spacing w:after="100" w:line="264"/>
      </w:pPr>
      <w:r>
        <w:rPr>
          <w:rFonts w:ascii="Calibri" w:cs="Calibri" w:eastAsia="Calibri" w:hAnsi="Calibri"/>
          <w:sz w:val="21"/>
          <w:szCs w:val="21"/>
        </w:rPr>
        <w:t xml:space="preserve">Les métriques sont obtenues sur données synthétiques calibrées à partir de sources publiques ; elles sont indicatives. L’hypothèse H-T6 (exposition fidèle de l’événement de changement d’IMSI) conditionne la transposition au réel. AC-01 (victime consentante) est hors de portée de toute contre-mesure technique : le système ralentit et informe, il n’interdit pas. Le système ne peut pas distinguer un remplacement de SIM légitime d’une reprogrammation complice : la probation s’applique aux deux, et la friction qui en résulte est mesurée (QR-4).</w:t>
      </w:r>
    </w:p>
    <w:p>
      <w:pPr>
        <w:pStyle w:val="Heading2"/>
        <w:spacing w:after="100" w:before="220"/>
      </w:pPr>
      <w:r>
        <w:rPr>
          <w:rFonts w:ascii="Calibri" w:cs="Calibri" w:eastAsia="Calibri" w:hAnsi="Calibri"/>
        </w:rPr>
        <w:t xml:space="preserve">5. Parties prenantes et RACI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1500"/>
        <w:gridCol w:w="1500"/>
        <w:gridCol w:w="1200"/>
      </w:tblGrid>
      <w:tr>
        <w:trPr>
          <w:tblHeader/>
        </w:trPr>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Activité</w:t>
            </w:r>
          </w:p>
        </w:tc>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Candidat</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Superviseur</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Encadrement technique</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Outillage IA (exécution)</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Jury</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Cadrage, SRS, modèle de menace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SAD, contrat /evaluate</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Implémentation</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Revue de code, tests</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 (génération)</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Protocole d’évaluation</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Exécution de l’évaluation</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Mémoire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C (validation)</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Soutenance</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bl>
    <w:p>
      <w:pPr>
        <w:spacing w:after="80"/>
      </w:pPr>
    </w:p>
    <w:p>
      <w:pPr>
        <w:spacing w:after="100" w:line="264"/>
      </w:pPr>
      <w:r>
        <w:rPr>
          <w:rFonts w:ascii="Calibri" w:cs="Calibri" w:eastAsia="Calibri" w:hAnsi="Calibri"/>
          <w:sz w:val="21"/>
          <w:szCs w:val="21"/>
        </w:rPr>
        <w:t xml:space="preserve">R = réalise ; A = responsable ultime ; C = consulté ; I = informé. Le candidat porte seul la responsabilité de tout ce qui est présenté au jury, y compris le code généré par outillage (CT-03, ENF-15).</w:t>
      </w:r>
    </w:p>
    <w:p>
      <w:pPr>
        <w:pStyle w:val="Heading2"/>
        <w:spacing w:after="100" w:before="220"/>
      </w:pPr>
      <w:r>
        <w:rPr>
          <w:rFonts w:ascii="Calibri" w:cs="Calibri" w:eastAsia="Calibri" w:hAnsi="Calibri"/>
        </w:rPr>
        <w:t xml:space="preserve">6. Modèle métier et glossaire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Terme</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Définition</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MSISDN</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Numéro de téléphone, identifiant public du compte.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IMSI</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Identifiant de la SIM physique. Un SIM swap réassigne un MSISDN à un nouvel IMSI.</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IMSI de référence</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Dernier IMSI dont la carence CAR_IMSI est expirée sans incident ; mis à jour automatiquement à la sortie de PROBATION.</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Localité</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Identifiant entier de cellule simulée ; chaque agent possède une à trois cellules habituelles.</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HLR</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Registre d’abonnés (simulé) portant MSISDN → IMSI et l’historique des réassignations.</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 binding</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Liaison cryptographique compte ↔ clé privée non exportable du Keystore matériel.</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PDP</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Point de décision de politique.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ALLOW / STEP_UP / FREEZE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Exécuter ; exiger une vérification supplémentaire ; suspendre en attente de levée.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Veto</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Règle déterministe imposant une décision sans passer par le score.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Score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Valeur 0–100 des règles comportementales ; seuils 40 (STEP_UP), 70 (FREEZE).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État de confiance</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TRUSTED, PROBATION, FROZEN, LOCKED. PROBATION est déclenchée par un changement d’IMSI (CAR_IMSI), un ré-enrôlement (CAR_ENROL) ou un premier enrôlement (CAR_ENROL).</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Carence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Durée de blocage ou plafonnement des sorties après un événement sensible.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Contact de confiance</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Tiers désigné pour confirmer hors-bande.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Quatre-yeux</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Deux analystes distincts au-dessus de THR_4EYES.</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Persona</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Profil d’agent simulé.</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Cas d’abus</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Cas d’utilisation du point de vue de l’attaquant (ISC-TM §8).</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Sortie sensible</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Transaction qui diminue le solde.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Mode sans couche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Mode de démonstration où le cœur n’appelle pas le PDP.</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Mode dégradé</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Comportement du cœur quand le PDP est indisponible (ES-11).</w:t>
            </w:r>
          </w:p>
        </w:tc>
      </w:tr>
    </w:tbl>
    <w:p>
      <w:pPr>
        <w:spacing w:after="80"/>
      </w:pPr>
    </w:p>
    <w:p>
      <w:pPr>
        <w:pStyle w:val="Heading3"/>
        <w:spacing w:after="80" w:before="160"/>
      </w:pPr>
      <w:r>
        <w:rPr>
          <w:rFonts w:ascii="Calibri" w:cs="Calibri" w:eastAsia="Calibri" w:hAnsi="Calibri"/>
        </w:rPr>
        <w:t xml:space="preserve">Facteurs d’authentification par canal (ADR-014)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Canal</w:t>
            </w:r>
          </w:p>
        </w:tc>
        <w:tc>
          <w:tcPr>
            <w:tcW w:type="dxa" w:w="3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Facteurs requis pour une sortie sensible</w:t>
            </w:r>
          </w:p>
        </w:tc>
        <w:tc>
          <w:tcPr>
            <w:tcW w:type="dxa" w:w="3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Justification</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USSD</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PIN + OTP (vers l’IMSI courant)</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Reproduction fidèle de la faiblesse réelle ; aucune capacité cryptographique.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Application</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PIN + signature de dispositif (clé ACTIVE) ; PAS d’OTP</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signature remplace l’OTP conformément à [N2] ; conserver l’OTP maintiendrait un vecteur d’ingénierie sociale inutile.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Enrôlement (premier ou ré-enrôlement)</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PIN + OTP + règles ES-17 / ES-03</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Seul moment où l’OTP est accepté sur le canal application.</w:t>
            </w:r>
          </w:p>
        </w:tc>
      </w:tr>
    </w:tbl>
    <w:p>
      <w:pPr>
        <w:spacing w:after="80"/>
      </w:pPr>
    </w:p>
    <w:p>
      <w:pPr>
        <w:pStyle w:val="Heading3"/>
        <w:spacing w:after="80" w:before="160"/>
      </w:pPr>
      <w:r>
        <w:rPr>
          <w:rFonts w:ascii="Calibri" w:cs="Calibri" w:eastAsia="Calibri" w:hAnsi="Calibri"/>
        </w:rPr>
        <w:t xml:space="preserve">Entités métier</w:t>
      </w:r>
    </w:p>
    <w:p>
      <w:pPr>
        <w:spacing w:after="100" w:line="264"/>
      </w:pPr>
      <w:r>
        <w:rPr>
          <w:rFonts w:ascii="Calibri" w:cs="Calibri" w:eastAsia="Calibri" w:hAnsi="Calibri"/>
          <w:sz w:val="21"/>
          <w:szCs w:val="21"/>
        </w:rPr>
        <w:t xml:space="preserve">Compte (MSISDN, solde, état de confiance, contacts de confiance) ; Abonné HLR (MSISDN, IMSI courant, historique) ; Dispositif (clé publique, état, dates) ; Transaction (type, montant, bénéficiaire, canal, horodatage serveur, décision) ; Décision (score, règles, version, latence) ; Gel (TTL, preuves, levée) ; Notification ; Analyste ; Entrée d’audit (empreinte, précédent). Le modèle logique détaillé est en §10.</w:t>
      </w:r>
    </w:p>
    <w:p>
      <w:pPr>
        <w:pStyle w:val="Heading2"/>
        <w:spacing w:after="100" w:before="220"/>
      </w:pPr>
      <w:r>
        <w:rPr>
          <w:rFonts w:ascii="Calibri" w:cs="Calibri" w:eastAsia="Calibri" w:hAnsi="Calibri"/>
        </w:rPr>
        <w:t xml:space="preserve">6bis. Cas d’utilisation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000"/>
        <w:gridCol w:w="10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Cas d’utilisation</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Acteur</w:t>
            </w:r>
          </w:p>
        </w:tc>
        <w:tc>
          <w:tcPr>
            <w:tcW w:type="dxa" w:w="1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Canal</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Enrôler un appareil</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Utilisateur</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App</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Effectuer une sortie sensible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Utilisateur</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 / USSD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UC-03</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Recevoir / consulter</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Utilisateur</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App / USSD</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UC-04</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Répondre à un STEP_UP</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Utilisateur, contact</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 / USSD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UC-05</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Récupérer un compte après perte d’appareil</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Utilisateur, contact, agent KYC</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App</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UC-06</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Gérer ses contacts de confiance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Utilisateur</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UC-07</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Superviser le flux</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Analyste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UC-08</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Traiter un gel</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Analyste</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UC-09</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Bloquer / débloquer un compte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Analyste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UC-10</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Vérifier l’intégrité du journal</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Analyste</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UC-11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Remplacer une SIM (légitime ou complice)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Agent opérateur (simulé)</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CLI / Console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Exécuter un scénario d’attaque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Attaquant (simulé)</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UC-13</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Générer et injecter un jeu de données</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Chercheur</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CLI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UC-14</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Lancer l’évaluation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Chercheur</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CLI</w:t>
            </w:r>
          </w:p>
        </w:tc>
      </w:tr>
    </w:tbl>
    <w:p>
      <w:pPr>
        <w:spacing w:after="80"/>
      </w:pPr>
    </w:p>
    <w:p>
      <w:pPr>
        <w:pStyle w:val="Heading3"/>
        <w:spacing w:after="80" w:before="160"/>
      </w:pPr>
      <w:r>
        <w:rPr>
          <w:rFonts w:ascii="Calibri" w:cs="Calibri" w:eastAsia="Calibri" w:hAnsi="Calibri"/>
        </w:rPr>
        <w:t xml:space="preserve">UC-01 — Enrôler un premier appareil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Compte existant sans clé ACTIVE ; utilisateur authentifié PIN + OTP sur l’appareil.</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Le PDP vérifie l’historique HLR du compte. 2. Si un changement d’IMSI date de moins de CAR_IMSI → refus (ES-17), notification aux contacts de confiance s’il en existe. 3. Sinon, génération de la paire de clés dans le Keystore, clé publique enregistrée en état PENDING. 4. Compte → PROBATION pendant CAR_ENROL ; notification aux contacts de confiance. 5. À la fin de CAR_ENROL sans incident, clé ACTIVE, compte TRUSTED. 6. Levée anticipée possible par confirmation d’un contact de confiance.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A1. Contact de confiance répond NON → clé supprimée, compte LOCKED. A2. Violation des restrictions de PROBATION → FREEZE.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 plus une clé ACTIVE ; transitions journalisées.</w:t>
            </w:r>
          </w:p>
        </w:tc>
      </w:tr>
    </w:tbl>
    <w:p>
      <w:pPr>
        <w:spacing w:after="80"/>
      </w:pPr>
    </w:p>
    <w:p>
      <w:pPr>
        <w:pStyle w:val="Heading3"/>
        <w:spacing w:after="80" w:before="160"/>
      </w:pPr>
      <w:r>
        <w:rPr>
          <w:rFonts w:ascii="Calibri" w:cs="Calibri" w:eastAsia="Calibri" w:hAnsi="Calibri"/>
        </w:rPr>
        <w:t xml:space="preserve">UC-02 — Effectuer une sortie sensible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Compte existant ; utilisateur authentifié selon le tableau des facteurs par canal ; sur app, clé ACTIVE.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L’utilisateur saisit type, montant, bénéficiaire. 2. Le cœur demande un nonce au PDP (app) ou passe directement (USSD). 3. Sur app, l’application signe le canonical et envoie. 4. Le cœur appelle /evaluate. 5a. ALLOW : commit, reçu, notification. 5b. STEP_UP : UC-04. 5c. FREEZE : gel créé (TTL), notification à l’utilisateur et aux contacts de confiance, affichage console.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A1. Signature invalide → refus (ES-02). A2. Nonce expiré → refus, nouveau nonce. A3. PDP indisponible → mode dégradé (ES-11). A4. Compte PROBATION et montant &gt; CAP_PROB ou nouveau bénéficiaire → FREEZE (ES-04).</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Une et une seule entrée d’audit ; solde cohérent ; décision visible en console.</w:t>
            </w:r>
          </w:p>
        </w:tc>
      </w:tr>
    </w:tbl>
    <w:p>
      <w:pPr>
        <w:spacing w:after="80"/>
      </w:pPr>
    </w:p>
    <w:p>
      <w:pPr>
        <w:pStyle w:val="Heading3"/>
        <w:spacing w:after="80" w:before="160"/>
      </w:pPr>
      <w:r>
        <w:rPr>
          <w:rFonts w:ascii="Calibri" w:cs="Calibri" w:eastAsia="Calibri" w:hAnsi="Calibri"/>
        </w:rPr>
        <w:t xml:space="preserve">UC-04 — Répondre à un STEP_UP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Décision STEP_UP émise.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 (app)</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Notification avec détail de la transaction. 2. L’utilisateur confirme par signature (clé enrôlée). 3. /evaluate réévalue avec preuve → ALLOW ou FREEZE si une autre règle l’impose.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principal (USSD)</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Selon la politique configurée (ES-06) : P1 DEFER : transaction différée de DEFER, notification « vous êtes peut-être victime d’une arnaque », annulable par l’utilisateur ; P2 plafond : exécution si ≤ CAP_PROB sinon DEFER ; P3 contact de confiance : demande OUI/NON au contact, DEFER en repli.</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Aucune réponse avant expiration → annulation (fail-closed). Contact répond NON → FREEZE + LOCKED proposé.</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Décision finale journalisée avec la preuve utilisée.</w:t>
            </w:r>
          </w:p>
        </w:tc>
      </w:tr>
    </w:tbl>
    <w:p>
      <w:pPr>
        <w:spacing w:after="80"/>
      </w:pPr>
    </w:p>
    <w:p>
      <w:pPr>
        <w:pStyle w:val="Heading3"/>
        <w:spacing w:after="80" w:before="160"/>
      </w:pPr>
      <w:r>
        <w:rPr>
          <w:rFonts w:ascii="Calibri" w:cs="Calibri" w:eastAsia="Calibri" w:hAnsi="Calibri"/>
        </w:rPr>
        <w:t xml:space="preserve">UC-05 — Récupérer un compte après perte d’appareil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Utilisateur authentifié PIN + OTP sur nouvel appareil.</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Demande de ré-enrôlement. 2. Nouvelle clé générée et enregistrée en état PENDING. 3. Compte → PROBATION (CAR_ENROL, CAP_PROB, nouveaux bénéficiaires interdits). 4. Notification à tous les contacts de confiance et à l’ancien dispositif. 5a. Ancien dispositif confirme → TRUSTED immédiat, ancienne clé révoquée. 5b. Contact de confiance confirme → TRUSTED immédiat. 5c. Aucune confirmation → TRUSTED à la fin de CAR_ENROL, ancienne clé révoquée (ES-14).</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A1. Ancien dispositif signe une annulation pendant la probation → nouvelle clé supprimée, compte LOCKED, analyste notifié. A2. Contact répond NON → LOCKED. A3. Agent KYC (simulé) valide en présentiel → TRUSTED, action à quatre yeux et journalisée.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 plus une clé active ; transitions journalisées.</w:t>
            </w:r>
          </w:p>
        </w:tc>
      </w:tr>
    </w:tbl>
    <w:p>
      <w:pPr>
        <w:spacing w:after="80"/>
      </w:pPr>
    </w:p>
    <w:p>
      <w:pPr>
        <w:pStyle w:val="Heading3"/>
        <w:spacing w:after="80" w:before="160"/>
      </w:pPr>
      <w:r>
        <w:rPr>
          <w:rFonts w:ascii="Calibri" w:cs="Calibri" w:eastAsia="Calibri" w:hAnsi="Calibri"/>
        </w:rPr>
        <w:t xml:space="preserve">UC-08 — Traiter un gel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Analyste authentifié (ES-12) ; gel en file.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Consultation du contexte, du score, des règles, de l’historique. 2. Action : lever / annuler / marquer faux positif / demander second avis. 3. Justification obligatoire. 4. Si montant &gt; THR_4EYES, second analyste distinct requis avant effet. 5. Effet appliqué, audit, notification utilisateur.</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Tentative de levée seule au-dessus du seuil → refusée, journalisée (AC-09). Expiration TTL avant action → annulation automatique.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Gel clos avec acteur(s), preuve, horodatage.</w:t>
            </w:r>
          </w:p>
        </w:tc>
      </w:tr>
    </w:tbl>
    <w:p>
      <w:pPr>
        <w:spacing w:after="80"/>
      </w:pPr>
    </w:p>
    <w:p>
      <w:pPr>
        <w:pStyle w:val="Heading3"/>
        <w:spacing w:after="80" w:before="160"/>
      </w:pPr>
      <w:r>
        <w:rPr>
          <w:rFonts w:ascii="Calibri" w:cs="Calibri" w:eastAsia="Calibri" w:hAnsi="Calibri"/>
        </w:rPr>
        <w:t xml:space="preserve">UC-11 — Remplacer une SIM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Préconditions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Agent opérateur (simulé) authentifié dans l’outil HLR.</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Flux principal</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L’agent saisit MSISDN et nouvel IMSI, motif (perte, vol, défaut) et identifiant d’agent. 2. Le HLR enregistre la réassignation avec horodatage et agent. 3. Le cœur émet l’événement « changement d’IMSI ». 4. Le PDP place le compte en PROBATION pour CAR_IMSI (ES-01b, ES-03) et notifie les contacts de confiance (ES-13).</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Flux alternatifs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Agent complice (AC-02) : flux identique ; le système ne distingue pas l’intention, d’où l’application systématique de la probation.</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Historique HLR immuable ; carence active.</w:t>
            </w:r>
          </w:p>
        </w:tc>
      </w:tr>
    </w:tbl>
    <w:p>
      <w:pPr>
        <w:spacing w:after="80"/>
      </w:pPr>
    </w:p>
    <w:p>
      <w:pPr>
        <w:pStyle w:val="Heading2"/>
        <w:spacing w:after="100" w:before="220"/>
      </w:pPr>
      <w:r>
        <w:rPr>
          <w:rFonts w:ascii="Calibri" w:cs="Calibri" w:eastAsia="Calibri" w:hAnsi="Calibri"/>
        </w:rPr>
        <w:t xml:space="preserve">6ter. Modèle de menace et cas d’abus</w:t>
      </w:r>
    </w:p>
    <w:p>
      <w:pPr>
        <w:spacing w:after="100" w:line="264"/>
      </w:pPr>
      <w:r>
        <w:rPr>
          <w:rFonts w:ascii="Calibri" w:cs="Calibri" w:eastAsia="Calibri" w:hAnsi="Calibri"/>
          <w:sz w:val="21"/>
          <w:szCs w:val="21"/>
        </w:rPr>
        <w:t xml:space="preserve">Référence normative : ISC-TM v1.1. Cinq attaquants T-01 à T-05, treize cas d’abus AC-01 à AC-13, sept exclusions, six hypothèses de confiance. Toute modification du modèle entraîne une revue de la partie III dans la semaine.</w:t>
      </w:r>
    </w:p>
    <w:p>
      <w:pPr>
        <w:pStyle w:val="Heading1"/>
        <w:spacing w:after="140" w:before="320"/>
      </w:pPr>
      <w:r>
        <w:rPr>
          <w:rFonts w:ascii="Calibri" w:cs="Calibri" w:eastAsia="Calibri" w:hAnsi="Calibri"/>
        </w:rPr>
        <w:t xml:space="preserve">PARTIE III — EXIGENCES</w:t>
      </w:r>
    </w:p>
    <w:p>
      <w:pPr>
        <w:pStyle w:val="Heading2"/>
        <w:spacing w:after="100" w:before="220"/>
      </w:pPr>
      <w:r>
        <w:rPr>
          <w:rFonts w:ascii="Calibri" w:cs="Calibri" w:eastAsia="Calibri" w:hAnsi="Calibri"/>
        </w:rPr>
        <w:t xml:space="preserve">7. Exigences fonctionnelles (EF)</w:t>
      </w:r>
    </w:p>
    <w:p>
      <w:pPr>
        <w:pStyle w:val="Heading3"/>
        <w:spacing w:after="80" w:before="160"/>
      </w:pPr>
      <w:r>
        <w:rPr>
          <w:rFonts w:ascii="Calibri" w:cs="Calibri" w:eastAsia="Calibri" w:hAnsi="Calibri"/>
        </w:rPr>
        <w:t xml:space="preserve">7.1 Cœur opérateur simulé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cœur DOIT gérer des comptes identifiés par MSISDN dans une plage fictive réservée, avec solde, historique et état de confiance.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UC-02, CT-02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EF-02</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maintenir un HLR simulé associant chaque MSISDN à un IMSI courant et conservant l’historique des réassignations (horodatage serveur, agent, motif).</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UC-11, ES-01b</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EF-03</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cœur DOIT émettre un OTP à usage unique vers l’IMSI courant du MSISDN afin de reproduire la faiblesse réelle.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EF-04</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supporter : transfert P2P, cash-in, cash-out, paiement marchand, facture, achat de crédit.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UC-02, EAR-02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EF-05</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Avant tout commit d’une sortie sensible, le cœur DOIT appeler POST /evaluate et appliquer la décision.</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ADR-001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EF-06</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exposer un canal USSD simulé sous forme de machine à états de session sans capacité cryptographique côté client.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cœur DOIT offrir un mode sans couche pour la démonstration avant/après, affiché sans ambiguïté en console.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OBJ-1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EF-08</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émettre un événement « changement d’IMSI » (horodatage du dernier changement), équivalent fonctionnel de l’API CAMARA Sim Swap [N3].</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H-T6, ES-01b</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EF-09</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cœur DOIT exposer un sous-système de notification simulé (SMS vers IMSI courant, push vers dispositif enrôlé) consultable en console et par l’app.</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ES-13, UC-04</w:t>
            </w:r>
          </w:p>
        </w:tc>
      </w:tr>
    </w:tbl>
    <w:p>
      <w:pPr>
        <w:spacing w:after="80"/>
      </w:pPr>
    </w:p>
    <w:p>
      <w:pPr>
        <w:pStyle w:val="Heading3"/>
        <w:spacing w:after="80" w:before="160"/>
      </w:pPr>
      <w:r>
        <w:rPr>
          <w:rFonts w:ascii="Calibri" w:cs="Calibri" w:eastAsia="Calibri" w:hAnsi="Calibri"/>
        </w:rPr>
        <w:t xml:space="preserve">7.2 PDP IdentiShield-CM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exposer POST /evaluate recevant : compte, MSISDN, IMSI courant, canal, type, montant, bénéficiaire, horodatage serveur, localité, empreinte et signature de dispositif (optionnelles), nonce.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EI-01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réponse DOIT contenir : décision, score, règles déclenchées avec contribution, action requise, identifiant de décision, version du jeu de règles.</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ES-09, OBJ-4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maintenir un registre de dispositifs (compte → clés publiques, état PENDING/ACTIVE/REVOKED, dates).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implémenter la machine à états TRUSTED / PROBATION / FROZEN / LOCKED et journaliser chaque transition avec sa cause.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émettre des nonces serveur (GET /nonce).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ES-10</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gérer le cycle de vie des gels : création avec TTL, levée (acteur, preuve), annulation à expiration, notification.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ES-07, ES-08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gérer les contacts de confiance : enregistrement, demande, réponse, expiration.</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ES-06, ES-13</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charger règles et paramètres depuis une configuration versionnée ; la version DOIT figurer dans chaque décision.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EAR-05</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EF-18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accepter une horloge injectable (temps réel ou virtuel).</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ENF-11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EF-19</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PEUT exposer un évaluateur ombre (modèle appris) appelé sur le même contexte sans influence sur la décision, et journaliser sa prédiction à côté de la décision.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QR-3</w:t>
            </w:r>
          </w:p>
        </w:tc>
      </w:tr>
    </w:tbl>
    <w:p>
      <w:pPr>
        <w:spacing w:after="80"/>
      </w:pPr>
    </w:p>
    <w:p>
      <w:pPr>
        <w:pStyle w:val="Heading3"/>
        <w:spacing w:after="80" w:before="160"/>
      </w:pPr>
      <w:r>
        <w:rPr>
          <w:rFonts w:ascii="Calibri" w:cs="Calibri" w:eastAsia="Calibri" w:hAnsi="Calibri"/>
        </w:rPr>
        <w:t xml:space="preserve">7.3 Application Android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générer à l’enrôlement une paire de clés asymétrique non exportable dans le Keystore matériel et transmettre la clé publique au PDP.</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EF-21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signer toute sortie sensible sur le canonical {compte, montant, bénéficiaire, type, nonce}.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ES-02, ES-10</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afficher solde, historique, décisions reçues et permettre de répondre à un STEP_UP par signature.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UC-04</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EF-23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permettre la désignation de contacts de confiance et la confirmation d’une demande reçue en tant que contact.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UC-06</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permettre le ré-enrôlement (UC-05) et afficher l’état PROBATION et ses restrictions.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ES-04</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EF-25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afficher une notification lorsqu’une sortie est gelée ou escaladée.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ISC-DEMO</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L’interface DOIT être disponible en français.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Contexte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EF-27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L’interface DEVRAIT être disponible en anglais.</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Contexte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EF-28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L’application DOIT permettre à l’ancien dispositif d’annuler un ré-enrôlement en cours par signature.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ES-14</w:t>
            </w:r>
          </w:p>
        </w:tc>
      </w:tr>
    </w:tbl>
    <w:p>
      <w:pPr>
        <w:spacing w:after="80"/>
      </w:pPr>
    </w:p>
    <w:p>
      <w:pPr>
        <w:pStyle w:val="Heading3"/>
        <w:spacing w:after="80" w:before="160"/>
      </w:pPr>
      <w:r>
        <w:rPr>
          <w:rFonts w:ascii="Calibri" w:cs="Calibri" w:eastAsia="Calibri" w:hAnsi="Calibri"/>
        </w:rPr>
        <w:t xml:space="preserve">7.4 Console opérateur / SOC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en temps réel le flux des transactions avec décision (ALLOW / STEP_UP / FREEZE), score et raisons.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ISC-DEMO</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l’état HLR d’un compte et signaler tout changement d’IMSI.</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une chronologie d’attaque alimentée par l’outil attaquant.</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ADR-004</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DOIT offrir une file de travail des gels avec actions : lever, annuler, marquer faux positif, demander second avis ; justification obligatoire.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UC-08, ES-08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l’intégrité du journal d’audit et localiser une rupture.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ES-09</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DEVRAIT exposer une page d’évaluation générée depuis le module d’évaluation.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l’état du PDP (disponible, dégradé, indisponible) et le mode sans couche.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ES-11, EF-07</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DOIT afficher les notifications émises (boîte SMS / push simulée) par compte.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EF-09</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EF-38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 console DOIT être disponible en français ; l’anglais DEVRAIT l’être.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D-13</w:t>
            </w:r>
          </w:p>
        </w:tc>
      </w:tr>
    </w:tbl>
    <w:p>
      <w:pPr>
        <w:spacing w:after="80"/>
      </w:pPr>
    </w:p>
    <w:p>
      <w:pPr>
        <w:pStyle w:val="Heading3"/>
        <w:spacing w:after="80" w:before="160"/>
      </w:pPr>
      <w:r>
        <w:rPr>
          <w:rFonts w:ascii="Calibri" w:cs="Calibri" w:eastAsia="Calibri" w:hAnsi="Calibri"/>
        </w:rPr>
        <w:t xml:space="preserve">7.5 Outils attaquant et agent HLR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L’outil attaquant DOIT exécuter chacun des scénarios AC-01 à AC-13 par une commande unique paramétrable.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OBJ-1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EF-41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L’outil DOIT publier chaque étape dans la chronologie de la console.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EF-32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L’outil agent HLR DOIT permettre un remplacement de SIM avec motif et identifiant d’agent (UC-11), utilisable en mode légitime ou complice.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T-02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EF-43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L’outil attaquant DOIT pouvoir rejouer une requête signée capturée (AC-11) et saturer /evaluate (AC-12).</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AC-11, 12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EF-44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canal USSD DOIT permettre la désignation et la révocation de contacts de confiance, chaque désignation étant confirmée par le contact sur son propre canal ; l’agent KYC simulé DOIT pouvoir effectuer la même opération à quatre yeux.</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D-03, ES-06</w:t>
            </w:r>
          </w:p>
        </w:tc>
      </w:tr>
    </w:tbl>
    <w:p>
      <w:pPr>
        <w:spacing w:after="80"/>
      </w:pPr>
    </w:p>
    <w:p>
      <w:pPr>
        <w:pStyle w:val="Heading2"/>
        <w:spacing w:after="100" w:before="220"/>
      </w:pPr>
      <w:r>
        <w:rPr>
          <w:rFonts w:ascii="Calibri" w:cs="Calibri" w:eastAsia="Calibri" w:hAnsi="Calibri"/>
        </w:rPr>
        <w:t xml:space="preserve">7bis. Exigences de sécurité (ES) — tracées vers les cas d’abus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Couvre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(journal v1.1, D-01 : incohérente avec ES-04 et QR-4). Remplacée par ES-01b.</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ES-01b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placer le compte en PROBATION pendant CAR_IMSI dès que l’IMSI courant diffère de l’IMSI de référence ; pendant cette PROBATION les restrictions ES-04 s’appliquent.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03, 04, 05, 06, 07</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Sur le canal application, le PDP DOIT refuser toute sortie sensible dont la signature n’est pas vérifiable par une clé ACTIVE du compte.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AC-03, 11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appliquer CAR_IMSI après tout changement d’IMSI et CAR_ENROL après tout ré-enrôlement.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AC-04, 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ES-03b</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Une carence DOIT pouvoir être levée par signature de l’ancien dispositif ou confirmation d’un contact de confiance.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AC-08</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ES-04</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 état PROBATION, le PDP DOIT plafonner les sorties à CAP_PROB et interdire tout nouveau bénéficiaire ; toute violation DOIT produire FREEZE.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AC-04, 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ES-05a</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calculer un score comportemental 0–100 agrégeant les contributions des règles ES-05b à ES-05e ; la fonction d’agrégation est fixée par ADR-016 dans le SAD et versionnée (EF-17).</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AC-01, 05, 06, 07</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ES-05b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Règle bénéficiaire : un bénéficiaire jamais vu sur le compte DOIT contribuer au score ; combiné à un montant ≥ THR_HIGH, la contribution DOIT atteindre au moins le seuil STEP_UP.</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AC-01</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ES-05c</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Règle vélocité : le dépassement de VEL DOIT contribuer au score jusqu’au seuil FREEZE.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AC-05</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ES-05d</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Règle horaire : une sortie dans la fenêtre NIGHT DOIT contribuer au score ; cette règle NE DOIT JAMAIS être un veto.</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AC-06</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ES-05e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Règle localité : une localité incohérente avec l’historique DOIT contribuer au score.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AC-07</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ES-05f</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Décision : score ≥ 40 → STEP_UP ; score ≥ 70 → FREEZE ; les vetos court-circuitent le score.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ISC-TM §7</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Sur USSD, un STEP_UP DOIT se résoudre par une politique configurée (DEFER, plafond, contact de confiance) ; JAMAIS par une question de connaissance [N2].</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AC-01, 02, 04, 05</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 transaction gelée DOIT être annulée à l’expiration de TTL_FREEZE sans levée autorisée ; elle NE DOIT JAMAIS s’exécuter par défaut.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12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ES-08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Une levée de gel DOIT être portée par une preuve (signature d’un dispositif ACTIVE d’un compte TRUSTED, contact de confiance, décision d’analyste) ; au-dessus de THR_4EYES, deux analystes distincts DOIVENT approuver.</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AC-09</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ES-09</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 décision et toute action d’analyste DOIVENT être journalisées en écriture seule, chaque enregistrement portant l’empreinte SHA-256 du précédent ; l’empreinte de tête DOIT être signée et exportée périodiquement.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AC-09, 10</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Toute signature DOIT inclure un nonce serveur de 128 bits, usage unique, validité 120 s ; tout nonce réutilisé ou expiré DOIT entraîner un refus.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canal cœur↔PDP DOIT être authentifié mutuellement ; si le PDP est indisponible, le cœur DOIT refuser toute sortie &gt; CAP_PROB et journaliser les autres en mode dégradé ; /evaluate DOIT être limité en débit.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L’accès console DOIT être authentifié et contrôlé par rôles ; toute action DOIT porter justification et identité.</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AC-09</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 changement d’IMSI et tout ré-enrôlement DOIVENT déclencher une notification aux contacts de confiance.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AC-04, 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Au ré-enrôlement, l’ancienne clé NE DOIT être révoquée qu’à la fin de CAR_ENROL ; pendant la probation, sa signature DOIT pouvoir annuler le ré-enrôlement et placer le compte en LOCKED.</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AC-08</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Les paramètres nommés DOIVENT être configurables sans modification de code et versionnés.</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RETIRÉE (journal v1.1, D-06 : responsabilité allouée au mauvais composant). Remplacée par ES-16b.</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ES-16b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PDP DOIT appliquer la PROBATION indifféremment au motif d’un remplacement de SIM ; le cœur NE DOIT PAS transmettre le motif comme entrée de /evaluate (il le journalise seulement).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UC-11</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ES-17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PDP DOIT refuser tout premier enrôlement de dispositif lorsqu’un changement d’IMSI date de moins de CAR_IMSI ; un premier enrôlement accepté DOIT placer le compte en PROBATION pendant CAR_ENROL et notifier les contacts de confiance existants.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AC-13</w:t>
            </w:r>
          </w:p>
        </w:tc>
      </w:tr>
    </w:tbl>
    <w:p>
      <w:pPr>
        <w:spacing w:after="80"/>
      </w:pPr>
    </w:p>
    <w:p>
      <w:pPr>
        <w:pStyle w:val="Heading2"/>
        <w:spacing w:after="100" w:before="220"/>
      </w:pPr>
      <w:r>
        <w:rPr>
          <w:rFonts w:ascii="Calibri" w:cs="Calibri" w:eastAsia="Calibri" w:hAnsi="Calibri"/>
        </w:rPr>
        <w:t xml:space="preserve">8. Exigences non fonctionnelles (ENF)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600"/>
        <w:gridCol w:w="7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Latence de /evaluate &lt; 500 ms au 95e centile et &lt; 800 ms au 99e centile sur la machine de démonstration, sous le scénario de qualité SQ-30 (ISC-ADD) : 50 transactions/s soutenues pendant 10 min.</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console DOIT refléter une décision en &lt; 2 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Aucune décision perdue ; exactement une entrée d’audit par /evaluate (idempotence par identifiant).</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make demo-attack, make demo-defend, make evaluate DOIVENT produire des résultats identiques à graine fixée.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Installation : un tiers DOIT obtenir l’environnement complet opérationnel en &lt; 10 min depuis le README, avec Docker seul (distinct de CR-04 qui mesure la durée de la démonstration elle-même).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Logs structurés JSON corrélés par identifiant de décision.</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Aucun numéro, préfixe ou nom d’opérateur réel ; réseau Docker isolé ; TLS entre services.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ENF-08a</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Couverture de tests ≥ 80 % sur le PDP.</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ENF-08b</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Chaque règle du moteur DOIT avoir au moins un test unitaire positif et un négatif.</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ENF-08c</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 code cryptographique DOIT être relu ligne à ligne par le candidat, revue consignée.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ENF-09</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Chaque AC DOIT correspondre à un test d’intégration T-AC-xx exécuté en CI.</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ENF-10</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Services conteneurisés ; Android 9+ avec Keystore matériel (StrongBox si disponible, sinon TEE, documenté).</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ENF-11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temps est une dépendance injectable ; aucune règle ne lit l’horloge système directement.</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ENF-12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 lisible sur vidéoprojecteur ; les décisions distinguables sans couleur (icône + libellé).</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ENF-13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Conformité déclarée à NIST SP 800-63B §5.1.3.3 ; section éthique et légale citant [I1] et [I2].</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ENF-14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 décision DOIT être justifiable en langage naturel à partir des règles déclenchées.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ENF-15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mémoire DOIT déclarer l’usage d’outillage IA de génération de code et la procédure de revue appliquée (CT-03).</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ENF-16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Tous les artefacts non-code (mémoire, jeux gelés, figures, registres) DOIVENT être versionnés dans le dépôt ou un stockage distant, empreintes publiées.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ENF-17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Toute notification de sécurité DOIT contenir le type d’événement, l’horodatage serveur et l’action possible, et NE DOIT PAS contenir de lien cliquable ni demander de secret (anti-hameçonnage).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bl>
    <w:p>
      <w:pPr>
        <w:spacing w:after="80"/>
      </w:pPr>
    </w:p>
    <w:p>
      <w:pPr>
        <w:pStyle w:val="Heading2"/>
        <w:spacing w:after="100" w:before="220"/>
      </w:pPr>
      <w:r>
        <w:rPr>
          <w:rFonts w:ascii="Calibri" w:cs="Calibri" w:eastAsia="Calibri" w:hAnsi="Calibri"/>
        </w:rPr>
        <w:t xml:space="preserve">8bis. Exigences sur les artefacts de recherche (EAR)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600"/>
        <w:gridCol w:w="7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être une simulation à base d’agents : persona, distributions (horaires, montants, types, bénéficiaires, canal), appareil (IMSI, empreinte).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modéliser au minimum cinq personas camerounais documentés et la saisonnalité.</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injecter AC-01 à AC-13 et étiqueter chaque transaction (légitime / frauduleuse / scénario).</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être déterministe à graine fixée et produire un fichier de paramètres versionné.</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jeu v1 DOIT être gelé (empreinte publiée) avant tout réglage du moteur ; tout jeu ultérieur porte un nouveau numéro.</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générateur DOIT produire un rapport de plausibilité comparant ses agrégats aux sources publiques ; les écarts DOIVENT être documentés.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protocole DOIT fixer avant exécution : taille, ratio fraude/légitime, découpage, métriques (rappel, précision, FPR, latence, friction), seuils, scénarios.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EAR-08</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ML DOIT être entraîné et testé sur le jeu gelé avec les mêmes découpages que les règles ; comparaison sur les mêmes transactions.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EAR-09</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Toute figure du mémoire DOIT être régénérable par make evaluate ; version du jeu et des règles en légende.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EAR-10</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Aucune donnée personnelle réelle ; calibration sur sources publiques ; tout entretien qualitatif consenti, anonymisé, sans relevé de transactions [I2].</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EAR-11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Les personas DEVRAIENT être validés par au moins deux relecteurs connaissant le terrain (relecture consignée).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bl>
    <w:p>
      <w:pPr>
        <w:spacing w:after="80"/>
      </w:pPr>
    </w:p>
    <w:p>
      <w:pPr>
        <w:pStyle w:val="Heading2"/>
        <w:spacing w:after="100" w:before="220"/>
      </w:pPr>
      <w:r>
        <w:rPr>
          <w:rFonts w:ascii="Calibri" w:cs="Calibri" w:eastAsia="Calibri" w:hAnsi="Calibri"/>
        </w:rPr>
        <w:t xml:space="preserve">9. Exigences d’interfaces externes (EI)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600"/>
        <w:gridCol w:w="11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Interface</w:t>
            </w:r>
          </w:p>
        </w:tc>
        <w:tc>
          <w:tcPr>
            <w:tcW w:type="dxa" w:w="4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Spécification</w:t>
            </w:r>
          </w:p>
        </w:tc>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EI-01</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Cœur → PDP : POST /evaluate, GET /nonce, POST /freeze/{id}/release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HTTP/JSON, contrat OpenAPI 3.1 figé en ISC-SAD ; mTLS ; délai d’attente 800 ms ; codes d’erreur explicites.</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EI-02</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HLR → Cœur : événement de changement d’IMSI</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Événement interne (table + publication) portant MSISDN, ancien IMSI, nouvel IMSI, horodatage, agent, motif.</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EI-03</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App → Cœur</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HTTPS/JSON ; authentification PIN + session ; signature transportée en base64 avec identifiant de clé.</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EI-04</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 ↔ Keystore Android</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API KeyStore / KeyGenParameterSpec ; clé EC P-256, usage signature, non exportable, authentification utilisateur optionnelle ; attestation si disponible.</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D</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EI-05</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USSD → Cœur</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Session simulée : identifiant de session, étapes de menu, saisie ; aucun secret cryptographique.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EI-06</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 → Notification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Interface interne : destinataire (IMSI courant ou dispositif), type, contenu ; consultable console et app.</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EI-07</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Console ↔ PDP / Cœur</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HTTPS/JSON + flux temps réel (SSE ou WebSocket) ; authentification analyste, rôles.</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EI-08</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Outils CLI → Cœur / HLR</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HTTPS/JSON sur réseau isolé ; jetons d’outil distincts (attaquant, agent HLR, chercheur).</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EI-09</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Générateur → Cœur</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Injection par lots horodatés en temps virtuel ; fichier de paramètres joint.</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EI-10</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Évaluation ← Journal</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Lecture seule du journal d’audit et des prédictions ombre ; export CSV/Parquet.</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bl>
    <w:p>
      <w:pPr>
        <w:spacing w:after="80"/>
      </w:pPr>
    </w:p>
    <w:p>
      <w:pPr>
        <w:pStyle w:val="Heading2"/>
        <w:spacing w:after="100" w:before="220"/>
      </w:pPr>
      <w:r>
        <w:rPr>
          <w:rFonts w:ascii="Calibri" w:cs="Calibri" w:eastAsia="Calibri" w:hAnsi="Calibri"/>
        </w:rPr>
        <w:t xml:space="preserve">10. Exigences de données (ED)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600"/>
        <w:gridCol w:w="7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Chaque service (cœur, PDP) DOIT posséder son schéma ; aucune table partagée ; les échanges passent par les interfaces EI.</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cœur DOIT persister : Compte, AbonnéHLR (avec historique), Transaction, Session, OTP, Notification.</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 PDP DOIT persister : Dispositif, ÉtatDeConfiance (avec historique des transitions), Décision, Gel, ContactDeConfiance, Nonce, EntréeAudit, ConfigurationVersionnée, PrédictionOmbre.</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Les horodatages DOIVENT être en UTC, générés par le serveur.</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Les montants DOIVENT être stockés en entiers (FCFA), jamais en flottants.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table EntréeAudit DOIT être accessible en INSERT seul par le rôle applicatif ; aucun UPDATE/DELETE.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Volume cible du jeu v1 : ≥ 1 000 agents, ≥ 6 mois simulés, ≥ 500 000 transactions, ratio fraude fixé par le protocole (EAR-07).</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ED-08</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Rétention : aucune purge pendant le projet ; les jeux gelés sont conservés avec leur empreinte.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ED-09</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Identifiants : UUID v4 pour décisions, gels, transactions ; MSISDN dans la plage fictive 6 99 000 000 – 6 99 009 999, à confirmer hors de tout bloc attribué par l’ART avant adoption (QO-17).</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ED-10</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Localité : identifiant entier de cellule simulée ; chaque agent possède une à trois cellules habituelles ; le générateur modélise les déplacements avec une probabilité documentée.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bl>
    <w:p>
      <w:pPr>
        <w:spacing w:after="80"/>
      </w:pPr>
    </w:p>
    <w:p>
      <w:pPr>
        <w:pStyle w:val="Heading1"/>
        <w:spacing w:after="140" w:before="320"/>
      </w:pPr>
      <w:r>
        <w:rPr>
          <w:rFonts w:ascii="Calibri" w:cs="Calibri" w:eastAsia="Calibri" w:hAnsi="Calibri"/>
        </w:rPr>
        <w:t xml:space="preserve">PARTIE IV — CADRE</w:t>
      </w:r>
    </w:p>
    <w:p>
      <w:pPr>
        <w:pStyle w:val="Heading2"/>
        <w:spacing w:after="100" w:before="220"/>
      </w:pPr>
      <w:r>
        <w:rPr>
          <w:rFonts w:ascii="Calibri" w:cs="Calibri" w:eastAsia="Calibri" w:hAnsi="Calibri"/>
        </w:rPr>
        <w:t xml:space="preserve">11. Contraintes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4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4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Contrainte</w:t>
            </w:r>
          </w:p>
        </w:tc>
        <w:tc>
          <w:tcPr>
            <w:tcW w:type="dxa" w:w="3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Justification</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CT-01</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Stack : Java 21 / Spring Boot (cœur, PDP), Python (générateur, évaluation, ML, outils CLI), Kotlin Android natif, Next.js (console), PostgreSQL, Docker Compose, GitHub Actions.</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ADR-003. Le Keystore matériel impose Android natif ; la stack est une contrainte, pas une exigence.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CT-02</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Sandbox strict ; plage MSISDN fictive ; réseau isolé ; aucun système réel.</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[I1] ; éthique.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CT-03</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Un candidat, 7 mois, activité professionnelle en parallèle ; outillage IA de génération de code sous spécification et revue du candidat ; déclaration dans le mémoire (ENF-15).</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ADR-006.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CT-04</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Matériel : deux appareils Android, poste de démo, vidéoprojecteur, disponibles.</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CT-05</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Format, langue et calendrier du mémoire imposés par l’ICT University (QO-02, QO-03 ouvertes).</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Institution.</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CT-06</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Testbed publié sous licence ouverte (QO-13), sous réserve des règles universitaires.</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Reproductibilité.</w:t>
            </w:r>
          </w:p>
        </w:tc>
      </w:tr>
    </w:tbl>
    <w:p>
      <w:pPr>
        <w:spacing w:after="80"/>
      </w:pPr>
    </w:p>
    <w:p>
      <w:pPr>
        <w:pStyle w:val="Heading2"/>
        <w:spacing w:after="100" w:before="220"/>
      </w:pPr>
      <w:r>
        <w:rPr>
          <w:rFonts w:ascii="Calibri" w:cs="Calibri" w:eastAsia="Calibri" w:hAnsi="Calibri"/>
        </w:rPr>
        <w:t xml:space="preserve">12. Hypothèses et risques</w:t>
      </w:r>
    </w:p>
    <w:p>
      <w:pPr>
        <w:pStyle w:val="Heading3"/>
        <w:spacing w:after="80" w:before="160"/>
      </w:pPr>
      <w:r>
        <w:rPr>
          <w:rFonts w:ascii="Calibri" w:cs="Calibri" w:eastAsia="Calibri" w:hAnsi="Calibri"/>
        </w:rPr>
        <w:t xml:space="preserve">12.1 Hypothèses de projet</w:t>
      </w:r>
    </w:p>
    <w:p>
      <w:pPr>
        <w:pStyle w:val="ListParagraph"/>
        <w:numPr>
          <w:ilvl w:val="0"/>
          <w:numId w:val="2"/>
        </w:numPr>
        <w:spacing w:after="60" w:line="264"/>
      </w:pPr>
      <w:r>
        <w:rPr>
          <w:rFonts w:ascii="Calibri" w:cs="Calibri" w:eastAsia="Calibri" w:hAnsi="Calibri"/>
          <w:sz w:val="21"/>
          <w:szCs w:val="21"/>
        </w:rPr>
        <w:t xml:space="preserve">HP-1 : les sources publiques suffisent à une calibration plausible (sinon EAR-06 documente l’écart).</w:t>
      </w:r>
    </w:p>
    <w:p>
      <w:pPr>
        <w:pStyle w:val="ListParagraph"/>
        <w:numPr>
          <w:ilvl w:val="0"/>
          <w:numId w:val="2"/>
        </w:numPr>
        <w:spacing w:after="60" w:line="264"/>
      </w:pPr>
      <w:r>
        <w:rPr>
          <w:rFonts w:ascii="Calibri" w:cs="Calibri" w:eastAsia="Calibri" w:hAnsi="Calibri"/>
          <w:sz w:val="21"/>
          <w:szCs w:val="21"/>
        </w:rPr>
        <w:t xml:space="preserve">HP-2 : les appareils offrent un Keystore matériel (vérification semaine 3 ; repli TEE).</w:t>
      </w:r>
    </w:p>
    <w:p>
      <w:pPr>
        <w:pStyle w:val="ListParagraph"/>
        <w:numPr>
          <w:ilvl w:val="0"/>
          <w:numId w:val="2"/>
        </w:numPr>
        <w:spacing w:after="60" w:line="264"/>
      </w:pPr>
      <w:r>
        <w:rPr>
          <w:rFonts w:ascii="Calibri" w:cs="Calibri" w:eastAsia="Calibri" w:hAnsi="Calibri"/>
          <w:sz w:val="21"/>
          <w:szCs w:val="21"/>
        </w:rPr>
        <w:t xml:space="preserve">HP-3 : le superviseur valide l’orientation PDP + device binding avant la fin du mois 1.</w:t>
      </w:r>
    </w:p>
    <w:p>
      <w:pPr>
        <w:pStyle w:val="ListParagraph"/>
        <w:numPr>
          <w:ilvl w:val="0"/>
          <w:numId w:val="2"/>
        </w:numPr>
        <w:spacing w:after="60" w:line="264"/>
      </w:pPr>
      <w:r>
        <w:rPr>
          <w:rFonts w:ascii="Calibri" w:cs="Calibri" w:eastAsia="Calibri" w:hAnsi="Calibri"/>
          <w:sz w:val="21"/>
          <w:szCs w:val="21"/>
        </w:rPr>
        <w:t xml:space="preserve">HP-4 : disponibilité du candidat ≥ 15 h/semaine (QO-04 ; recalibrage sinon).</w:t>
      </w:r>
    </w:p>
    <w:p>
      <w:pPr>
        <w:pStyle w:val="ListParagraph"/>
        <w:numPr>
          <w:ilvl w:val="0"/>
          <w:numId w:val="2"/>
        </w:numPr>
        <w:spacing w:after="60" w:line="264"/>
      </w:pPr>
      <w:r>
        <w:rPr>
          <w:rFonts w:ascii="Calibri" w:cs="Calibri" w:eastAsia="Calibri" w:hAnsi="Calibri"/>
          <w:sz w:val="21"/>
          <w:szCs w:val="21"/>
        </w:rPr>
        <w:t xml:space="preserve">Hypothèses de confiance H-T1 à H-T6 : ISC-TM §10.</w:t>
      </w:r>
    </w:p>
    <w:p>
      <w:pPr>
        <w:pStyle w:val="Heading3"/>
        <w:spacing w:after="80" w:before="160"/>
      </w:pPr>
      <w:r>
        <w:rPr>
          <w:rFonts w:ascii="Calibri" w:cs="Calibri" w:eastAsia="Calibri" w:hAnsi="Calibri"/>
        </w:rPr>
        <w:t xml:space="preserve">12.2 Registre des risques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00"/>
        <w:gridCol w:w="800"/>
        <w:gridCol w:w="3400"/>
        <w:gridCol w:w="1100"/>
      </w:tblGrid>
      <w:tr>
        <w:trPr>
          <w:tblHeader/>
        </w:trPr>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Risque</w:t>
            </w:r>
          </w:p>
        </w:tc>
        <w:tc>
          <w:tcPr>
            <w:tcW w:type="dxa" w:w="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w:t>
            </w:r>
          </w:p>
        </w:tc>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w:t>
            </w:r>
          </w:p>
        </w:tc>
        <w:tc>
          <w:tcPr>
            <w:tcW w:type="dxa" w:w="3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Mitigation</w:t>
            </w:r>
          </w:p>
        </w:tc>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Propr.</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R-01</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Dérive vers des tests sur systèmes réels</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F</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Critique</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CT-02 ; aucune dépendance réseau externe ; revue des scénarios</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R-02</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Code généré non maîtrisé</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Spec avant génération ; ENF-08c ; interrogation hebdomadaire ; CR-05</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R-03</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Évaluation jugée circulaire</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EAR-05, EAR-06, AC-07, §4.3</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R-04</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Calendrier universitaire incompatible</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QO-02 ; mois 7 amortisseur</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R-05</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Sur-affirmation sur les opérateurs</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Sources ou hypothèses ; citation [I6]</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R-06</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Keystore sans attestation</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Vérification précoce ; repli documenté</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R-07</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Perte d’artefacts non-code</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ENF-16</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R-08</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Désaccord tardif du superviseur</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Élevé</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Présentation semaine 1 ; objections écrites</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R-09</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Console consommant le temps de la défense</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Console minimale M2 ; défense M4 prime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Encadrement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R-10</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Indisponibilité de l’outillage IA</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candidat sait coder ; plan indépendant</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R-11</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Jury contestant l’usage d’outillage IA</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Moyen</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ENF-15 ; CR-05 ; revue consignée</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r>
    </w:tbl>
    <w:p>
      <w:pPr>
        <w:spacing w:after="80"/>
      </w:pPr>
    </w:p>
    <w:p>
      <w:pPr>
        <w:pStyle w:val="Heading1"/>
        <w:spacing w:after="140" w:before="320"/>
      </w:pPr>
      <w:r>
        <w:rPr>
          <w:rFonts w:ascii="Calibri" w:cs="Calibri" w:eastAsia="Calibri" w:hAnsi="Calibri"/>
        </w:rPr>
        <w:t xml:space="preserve">PARTIE V — GOUVERNANCE</w:t>
      </w:r>
    </w:p>
    <w:p>
      <w:pPr>
        <w:pStyle w:val="Heading2"/>
        <w:spacing w:after="100" w:before="220"/>
      </w:pPr>
      <w:r>
        <w:rPr>
          <w:rFonts w:ascii="Calibri" w:cs="Calibri" w:eastAsia="Calibri" w:hAnsi="Calibri"/>
        </w:rPr>
        <w:t xml:space="preserve">13. Livrables et jalons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3800"/>
      </w:tblGrid>
      <w:tr>
        <w:trPr>
          <w:tblHeader/>
        </w:trPr>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Mois</w:t>
            </w:r>
          </w:p>
        </w:tc>
        <w:tc>
          <w:tcPr>
            <w:tcW w:type="dxa" w:w="4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Livrables</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Definition of Done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1</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L-01 Cadrage ; L-02 Modèle de menace ; L-03 SRS (FR/EN) ; L-04 SAD + OpenAPI ; L-05 Protocole d’évaluation ; L-06 État de l’art (20+) ; dépôt + CI</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APPROVED par le candidat ; présenté au superviseur ; questions bloquantes fermées ; CI verte</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L-07 Cœur (app + USSD + notification + HLR) ; L-08 Outils CLI (AC-02 à 07, agent HLR) ; L-09 Console v1 ; mode sans couche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réussie, scriptée, visible ; tests unitaires ; démo &lt; 10 min</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3</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L-10 Générateur ; L-11 Jeu v1 gelé ; L-12 Rapport de plausibilité</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EAR-01 à 06 ; empreinte publiée ; personas relus (EAR-11)</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L-13 PDP complet (ES-01b à 17) ; L-14 App Android ; L-15 Console v2</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T-AC-01 à 13 verts ; AC-02 neutralisée ; revue crypto signée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5</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L-16 Évaluation ; L-17 ML ombre ; L-18 Sensibilité (QR-4, QR-5)</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Figures régénérables ; H1–H5 statuées ; chapitre évaluation brouillon</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L-19 Démo deux appareils ; L-20 Script de soutenance ; L-21 Console v3</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Trois répétitions chronométrées ; README validé par un tiers</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7</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L-22 Mémoire ; L-23 Soutenance blanche ; L-24 Dépôt public</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Validation superviseur ; dépôt dans les délais</w:t>
            </w:r>
          </w:p>
        </w:tc>
      </w:tr>
    </w:tbl>
    <w:p>
      <w:pPr>
        <w:spacing w:after="80"/>
      </w:pPr>
    </w:p>
    <w:p>
      <w:pPr>
        <w:pStyle w:val="Heading2"/>
        <w:spacing w:after="100" w:before="220"/>
      </w:pPr>
      <w:r>
        <w:rPr>
          <w:rFonts w:ascii="Calibri" w:cs="Calibri" w:eastAsia="Calibri" w:hAnsi="Calibri"/>
        </w:rPr>
        <w:t xml:space="preserve">14. Critères de recette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1800"/>
        <w:gridCol w:w="12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Critère</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Validateur</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Forme</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CR-01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AC-01 à AC-13 s’exécutent en mode sans couche avec le résultat « sans contre-mesure » d’ISC-TM.</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Candidat, encadrement</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T + D</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CR-02</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Avec la couche, les décisions attendues d’ISC-TM §8 sont obtenues ; T-AC-01 à 13 verts.</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 encadrement</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CR-03</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H1 à H5 statuées par les chiffres du protocole, seuils fixés avant exécution.</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Candidat, superviseur</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CR-04</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Démo complète (attaque réussie, neutralisée, intégrité du journal) rejouée en &lt; 10 min sans intervention hors script.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Jury</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CR-05</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 candidat explique sans notes tout composant désigné par le jury.</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Jury</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Oral</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CR-06</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 figure régénérable ; jeu et version des règles en légende.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Superviseur</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CR-07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Limites (AC-01, AC-07, validité synthétique, H-T6, ES-16b) énoncées dans le mémoire et la soutenance.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Superviseur, jury</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 Oral</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CR-08</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Usage de l’outillage IA déclaré et procédure de revue documentée (ENF-15).</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Superviseur</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bl>
    <w:p>
      <w:pPr>
        <w:spacing w:after="80"/>
      </w:pPr>
    </w:p>
    <w:p>
      <w:pPr>
        <w:pStyle w:val="Heading2"/>
        <w:spacing w:after="100" w:before="220"/>
      </w:pPr>
      <w:r>
        <w:rPr>
          <w:rFonts w:ascii="Calibri" w:cs="Calibri" w:eastAsia="Calibri" w:hAnsi="Calibri"/>
        </w:rPr>
        <w:t xml:space="preserve">15. Matrice de traçabilité (extrait)</w:t>
      </w:r>
    </w:p>
    <w:p>
      <w:pPr>
        <w:spacing w:after="100" w:line="264"/>
      </w:pPr>
      <w:r>
        <w:rPr>
          <w:rFonts w:ascii="Calibri" w:cs="Calibri" w:eastAsia="Calibri" w:hAnsi="Calibri"/>
          <w:sz w:val="21"/>
          <w:szCs w:val="21"/>
        </w:rPr>
        <w:t xml:space="preserve">Matrice complète dans docs/traceability.csv, générée dans le mémoire. Structure : Origine → Exigence → Composant → Test → Résultat.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00"/>
        <w:gridCol w:w="1000"/>
        <w:gridCol w:w="15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Origine</w:t>
            </w:r>
          </w:p>
        </w:tc>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c>
          <w:tcPr>
            <w:tcW w:type="dxa" w:w="2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Composant</w:t>
            </w:r>
          </w:p>
        </w:tc>
        <w:tc>
          <w:tcPr>
            <w:tcW w:type="dxa" w:w="1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Test</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Résultat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AC-02 ; [I3]</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ES-01b, ES-03, ES-04, ES-07, ES-16b</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pdp/trust-state, pdp/rules/Probation, pdp/freeze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T-AC-02</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AC-13 ; [N2] §6.1.2</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ES-17, EF-44</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pdp/enrolment, core/ussd/contacts</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T-AC-13</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AC-03 ; [N2] §5.1.3.3</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ES-02, EF-20, EF-21, EI-04</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android/keystore, pdp/signature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T-AC-03</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AC-08 ; [N2] §6.1.2</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ES-03, ES-03b, ES-04, ES-13, ES-14, EF-28</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pdp/trust-state, pdp/recovery</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T-AC-08</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AC-09</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ES-08, ES-09, ES-12</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console/auth, pdp/freeze, pdp/audit</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T-AC-09</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AC-12</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ES-11, EF-36</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core/pdp-client, console</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T-AC-12</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QR-2</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ES-05a–f, ES-06, EAR-07</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pdp/rules, evaluation/ussd_policies</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EVAL-02</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QR-3</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EF-19, EAR-08</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evaluation/ml</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EVAL-03</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bl>
    <w:p>
      <w:pPr>
        <w:spacing w:after="80"/>
      </w:pPr>
    </w:p>
    <w:p>
      <w:pPr>
        <w:pStyle w:val="Heading2"/>
        <w:spacing w:after="100" w:before="220"/>
      </w:pPr>
      <w:r>
        <w:rPr>
          <w:rFonts w:ascii="Calibri" w:cs="Calibri" w:eastAsia="Calibri" w:hAnsi="Calibri"/>
        </w:rPr>
        <w:t xml:space="preserve">16. Gestion du changement</w:t>
      </w:r>
    </w:p>
    <w:p>
      <w:pPr>
        <w:pStyle w:val="ListParagraph"/>
        <w:numPr>
          <w:ilvl w:val="0"/>
          <w:numId w:val="2"/>
        </w:numPr>
        <w:spacing w:after="60" w:line="264"/>
      </w:pPr>
      <w:r>
        <w:rPr>
          <w:rFonts w:ascii="Calibri" w:cs="Calibri" w:eastAsia="Calibri" w:hAnsi="Calibri"/>
          <w:sz w:val="21"/>
          <w:szCs w:val="21"/>
        </w:rPr>
        <w:t xml:space="preserve">Toute demande de modification est consignée dans docs/00-registre-questions.md puis tranchée par un ADR (contexte, décision, alternatives rejetées, conséquences).</w:t>
      </w:r>
    </w:p>
    <w:p>
      <w:pPr>
        <w:pStyle w:val="ListParagraph"/>
        <w:numPr>
          <w:ilvl w:val="0"/>
          <w:numId w:val="2"/>
        </w:numPr>
        <w:spacing w:after="60" w:line="264"/>
      </w:pPr>
      <w:r>
        <w:rPr>
          <w:rFonts w:ascii="Calibri" w:cs="Calibri" w:eastAsia="Calibri" w:hAnsi="Calibri"/>
          <w:sz w:val="21"/>
          <w:szCs w:val="21"/>
        </w:rPr>
        <w:t xml:space="preserve">Une exigence n’est jamais modifiée : elle est RETIRÉE (motif, date, ADR) et remplacée par un nouvel ID.</w:t>
      </w:r>
    </w:p>
    <w:p>
      <w:pPr>
        <w:pStyle w:val="ListParagraph"/>
        <w:numPr>
          <w:ilvl w:val="0"/>
          <w:numId w:val="2"/>
        </w:numPr>
        <w:spacing w:after="60" w:line="264"/>
      </w:pPr>
      <w:r>
        <w:rPr>
          <w:rFonts w:ascii="Calibri" w:cs="Calibri" w:eastAsia="Calibri" w:hAnsi="Calibri"/>
          <w:sz w:val="21"/>
          <w:szCs w:val="21"/>
        </w:rPr>
        <w:t xml:space="preserve">Toute modification d’ISC-TM déclenche une revue de la partie III dans la semaine.</w:t>
      </w:r>
    </w:p>
    <w:p>
      <w:pPr>
        <w:pStyle w:val="ListParagraph"/>
        <w:numPr>
          <w:ilvl w:val="0"/>
          <w:numId w:val="2"/>
        </w:numPr>
        <w:spacing w:after="60" w:line="264"/>
      </w:pPr>
      <w:r>
        <w:rPr>
          <w:rFonts w:ascii="Calibri" w:cs="Calibri" w:eastAsia="Calibri" w:hAnsi="Calibri"/>
          <w:sz w:val="21"/>
          <w:szCs w:val="21"/>
        </w:rPr>
        <w:t xml:space="preserve">Passage en APPROVED après relecture intégrale du candidat et présentation au superviseur ; versionnement 1.x à chaque ADR.</w:t>
      </w:r>
    </w:p>
    <w:p>
      <w:pPr>
        <w:pStyle w:val="ListParagraph"/>
        <w:numPr>
          <w:ilvl w:val="0"/>
          <w:numId w:val="2"/>
        </w:numPr>
        <w:spacing w:after="60" w:line="264"/>
      </w:pPr>
      <w:r>
        <w:rPr>
          <w:rFonts w:ascii="Calibri" w:cs="Calibri" w:eastAsia="Calibri" w:hAnsi="Calibri"/>
          <w:sz w:val="21"/>
          <w:szCs w:val="21"/>
        </w:rPr>
        <w:t xml:space="preserve">Revue hebdomadaire : livrable démontrable, questions ouvertes, risques ; compte rendu dans docs/03-revues/.</w:t>
      </w:r>
    </w:p>
    <w:p>
      <w:pPr>
        <w:pStyle w:val="ListParagraph"/>
        <w:numPr>
          <w:ilvl w:val="0"/>
          <w:numId w:val="2"/>
        </w:numPr>
        <w:spacing w:after="60" w:line="264"/>
      </w:pPr>
      <w:r>
        <w:rPr>
          <w:rFonts w:ascii="Calibri" w:cs="Calibri" w:eastAsia="Calibri" w:hAnsi="Calibri"/>
          <w:sz w:val="21"/>
          <w:szCs w:val="21"/>
        </w:rPr>
        <w:t xml:space="preserve">Les versions FR et EN sont modifiées ensemble ; un écart entre elles est un défaut bloquant.</w:t>
      </w:r>
    </w:p>
    <w:p>
      <w:pPr>
        <w:pStyle w:val="Heading2"/>
        <w:spacing w:after="100" w:before="220"/>
      </w:pPr>
      <w:r>
        <w:rPr>
          <w:rFonts w:ascii="Calibri" w:cs="Calibri" w:eastAsia="Calibri" w:hAnsi="Calibri"/>
        </w:rPr>
        <w:t xml:space="preserve">17. ADR alloués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ADR</w:t>
            </w:r>
          </w:p>
        </w:tc>
        <w:tc>
          <w:tcPr>
            <w:tcW w:type="dxa" w:w="7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ADR-001</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PDP appelé par le cœur via /evaluate ; décision graduée.</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ADR-002</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 binding en veto central ; comportemental en score.</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ADR-003</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Stack (CT-01).</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ADR-004</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Poste attaquant option C.</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ADR-005</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ML en évaluateur ombre.</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ADR-006</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Répartition candidat / outillage IA ; revue obligatoire ; déclaration.</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ADR-007</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Fail-closed au-dessus de CAP_PROB.</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ADR-008</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Agent complice dans le modèle.</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ADR-009</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Journal par chaînage d’empreintes.</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ADR-010</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Révocation différée de l’ancienne clé.</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ADR-011</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Probation indifférente au motif de remplacement de SIM (ES-16b).</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ADR-012</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 d’IMSI → PROBATION plafonnée, pas FROZEN ; levée par contact de confiance (D-01).</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ADR-013</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Premier enrôlement refusé sous CAR_IMSI, PROBATION CAR_ENROL sinon (D-02).</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ADR-014</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Facteurs par canal : la signature remplace l’OTP sur l’application (D-05).</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ADR-015</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Contacts de confiance désignables via USSD et agent KYC (D-03).</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ADR-016</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Fonction d’agrégation du score (à produire dans le SAD, D-10).</w:t>
            </w:r>
          </w:p>
        </w:tc>
      </w:tr>
    </w:tbl>
    <w:p>
      <w:pPr>
        <w:spacing w:after="80"/>
      </w:pPr>
    </w:p>
    <w:p>
      <w:pPr>
        <w:pStyle w:val="Heading2"/>
        <w:spacing w:after="100" w:before="220"/>
      </w:pPr>
      <w:r>
        <w:rPr>
          <w:rFonts w:ascii="Calibri" w:cs="Calibri" w:eastAsia="Calibri" w:hAnsi="Calibri"/>
        </w:rPr>
        <w:t xml:space="preserve">18. Questions ouvertes bloquant le passage en APPROVED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18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Question</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Bloque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QO-02</w:t>
            </w:r>
          </w:p>
        </w:tc>
        <w:tc>
          <w:tcPr>
            <w:tcW w:type="dxa" w:w="6300"/>
            <w:tcMar>
              <w:top w:type="dxa" w:w="50"/>
              <w:left w:type="dxa" w:w="90"/>
              <w:bottom w:type="dxa" w:w="50"/>
              <w:right w:type="dxa" w:w="90"/>
            </w:tcMar>
          </w:tcPr>
          <w:p>
            <w:pPr>
              <w:spacing w:after="30" w:line="240"/>
            </w:pPr>
            <w:r>
              <w:rPr>
                <w:rFonts w:ascii="Calibri" w:cs="Calibri" w:eastAsia="Calibri" w:hAnsi="Calibri"/>
                <w:sz w:val="18"/>
                <w:szCs w:val="18"/>
              </w:rPr>
              <w:t xml:space="preserve">Dates imposées par l’ICT University.</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§13, CT-05</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QO-03</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Format, langue, style de citation du mémoire.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L-22</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QO-04</w:t>
            </w:r>
          </w:p>
        </w:tc>
        <w:tc>
          <w:tcPr>
            <w:tcW w:type="dxa" w:w="6300"/>
            <w:tcMar>
              <w:top w:type="dxa" w:w="50"/>
              <w:left w:type="dxa" w:w="90"/>
              <w:bottom w:type="dxa" w:w="50"/>
              <w:right w:type="dxa" w:w="90"/>
            </w:tcMar>
          </w:tcPr>
          <w:p>
            <w:pPr>
              <w:spacing w:after="30" w:line="240"/>
            </w:pPr>
            <w:r>
              <w:rPr>
                <w:rFonts w:ascii="Calibri" w:cs="Calibri" w:eastAsia="Calibri" w:hAnsi="Calibri"/>
                <w:sz w:val="18"/>
                <w:szCs w:val="18"/>
              </w:rPr>
              <w:t xml:space="preserve">Heures hebdomadaires réelles.</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HP-4</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QO-11</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Sources publiques de calibration.</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EAR-06</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QO-13</w:t>
            </w:r>
          </w:p>
        </w:tc>
        <w:tc>
          <w:tcPr>
            <w:tcW w:type="dxa" w:w="6300"/>
            <w:tcMar>
              <w:top w:type="dxa" w:w="50"/>
              <w:left w:type="dxa" w:w="90"/>
              <w:bottom w:type="dxa" w:w="50"/>
              <w:right w:type="dxa" w:w="90"/>
            </w:tcMar>
          </w:tcPr>
          <w:p>
            <w:pPr>
              <w:spacing w:after="30" w:line="240"/>
            </w:pPr>
            <w:r>
              <w:rPr>
                <w:rFonts w:ascii="Calibri" w:cs="Calibri" w:eastAsia="Calibri" w:hAnsi="Calibri"/>
                <w:sz w:val="18"/>
                <w:szCs w:val="18"/>
              </w:rPr>
              <w:t xml:space="preserve">Licence du dépôt.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CT-06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QO-17</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Confirmation que la plage MSISDN fictive est hors de tout bloc attribué par l’ART.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ED-09</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Version 1.2 : issue d’une revue formelle (21 défauts, tous traités). Ce cahier des charges est complet au sens d’ISO 29148 : cadrage, périmètre, parties prenantes, cas d’utilisation détaillés, exigences fonctionnelles, de sécurité, non fonctionnelles, de recherche, d’interfaces et de données, contraintes, risques, livrables, recette, traçabilité, gestion du changement, références, historique et approbation. Chaque exigence est atomique, testable, priorisée, tracée. Le code ne commence pas avant le statut APPROVED.</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ISC-SRS-FR v1.2 — REVIEW — Page </w:t>
    </w: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IdentiShield-CM — Cahier des charges v1.2</dc:title>
  <dc:creator>IdentiShield-CM</dc:creator>
  <cp:lastModifiedBy>Un-named</cp:lastModifiedBy>
  <cp:revision>1</cp:revision>
  <dcterms:created xsi:type="dcterms:W3CDTF">2026-08-22T17:46:14.411Z</dcterms:created>
  <dcterms:modified xsi:type="dcterms:W3CDTF">2026-08-22T17:46:14.422Z</dcterms:modified>
</cp:coreProperties>
</file>

<file path=docProps/custom.xml><?xml version="1.0" encoding="utf-8"?>
<Properties xmlns="http://schemas.openxmlformats.org/officeDocument/2006/custom-properties" xmlns:vt="http://schemas.openxmlformats.org/officeDocument/2006/docPropsVTypes"/>
</file>