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0"/>
        <w:jc w:val="center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IdentiShield-CM</w:t>
      </w:r>
    </w:p>
    <w:p>
      <w:pPr>
        <w:spacing w:after="38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Secure Identity &amp; Behavioral Trust Layer for Mobile Money Platforms in Cameroon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STRATÉGIE ET PLAN DE TEST</w:t>
      </w:r>
    </w:p>
    <w:p>
      <w:pPr>
        <w:spacing w:after="46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Niveaux de test, couverture des exigences, cas d’abus automatisés, données de test, critères d’entrée et de sortie, traçabilité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6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Identifiant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ISC-TEST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</w:t>
            </w:r>
          </w:p>
        </w:tc>
        <w:tc>
          <w:tcPr>
            <w:tcW w:type="dxa" w:w="6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Statut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6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 août 2026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Auteur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Encadrement technique ; Yaniv (propriétaire, Lead QA de métier)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Documents amont</w:t>
            </w:r>
          </w:p>
        </w:tc>
        <w:tc>
          <w:tcPr>
            <w:tcW w:type="dxa" w:w="6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ISC-SRS v1.2 (117 exigences) ; ISC-TM v1.1 (13 cas d’abus) ; ISC-SAD v1.0 ; ISC-ADD v1.0 (21 scénarios de qualité) ; ISC-DEV v1.0 (13 portes) ; ISC-DEPLOY v1.0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Documents aval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ISC-EVAL (protocole d’évaluation, qui réutilise le vocabulaire de vérification défini ici) ; ISC-PROC (Definition of Done)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Objet</w:t>
            </w:r>
          </w:p>
        </w:tc>
        <w:tc>
          <w:tcPr>
            <w:tcW w:type="dxa" w:w="6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Définir comment chaque exigence est vérifiée, par quel niveau de test, avec quelles données, selon quels critères d’entrée et de sortie, et comment la preuve est conservée.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Principe directeur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Une exigence non couverte par une vérification nommée est une exigence non tenue. La démonstration devant le jury est l’exécution visuelle de la suite de tests de sécurité.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Table des matières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1. Objet, périmètre et vocabulaire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1.1 Ce que ce document couvre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La vérification du système construit : niveaux de test, répartition, nommage, données, environnements, critères, traçabilité, gestion des défauts. Il ne couvre pas la mesure scientifique des performances de détection (rappel, faux positifs, friction), qui relève d’ISC-EVAL. La frontière est nette : le test répond à « le système fait-il ce qui est spécifié » ; l’évaluation répond à « la méthode est-elle efficace, et à quel coût ».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1.2 Vocabulaire de vérification (réutilisé par ISC-EVAL)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tcW w:type="dxa" w:w="7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Méthode T</w:t>
            </w:r>
          </w:p>
        </w:tc>
        <w:tc>
          <w:tcPr>
            <w:tcW w:type="dxa" w:w="7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automatisé exécutable sans intervention humaine, produisant un verdict binaire.</w:t>
            </w:r>
          </w:p>
        </w:tc>
      </w:tr>
      <w:tr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Méthode D</w:t>
            </w:r>
          </w:p>
        </w:tc>
        <w:tc>
          <w:tcPr>
            <w:tcW w:type="dxa" w:w="7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Démonstration : exécution observée par un humain, scénarisée et reproductible.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Méthode I</w:t>
            </w:r>
          </w:p>
        </w:tc>
        <w:tc>
          <w:tcPr>
            <w:tcW w:type="dxa" w:w="7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Inspection : lecture d’un document, d’une configuration ou d’un code, avec compte rendu écrit.</w:t>
            </w:r>
          </w:p>
        </w:tc>
      </w:tr>
      <w:tr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Méthode A</w:t>
            </w:r>
          </w:p>
        </w:tc>
        <w:tc>
          <w:tcPr>
            <w:tcW w:type="dxa" w:w="7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Analyse ou mesure : exécution produisant une valeur numérique comparée à un seuil.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 de test</w:t>
            </w:r>
          </w:p>
        </w:tc>
        <w:tc>
          <w:tcPr>
            <w:tcW w:type="dxa" w:w="7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Unité de vérification identifiée, avec préconditions, actions, résultat attendu, exigence couverte.</w:t>
            </w:r>
          </w:p>
        </w:tc>
      </w:tr>
      <w:tr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Suite</w:t>
            </w:r>
          </w:p>
        </w:tc>
        <w:tc>
          <w:tcPr>
            <w:tcW w:type="dxa" w:w="7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Ensemble de cas exécutés ensemble et rattachés à une porte.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Porte</w:t>
            </w:r>
          </w:p>
        </w:tc>
        <w:tc>
          <w:tcPr>
            <w:tcW w:type="dxa" w:w="7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Contrôle automatique bloquant la fusion (ISC-DEV §4).</w:t>
            </w:r>
          </w:p>
        </w:tc>
      </w:tr>
      <w:tr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Verdict</w:t>
            </w:r>
          </w:p>
        </w:tc>
        <w:tc>
          <w:tcPr>
            <w:tcW w:type="dxa" w:w="7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RÉUSSI, ÉCHOUÉ, BLOQUÉ (précondition non satisfaite), IGNORÉ (désactivé avec justification écrite).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Défaut</w:t>
            </w:r>
          </w:p>
        </w:tc>
        <w:tc>
          <w:tcPr>
            <w:tcW w:type="dxa" w:w="7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Écart constaté entre le comportement observé et une exigence, classé selon §10.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1.3 Nommage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1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Préfixe</w:t>
            </w:r>
          </w:p>
        </w:tc>
        <w:tc>
          <w:tcPr>
            <w:tcW w:type="dxa" w:w="4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41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TU-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unitaire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TU-RULE-VELOCITY-01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</w:t>
            </w:r>
          </w:p>
        </w:tc>
        <w:tc>
          <w:tcPr>
            <w:tcW w:type="dxa" w:w="4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de contrat</w:t>
            </w:r>
          </w:p>
        </w:tc>
        <w:tc>
          <w:tcPr>
            <w:tcW w:type="dxa" w:w="41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TC-EVALUATE-REQ-01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TI-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d’intégration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TI-PROBATION-CAP-01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T-AC-</w:t>
            </w:r>
          </w:p>
        </w:tc>
        <w:tc>
          <w:tcPr>
            <w:tcW w:type="dxa" w:w="4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de cas d’abus (bout en bout, orienté sécurité)</w:t>
            </w:r>
          </w:p>
        </w:tc>
        <w:tc>
          <w:tcPr>
            <w:tcW w:type="dxa" w:w="41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T-AC-02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TS-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de scénario de qualité (ISC-ADD)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TS-SQ-30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TA-</w:t>
            </w:r>
          </w:p>
        </w:tc>
        <w:tc>
          <w:tcPr>
            <w:tcW w:type="dxa" w:w="4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d’architecture (règle structurelle)</w:t>
            </w:r>
          </w:p>
        </w:tc>
        <w:tc>
          <w:tcPr>
            <w:tcW w:type="dxa" w:w="41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TA-CLOCK-01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TD-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de démonstration (scénario jury)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TD-DEMO-01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2. Objectifs et critères de réussite du test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3000"/>
        <w:gridCol w:w="20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Objectif</w:t>
            </w:r>
          </w:p>
        </w:tc>
        <w:tc>
          <w:tcPr>
            <w:tcW w:type="dxa" w:w="3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Mesure</w:t>
            </w:r>
          </w:p>
        </w:tc>
        <w:tc>
          <w:tcPr>
            <w:tcW w:type="dxa" w:w="2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OT-1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Chaque exigence M du SRS est couverte par au moins une vérification nommée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100 % des exigences M traçées dans docs/traceability.csv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SRS §15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OT-2</w:t>
            </w:r>
          </w:p>
        </w:tc>
        <w:tc>
          <w:tcPr>
            <w:tcW w:type="dxa" w:w="3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Chaque cas d’abus est rejoué automatiquement</w:t>
            </w:r>
          </w:p>
        </w:tc>
        <w:tc>
          <w:tcPr>
            <w:tcW w:type="dxa" w:w="3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 tests T-AC verts en intégration continue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ENF-09, CR-02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OT-3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Chaque règle du moteur possède un test positif et un test négatif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100 % des règles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ENF-08b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OT-4</w:t>
            </w:r>
          </w:p>
        </w:tc>
        <w:tc>
          <w:tcPr>
            <w:tcW w:type="dxa" w:w="3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couverture de code du PDP atteint le seuil</w:t>
            </w:r>
          </w:p>
        </w:tc>
        <w:tc>
          <w:tcPr>
            <w:tcW w:type="dxa" w:w="3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≥ 80 % lignes sur pdp/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ENF-08a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OT-5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Aucune règle structurelle n’est violée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Suite TA entièrement verte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ENF-11, SAD §14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OT-6</w:t>
            </w:r>
          </w:p>
        </w:tc>
        <w:tc>
          <w:tcPr>
            <w:tcW w:type="dxa" w:w="3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 réponses réelles sont conformes au contrat publié</w:t>
            </w:r>
          </w:p>
        </w:tc>
        <w:tc>
          <w:tcPr>
            <w:tcW w:type="dxa" w:w="3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Suite TC verte contre le fichier OpenAPI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IR-01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OT-7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démonstration est rejouable sans intervention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répétitions chronométrées &lt; 10 min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CR-04, SQ-11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OT-8</w:t>
            </w:r>
          </w:p>
        </w:tc>
        <w:tc>
          <w:tcPr>
            <w:tcW w:type="dxa" w:w="3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code cryptographique est relu ligne à ligne</w:t>
            </w:r>
          </w:p>
        </w:tc>
        <w:tc>
          <w:tcPr>
            <w:tcW w:type="dxa" w:w="3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Compte rendu de revue signé par le candidat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ENF-08c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3. Niveaux de test et répartition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3.1 Pyramide retenue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900"/>
        <w:gridCol w:w="2200"/>
        <w:gridCol w:w="12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Volume cible</w:t>
            </w:r>
          </w:p>
        </w:tc>
        <w:tc>
          <w:tcPr>
            <w:tcW w:type="dxa" w:w="2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Portée</w:t>
            </w:r>
          </w:p>
        </w:tc>
        <w:tc>
          <w:tcPr>
            <w:tcW w:type="dxa" w:w="2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Exécution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 cible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Unitaire (TU)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 200 cas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Une classe ou une règle, sans base ni réseau ; horloge virtuelle injectée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Exécuteur hébergé, à chaque poussée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2 min</w:t>
            </w:r>
          </w:p>
        </w:tc>
      </w:tr>
      <w:tr>
        <w:tc>
          <w:tcPr>
            <w:tcW w:type="dxa" w:w="1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Architecture (TA)</w:t>
            </w:r>
          </w:p>
        </w:tc>
        <w:tc>
          <w:tcPr>
            <w:tcW w:type="dxa" w:w="1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 10 règles</w:t>
            </w:r>
          </w:p>
        </w:tc>
        <w:tc>
          <w:tcPr>
            <w:tcW w:type="dxa" w:w="2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Structure du code, dépendances interdites</w:t>
            </w:r>
          </w:p>
        </w:tc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Exécuteur hébergé, à chaque poussée</w:t>
            </w:r>
          </w:p>
        </w:tc>
        <w:tc>
          <w:tcPr>
            <w:tcW w:type="dxa" w:w="1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30 s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Contrat (TC)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 25 cas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Conformité requête et réponse au fichier OpenAPI, codes d’erreur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Exécuteur hébergé, à chaque poussée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1 min</w:t>
            </w:r>
          </w:p>
        </w:tc>
      </w:tr>
      <w:tr>
        <w:tc>
          <w:tcPr>
            <w:tcW w:type="dxa" w:w="1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Intégration (TI)</w:t>
            </w:r>
          </w:p>
        </w:tc>
        <w:tc>
          <w:tcPr>
            <w:tcW w:type="dxa" w:w="1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 60 cas</w:t>
            </w:r>
          </w:p>
        </w:tc>
        <w:tc>
          <w:tcPr>
            <w:tcW w:type="dxa" w:w="2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Deux services et la base ; transitions d’état, gels, audit, notifications</w:t>
            </w:r>
          </w:p>
        </w:tc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Machine virtuelle, sur demande de fusion et chaque nuit</w:t>
            </w:r>
          </w:p>
        </w:tc>
        <w:tc>
          <w:tcPr>
            <w:tcW w:type="dxa" w:w="1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8 min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 d’abus (T-AC)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 cas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Bout en bout : outil attaquant → cœur → PDP → console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Machine virtuelle, sur demande de fusion et chaque nuit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10 min</w:t>
            </w:r>
          </w:p>
        </w:tc>
      </w:tr>
      <w:tr>
        <w:tc>
          <w:tcPr>
            <w:tcW w:type="dxa" w:w="1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Scénario de qualité (TS)</w:t>
            </w:r>
          </w:p>
        </w:tc>
        <w:tc>
          <w:tcPr>
            <w:tcW w:type="dxa" w:w="1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cas</w:t>
            </w:r>
          </w:p>
        </w:tc>
        <w:tc>
          <w:tcPr>
            <w:tcW w:type="dxa" w:w="2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Vérifie les scénarios d’ISC-ADD, dont performance et dégradation</w:t>
            </w:r>
          </w:p>
        </w:tc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Machine virtuelle, hebdomadaire et avant jalon</w:t>
            </w:r>
          </w:p>
        </w:tc>
        <w:tc>
          <w:tcPr>
            <w:tcW w:type="dxa" w:w="1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variable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Démonstration (TD)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scénarios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Déroulé jury complet, incluant les téléphones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Manuel, répétition avant jalon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10 min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La forme est volontairement pyramidale : le coût d’un test de bout en bout est cinquante fois celui d’un test unitaire. Une règle mal testée unitairement produira un échec de bout en bout difficile à diagnostiquer.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3.2 Ce qui est testé à quel niveau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2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 approprié</w:t>
            </w:r>
          </w:p>
        </w:tc>
        <w:tc>
          <w:tcPr>
            <w:tcW w:type="dxa" w:w="4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Motif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Contribution d’une règle au score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Isolable, déterministe, rapide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Seuils 40 / 70 et agrégation</w:t>
            </w:r>
          </w:p>
        </w:tc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</w:t>
            </w:r>
          </w:p>
        </w:tc>
        <w:tc>
          <w:tcPr>
            <w:tcW w:type="dxa" w:w="4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Logique pure du moteur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Vérification de signature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 + TI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 sur la primitive, TI sur le rejet effectif d’une transaction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Transitions d’état de confiance</w:t>
            </w:r>
          </w:p>
        </w:tc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 + TI</w:t>
            </w:r>
          </w:p>
        </w:tc>
        <w:tc>
          <w:tcPr>
            <w:tcW w:type="dxa" w:w="4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 sur la machine, TI sur l’effet réel (plafond, bénéficiaires)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Expiration de nonce, de gel, de carence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 avec horloge virtuelle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Aucune attente réelle (SQ-20)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Chaînage du journal d’audit</w:t>
            </w:r>
          </w:p>
        </w:tc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</w:t>
            </w:r>
          </w:p>
        </w:tc>
        <w:tc>
          <w:tcPr>
            <w:tcW w:type="dxa" w:w="4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Nécessite la base et le rôle restreint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Rôle base INSERT seul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Vérifie une propriété de l’infrastructure, pas du code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Fail-closed lors d’une indisponibilité du PDP</w:t>
            </w:r>
          </w:p>
        </w:tc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</w:t>
            </w:r>
          </w:p>
        </w:tc>
        <w:tc>
          <w:tcPr>
            <w:tcW w:type="dxa" w:w="4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Nécessite d’arrêter un service réel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 d’abus complets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T-AC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Sens uniquement de bout en bout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Latence, débit, friction</w:t>
            </w:r>
          </w:p>
        </w:tc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TS</w:t>
            </w:r>
          </w:p>
        </w:tc>
        <w:tc>
          <w:tcPr>
            <w:tcW w:type="dxa" w:w="4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Mesure sur la plateforme de démonstration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Interface Android, console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TD + inspection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L’automatisation de l’interface mobile coûterait plus qu’elle ne protège (§9)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4. Tests de cas d’abus (T-AC-01 à T-AC-13)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Ce sont les tests les plus importants du projet : ils constituent la preuve de la thèse et le contenu de la démonstration. Chacun s’exécute deux fois — en mode sans couche, où l’attaque DOIT réussir, puis avec la couche, où le résultat attendu DOIT être obtenu. Un T-AC qui ne vérifie que le second cas ne prouve rien : il faut d’abord établir que l’attaque fonctionne.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2400"/>
        <w:gridCol w:w="19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Scénario</w:t>
            </w:r>
          </w:p>
        </w:tc>
        <w:tc>
          <w:tcPr>
            <w:tcW w:type="dxa" w:w="1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Attendu sans couche</w:t>
            </w:r>
          </w:p>
        </w:tc>
        <w:tc>
          <w:tcPr>
            <w:tcW w:type="dxa" w:w="2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Attendu avec couche</w:t>
            </w:r>
          </w:p>
        </w:tc>
        <w:tc>
          <w:tcPr>
            <w:tcW w:type="dxa" w:w="1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Exigences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T-AC-01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Ingénierie sociale sur la victime elle-même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Transfert exécuté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STEP_UP (nouveau bénéficiaire + montant) ; sur USSD, temporisation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ES-05b, ES-06</w:t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T-AC-02</w:t>
            </w:r>
          </w:p>
        </w:tc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Vidage immédiat post-SIM swap (USSD)</w:t>
            </w:r>
          </w:p>
        </w:tc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Solde vidé</w:t>
            </w:r>
          </w:p>
        </w:tc>
        <w:tc>
          <w:tcPr>
            <w:tcW w:type="dxa" w:w="2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PROBATION puis FREEZE (bénéficiaire inconnu, dépassement CAP_PROB)</w:t>
            </w:r>
          </w:p>
        </w:tc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ES-01b, ES-03, ES-04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T-AC-03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Vidage post-swap via application réinstallée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Solde vidé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Enrôlement refusé (ES-17) ; à défaut, signature absente → refus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ES-02, ES-17</w:t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T-AC-04</w:t>
            </w:r>
          </w:p>
        </w:tc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Attaquant patient : t+24 h, t+48 h, t+72 h, t+8 j</w:t>
            </w:r>
          </w:p>
        </w:tc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Solde vidé aux quatre instants</w:t>
            </w:r>
          </w:p>
        </w:tc>
        <w:tc>
          <w:tcPr>
            <w:tcW w:type="dxa" w:w="2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FREEZE, FREEZE, STEP_UP, STEP_UP</w:t>
            </w:r>
          </w:p>
        </w:tc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ES-03, ES-04, ES-05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T-AC-05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Vidage fractionné vers plusieurs bénéficiaires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Tous les transferts passent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FREEZE dès le premier bénéficiaire nouveau ; sans IMSI, FREEZE par vélocité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ES-04, ES-05c</w:t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T-AC-06</w:t>
            </w:r>
          </w:p>
        </w:tc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Attaque de nuit</w:t>
            </w:r>
          </w:p>
        </w:tc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Transfert exécuté</w:t>
            </w:r>
          </w:p>
        </w:tc>
        <w:tc>
          <w:tcPr>
            <w:tcW w:type="dxa" w:w="2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FREEZE ; contribution horaire non bloquante seule</w:t>
            </w:r>
          </w:p>
        </w:tc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ES-04, ES-05d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T-AC-07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Attaque mimétique (bénéficiaire et montant habituels)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Solde vidé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Perte plafonnée à CAP_PROB ; sans IMSI, ALLOW documenté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ES-01b, ES-04</w:t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T-AC-08</w:t>
            </w:r>
          </w:p>
        </w:tc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Faux sinistre et ré-enrôlement frauduleux</w:t>
            </w:r>
          </w:p>
        </w:tc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Nouvelle clé acceptée, solde vidé</w:t>
            </w:r>
          </w:p>
        </w:tc>
        <w:tc>
          <w:tcPr>
            <w:tcW w:type="dxa" w:w="2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PROBATION ; dépassement → FREEZE ; annulation possible par l’ancien dispositif</w:t>
            </w:r>
          </w:p>
        </w:tc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ES-03b, ES-04, ES-13, ES-14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T-AC-09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Levée de gel par analyste seul au-dessus du seuil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Sans objet (pas de gel)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Refus ; action journalisée ; acceptation à quatre yeux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ES-08, ES-12</w:t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T-AC-10</w:t>
            </w:r>
          </w:p>
        </w:tc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Altération d’une entrée du journal d’audit</w:t>
            </w:r>
          </w:p>
        </w:tc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Modification silencieuse</w:t>
            </w:r>
          </w:p>
        </w:tc>
        <w:tc>
          <w:tcPr>
            <w:tcW w:type="dxa" w:w="2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Rupture de chaîne détectée et localisée</w:t>
            </w:r>
          </w:p>
        </w:tc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ES-09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T-AC-11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Rejeu d’une requête signée capturée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Seconde exécution acceptée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Refus : nonce consommé ou expiré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ES-10</w:t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T-AC-12</w:t>
            </w:r>
          </w:p>
        </w:tc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Saturation du PDP puis transferts</w:t>
            </w:r>
          </w:p>
        </w:tc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Tout passe (aucun PDP)</w:t>
            </w:r>
          </w:p>
        </w:tc>
        <w:tc>
          <w:tcPr>
            <w:tcW w:type="dxa" w:w="2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Sorties &gt; CAP_PROB refusées ; autres en mode dégradé journalisé</w:t>
            </w:r>
          </w:p>
        </w:tc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ES-11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T-AC-13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Premier enrôlement post-swap sur compte USSD-only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Attaquant devient dispositif de confiance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Enrôlement refusé sous CAR_IMSI ; PROBATION ensuite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ES-17, EF-44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4.1 Structure normative d’un T-AC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Contenu obligatoire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Préconditions</w:t>
            </w:r>
          </w:p>
        </w:tc>
        <w:tc>
          <w:tcPr>
            <w:tcW w:type="dxa" w:w="7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État initial déterministe créé par fixture : compte, solde, historique de bénéficiaires, dispositif enrôlé ou non, IMSI de référence, instant virtuel de départ.</w:t>
            </w:r>
          </w:p>
        </w:tc>
      </w:tr>
      <w:tr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1 — sans couche</w:t>
            </w:r>
          </w:p>
        </w:tc>
        <w:tc>
          <w:tcPr>
            <w:tcW w:type="dxa" w:w="7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Bascule en mode sans couche, exécution du scénario, assertion que l’attaque réussit et que le préjudice attendu est constaté (solde, bénéficiaire).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Réinitialisation</w:t>
            </w:r>
          </w:p>
        </w:tc>
        <w:tc>
          <w:tcPr>
            <w:tcW w:type="dxa" w:w="7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Retour à l’état initial ; aucune contamination entre les deux phases.</w:t>
            </w:r>
          </w:p>
        </w:tc>
      </w:tr>
      <w:tr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2 — avec couche</w:t>
            </w:r>
          </w:p>
        </w:tc>
        <w:tc>
          <w:tcPr>
            <w:tcW w:type="dxa" w:w="7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Réactivation, même scénario, assertions : décision attendue, veto appliqué attendu, règles déclenchées attendues, solde préservé, entrée d’audit écrite, notification émise.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Assertions négatives</w:t>
            </w:r>
          </w:p>
        </w:tc>
        <w:tc>
          <w:tcPr>
            <w:tcW w:type="dxa" w:w="7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Vérifier ce qui NE DOIT PAS se produire : aucun débit, aucune seconde entrée d’audit, aucune exécution différée après expiration.</w:t>
            </w:r>
          </w:p>
        </w:tc>
      </w:tr>
      <w:tr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Preuve</w:t>
            </w:r>
          </w:p>
        </w:tc>
        <w:tc>
          <w:tcPr>
            <w:tcW w:type="dxa" w:w="7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Journalisation de la décision complète et de la chronologie, archivée comme artefact d’intégration continue.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C55A11" w:sz="24"/>
              <w:bottom w:val="none"/>
              <w:right w:val="none"/>
            </w:tcBorders>
            <w:shd w:fill="FFF4E5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L’assertion négative est la partie que les projets oublient. Un test qui vérifie « la décision est FREEZE » sans vérifier « le solde n’a pas bougé » passerait au vert sur un système qui gèle et débite quand même.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5. Tests d’architecture (TA)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0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Règle vérifiée</w:t>
            </w:r>
          </w:p>
        </w:tc>
        <w:tc>
          <w:tcPr>
            <w:tcW w:type="dxa" w:w="2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Origine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TA-CLOCK-01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Aucune classe de core/ ni de pdp/ n’appelle une horloge statique ; le temps arrive par injection.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ENF-11, C-08</w:t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TA-RULE-01</w:t>
            </w:r>
          </w:p>
        </w:tc>
        <w:tc>
          <w:tcPr>
            <w:tcW w:type="dxa" w:w="5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Aucune classe de règle ne dépend d’un composant d’infrastructure (base, HTTP, fichier).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SQ-41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TA-RULE-02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Aucune règle ne connaît une autre règle : pas de dépendance croisée.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SQ-41</w:t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TA-VETO-01</w:t>
            </w:r>
          </w:p>
        </w:tc>
        <w:tc>
          <w:tcPr>
            <w:tcW w:type="dxa" w:w="5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 composants de veto (signature, état de confiance) ne dépendent pas du moteur de score.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SAD §5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TA-SCHEMA-01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Aucune requête de core/ ne référence le schéma pdp, et réciproquement.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ED-01, C-07</w:t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TA-CRYPTO-01</w:t>
            </w:r>
          </w:p>
        </w:tc>
        <w:tc>
          <w:tcPr>
            <w:tcW w:type="dxa" w:w="5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Aucune implémentation cryptographique maison : uniquement les API standard de la plateforme.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ISC-DEV §5.1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TA-SPIKE-01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 module de production n’importe du code de spikes/.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ISC-ADD §8</w:t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TA-CONFIG-01</w:t>
            </w:r>
          </w:p>
        </w:tc>
        <w:tc>
          <w:tcPr>
            <w:tcW w:type="dxa" w:w="5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 paramètre nommé n’apparaît en littéral dans le code : il vient de la configuration versionnée.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ES-15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TA-SHADOW-01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chemin de décision ne dépend pas de l’évaluateur ombre.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EF-19, ADR-005</w:t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TA-LOG-01</w:t>
            </w:r>
          </w:p>
        </w:tc>
        <w:tc>
          <w:tcPr>
            <w:tcW w:type="dxa" w:w="5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Aucune écriture directe dans la table d’audit hors du composant AuditLog.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ES-09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Ces tests sont peu coûteux et interceptent les dérives structurelles avant qu’elles ne coûtent cher. Ils sont particulièrement importants ici, où le code est produit par un agent : ils rendent exécutoires les interdictions du fichier de règles projet.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6. Tests de contrat (TC)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0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4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</w:t>
            </w:r>
          </w:p>
        </w:tc>
        <w:tc>
          <w:tcPr>
            <w:tcW w:type="dxa" w:w="3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Attendu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Schéma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Requête valide complète ; requête sans champ obligatoire ; type incorrect ; montant négatif ; montant non entier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; 400 ; 400 ; 400 ; 400</w:t>
            </w:r>
          </w:p>
        </w:tc>
      </w:tr>
      <w:tr>
        <w:tc>
          <w:tcPr>
            <w:tcW w:type="dxa" w:w="1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Idempotence</w:t>
            </w:r>
          </w:p>
        </w:tc>
        <w:tc>
          <w:tcPr>
            <w:tcW w:type="dxa" w:w="4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Même decisionId envoyé deux fois</w:t>
            </w:r>
          </w:p>
        </w:tc>
        <w:tc>
          <w:tcPr>
            <w:tcW w:type="dxa" w:w="3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Même décision retournée ; une seule entrée d’audit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Nonce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Nonce inconnu ; nonce consommé ; nonce expiré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 ; 409 ; 409</w:t>
            </w:r>
          </w:p>
        </w:tc>
      </w:tr>
      <w:tr>
        <w:tc>
          <w:tcPr>
            <w:tcW w:type="dxa" w:w="1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4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Appel sans certificat client</w:t>
            </w:r>
          </w:p>
        </w:tc>
        <w:tc>
          <w:tcPr>
            <w:tcW w:type="dxa" w:w="3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Débit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Dépassement de la limite configurée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429</w:t>
            </w:r>
          </w:p>
        </w:tc>
      </w:tr>
      <w:tr>
        <w:tc>
          <w:tcPr>
            <w:tcW w:type="dxa" w:w="1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Réponse</w:t>
            </w:r>
          </w:p>
        </w:tc>
        <w:tc>
          <w:tcPr>
            <w:tcW w:type="dxa" w:w="4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Présence de decision, score, triggeredRules, vetoApplied, ruleSetVersion, latencyMs</w:t>
            </w:r>
          </w:p>
        </w:tc>
        <w:tc>
          <w:tcPr>
            <w:tcW w:type="dxa" w:w="3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Tous présents et conformes au schéma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Compatibilité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fichier OpenAPI publié décrit exactement les réponses réelles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Aucune divergence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7. Données de test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7.1 Trois jeux distincts, jamais confondus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200"/>
        <w:gridCol w:w="26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Jeu</w:t>
            </w:r>
          </w:p>
        </w:tc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2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Propriétés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Fixtures de test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TU, TI, T-AC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Quelques comptes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Déterministes, créées et détruites par test, aucune dépendance entre tests</w:t>
            </w:r>
          </w:p>
        </w:tc>
      </w:tr>
      <w:tr>
        <w:tc>
          <w:tcPr>
            <w:tcW w:type="dxa" w:w="1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Jeu de démonstration</w:t>
            </w:r>
          </w:p>
        </w:tc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non vide devant le jury</w:t>
            </w:r>
          </w:p>
        </w:tc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 50 comptes, quelques jours</w:t>
            </w:r>
          </w:p>
        </w:tc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Lisible, réaliste, chargé au démarrage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Jeu gelé v1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Évaluation (ISC-EVAL)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≥ 1 000 agents, ≥ 6 mois, ≥ 500 000 transactions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Gelé, empreinte publiée, jamais utilisé pour du test fonctionnel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C55A11" w:sz="24"/>
              <w:bottom w:val="none"/>
              <w:right w:val="none"/>
            </w:tcBorders>
            <w:shd w:fill="FFF4E5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Règle stricte : le jeu gelé v1 ne sert jamais à déboguer ni à régler le moteur. Toute utilisation du jeu d’évaluation en dehors de l’évaluation compromettrait l’indépendance des résultats et donnerait raison à la critique de circularité (R-03).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7.2 Règles sur les données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Aucun MSISDN hors de la plage fictive documentée ; vérifié par la porte fictitious-msisdn.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Aucun nom de personne réelle, aucune donnée personnelle (EAR-10).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Chaque fixture fixe explicitement l’instant virtuel de départ : aucun test ne dépend de l’heure réelle d’exécution.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Les graines aléatoires sont fixées et écrites dans le cas de test.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Aucun test ne dépend de l’ordre d’exécution ni de l’état laissé par un autre test.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8. Environnements et exécution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0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Suite</w:t>
            </w:r>
          </w:p>
        </w:tc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Environnement</w:t>
            </w:r>
          </w:p>
        </w:tc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Déclenchement</w:t>
            </w:r>
          </w:p>
        </w:tc>
        <w:tc>
          <w:tcPr>
            <w:tcW w:type="dxa" w:w="2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Porte associée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TU, TA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Exécuteur hébergé, sans base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Chaque poussée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unit, rule-tests, arch</w:t>
            </w:r>
          </w:p>
        </w:tc>
      </w:tr>
      <w:tr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</w:t>
            </w:r>
          </w:p>
        </w:tc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Exécuteur hébergé, service démarré seul</w:t>
            </w:r>
          </w:p>
        </w:tc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Chaque poussée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Machine virtuelle, pile complète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Demande de fusion, puis chaque nuit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integration, audit-role</w:t>
            </w:r>
          </w:p>
        </w:tc>
      </w:tr>
      <w:tr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T-AC</w:t>
            </w:r>
          </w:p>
        </w:tc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Machine virtuelle, pile complète</w:t>
            </w:r>
          </w:p>
        </w:tc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Demande de fusion, puis chaque nuit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abuse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TS (performance)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Machine virtuelle exclusivement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Hebdomadaire et avant jalon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TD</w:t>
            </w:r>
          </w:p>
        </w:tc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Machine virtuelle + deux téléphones</w:t>
            </w:r>
          </w:p>
        </w:tc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Répétition avant jalon et avant soutenance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manuelle, consignée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Les mesures de performance ne sont valides que sur la machine virtuelle de démonstration (ISC-DEPLOY §5.2). Toute valeur publiée mentionne la configuration de cette machine.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9. Ce qui n’est pas automatisé, et pourquoi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4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1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Décision</w:t>
            </w:r>
          </w:p>
        </w:tc>
        <w:tc>
          <w:tcPr>
            <w:tcW w:type="dxa" w:w="3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  <w:tc>
          <w:tcPr>
            <w:tcW w:type="dxa" w:w="2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Compensation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Interface Android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 automatisée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coût d’une suite d’interface mobile dépasserait son apport pour un projet de sept mois à une personne ; la logique de sécurité est côté serveur.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 instrumentés ciblés sur la génération de clé et la signature ; vérification manuelle scénarisée (TD).</w:t>
            </w:r>
          </w:p>
        </w:tc>
      </w:tr>
      <w:tr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Interface console</w:t>
            </w:r>
          </w:p>
        </w:tc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 automatisée au niveau visuel</w:t>
            </w:r>
          </w:p>
        </w:tc>
        <w:tc>
          <w:tcPr>
            <w:tcW w:type="dxa" w:w="3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Même raisonnement ; la console n’est pas une autorité de décision.</w:t>
            </w:r>
          </w:p>
        </w:tc>
        <w:tc>
          <w:tcPr>
            <w:tcW w:type="dxa" w:w="2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 d’API sous-jacents ; vérification manuelle lors des répétitions.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Comportement d’un vrai réseau télécom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Hors périmètre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C-03 interdit toute interaction réelle.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Hypothèse H-T6 énoncée ; limite déclarée dans le mémoire.</w:t>
            </w:r>
          </w:p>
        </w:tc>
      </w:tr>
      <w:tr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Délivrance réelle des notifications</w:t>
            </w:r>
          </w:p>
        </w:tc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Simulée, instantanée</w:t>
            </w:r>
          </w:p>
        </w:tc>
        <w:tc>
          <w:tcPr>
            <w:tcW w:type="dxa" w:w="3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Aucune passerelle réelle dans le sandbox.</w:t>
            </w:r>
          </w:p>
        </w:tc>
        <w:tc>
          <w:tcPr>
            <w:tcW w:type="dxa" w:w="2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Dette D-02 du SAD ; limite à énoncer, car les résultats sur AC-04 en dépendent.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Résistance à un appareil compromis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Hors modèle de menace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ISC-TM §9 : l’attaquant n’a pas l’appareil de la victime.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Exclusion déclarée ; travaux futurs.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Énumérer ce qui n’est pas testé fait partie de la stratégie. Un jury qui découvre lui-même une zone non couverte conclut à une omission ; un jury à qui on la présente avec sa justification conclut à une décision.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10. Gestion des défauts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10.1 Classification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20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Sévérité</w:t>
            </w:r>
          </w:p>
        </w:tc>
        <w:tc>
          <w:tcPr>
            <w:tcW w:type="dxa" w:w="5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  <w:tc>
          <w:tcPr>
            <w:tcW w:type="dxa" w:w="2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Délai de traitement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 — Critique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Une exigence de sécurité (ES) est violée ; un cas d’abus réussit malgré la couche ; une perte de fonds est possible.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Immédiat ; bloque toute autre tâche</w:t>
            </w:r>
          </w:p>
        </w:tc>
      </w:tr>
      <w:tr>
        <w:tc>
          <w:tcPr>
            <w:tcW w:type="dxa" w:w="1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 — Majeur</w:t>
            </w:r>
          </w:p>
        </w:tc>
        <w:tc>
          <w:tcPr>
            <w:tcW w:type="dxa" w:w="5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Une exigence M autre que ES n’est pas satisfaite ; un test T-AC est instable ; une métrique n’est pas reproductible.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Avant la fin du jalon en cours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 — Mineur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Exigence S ou C non satisfaite ; défaut d’ergonomie ; message imprécis.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Backlog, priorité normale</w:t>
            </w:r>
          </w:p>
        </w:tc>
      </w:tr>
      <w:tr>
        <w:tc>
          <w:tcPr>
            <w:tcW w:type="dxa" w:w="1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S4 — Cosmétique</w:t>
            </w:r>
          </w:p>
        </w:tc>
        <w:tc>
          <w:tcPr>
            <w:tcW w:type="dxa" w:w="5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Libellé, mise en forme, journal verbeux.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Backlog, opportuniste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10.2 Contenu obligatoire d’un défaut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Identifiant ; sévérité ; exigence violée ; comportement observé et comportement attendu ; commande exacte de reproduction ; environnement et empreinte de commit ; verdict du test associé. Un défaut sans commande de reproduction est renvoyé à son auteur, y compris lorsque l’auteur est le candidat.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10.3 Règle de non-régression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Tout défaut S1 ou S2 corrigé donne lieu à un test qui échoue avant le correctif et réussit après. Ce test entre dans la suite permanente. Aucun correctif n’est fusionné sans ce test.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11. Critères d’entrée et de sortie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Critères d’entrée</w:t>
            </w:r>
          </w:p>
        </w:tc>
        <w:tc>
          <w:tcPr>
            <w:tcW w:type="dxa" w:w="3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Critères de sortie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 du mois 2 (cœur, outils, console v1)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Environnement opérationnel ; contrat OpenAPI validé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 et TC verts ; T-AC-02 réussit en mode sans couche ; démonstration de l’attaque rejouable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 du mois 3 (générateur)</w:t>
            </w:r>
          </w:p>
        </w:tc>
        <w:tc>
          <w:tcPr>
            <w:tcW w:type="dxa" w:w="3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Jeu de données produit</w:t>
            </w:r>
          </w:p>
        </w:tc>
        <w:tc>
          <w:tcPr>
            <w:tcW w:type="dxa" w:w="3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Rapport de plausibilité accepté ; jeu v1 gelé avec empreinte publiée ; déterminisme vérifié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 du mois 4 (PDP, application, console v2)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PDP déployable ; application installée sur les deux téléphones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 T-AC verts dans les deux phases ; TA et TI verts ; couverture ≥ 80 % ; revue cryptographique consignée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 du mois 5 (évaluation)</w:t>
            </w:r>
          </w:p>
        </w:tc>
        <w:tc>
          <w:tcPr>
            <w:tcW w:type="dxa" w:w="3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Jeu v1 gelé ; protocole ISC-EVAL figé</w:t>
            </w:r>
          </w:p>
        </w:tc>
        <w:tc>
          <w:tcPr>
            <w:tcW w:type="dxa" w:w="3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TS de performance mesurés ; figures régénérables ; hypothèses H1 à H5 statuées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Soutenance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Tous les critères précédents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Trois répétitions TD &lt; 10 min sans incident ; zéro défaut S1 ouvert ; zéro S2 non documenté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C55A11" w:sz="24"/>
              <w:bottom w:val="none"/>
              <w:right w:val="none"/>
            </w:tcBorders>
            <w:shd w:fill="FFF4E5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Règle de sortie non négociable : aucun défaut S1 ouvert à la soutenance. Un défaut S2 restant est admissible s’il est documenté et présenté au jury ; le dissimuler serait une faute plus grave que le défaut lui-même.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12. Traçabilité et preuve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12.1 Matrice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docs/traceability.csv relie : origine (source, cas d’abus, question de recherche) → exigence → composant → cas de test → verdict de la dernière exécution. Elle est générée automatiquement à partir des annotations portées par les tests et des identifiants d’exigence portés par le code. Une exigence M sans cas de test associé fait échouer la porte de traçabilité.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12.2 Conservation de la preuve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Rapports d’exécution et journaux des T-AC archivés comme artefacts à chaque exécution nocturne.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Mesures de performance horodatées, avec configuration de la machine virtuelle et empreinte de commit.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Comptes rendus de revue cryptographique signés, dans docs/03-revues/.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Extraits du journal d’audit produits pendant les T-AC, conservés comme preuve du chaînage.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12.3 Couverture des exigences — vue d’ensemble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600"/>
        <w:gridCol w:w="2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Famille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Méthode dominante</w:t>
            </w:r>
          </w:p>
        </w:tc>
        <w:tc>
          <w:tcPr>
            <w:tcW w:type="dxa" w:w="2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Suites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EF (fonctionnelles)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 et D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TU, TI, TD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 (sécurité)</w:t>
            </w:r>
          </w:p>
        </w:tc>
        <w:tc>
          <w:tcPr>
            <w:tcW w:type="dxa" w:w="1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dont 2 retirées</w:t>
            </w:r>
          </w:p>
        </w:tc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</w:t>
            </w:r>
          </w:p>
        </w:tc>
        <w:tc>
          <w:tcPr>
            <w:tcW w:type="dxa" w:w="2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TU, TI, T-AC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ENF (non fonctionnelles)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et I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TS, portes, inspection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EAR (artefacts de recherche)</w:t>
            </w:r>
          </w:p>
        </w:tc>
        <w:tc>
          <w:tcPr>
            <w:tcW w:type="dxa" w:w="1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 et A</w:t>
            </w:r>
          </w:p>
        </w:tc>
        <w:tc>
          <w:tcPr>
            <w:tcW w:type="dxa" w:w="2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ISC-EVAL, inspection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EI (interfaces)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 et I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TC, inspection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ED (données)</w:t>
            </w:r>
          </w:p>
        </w:tc>
        <w:tc>
          <w:tcPr>
            <w:tcW w:type="dxa" w:w="1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 et I</w:t>
            </w:r>
          </w:p>
        </w:tc>
        <w:tc>
          <w:tcPr>
            <w:tcW w:type="dxa" w:w="2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TI, inspection de schéma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117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13. Rôles et responsabilités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Activité</w:t>
            </w:r>
          </w:p>
        </w:tc>
        <w:tc>
          <w:tcPr>
            <w:tcW w:type="dxa" w:w="2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Candidat</w:t>
            </w:r>
          </w:p>
        </w:tc>
        <w:tc>
          <w:tcPr>
            <w:tcW w:type="dxa" w:w="2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Agent de codage</w:t>
            </w:r>
          </w:p>
        </w:tc>
        <w:tc>
          <w:tcPr>
            <w:tcW w:type="dxa" w:w="2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Encadrement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Définir l’intention d’un test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3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Écrire le code de test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Relire les tests de sécurité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3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Exécuter les suites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Statuer un défaut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3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Prononcer les critères de sortie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A/R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Point d’attention propre à ce projet : l’agent qui écrit le code écrit aussi les tests. Le risque est un test écrit pour passer plutôt que pour vérifier. Deux garde-fous : l’intention du test est formulée par le candidat avant l’implémentation, et tout test de sécurité doit d’abord être observé en échec sur le système non protégé (phase 1 des T-AC).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14. Ce que ce document ne décide pas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Le protocole d’évaluation : taille du jeu, ratios, découpages, seuils de rappel et de faux positifs, comparaison règles contre modèle appris — ISC-EVAL.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La Definition of Ready et la Definition of Done, qui réutiliseront les critères du §11 — ISC-PROC.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Le déroulé minuté de la démonstration — ISC-DEMO.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Les valeurs cibles de débit du simulateur, qui dépendent de SPIKE-5.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7"/>
        <w:szCs w:val="17"/>
      </w:rPr>
      <w:t xml:space="preserve">ISC-TEST v1.0 — REVIEW — Page </w:t>
    </w:r>
    <w:r>
      <w:rPr>
        <w:rFonts w:ascii="Calibri" w:cs="Calibri" w:eastAsia="Calibri" w:hAnsi="Calibri"/>
        <w:color w:val="8080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IdentiShield-CM — Stratégie et plan de test v1.0</dc:title>
  <dc:creator>IdentiShield-CM</dc:creator>
  <cp:lastModifiedBy>Un-named</cp:lastModifiedBy>
  <cp:revision>1</cp:revision>
  <dcterms:created xsi:type="dcterms:W3CDTF">2026-08-22T17:46:42.572Z</dcterms:created>
  <dcterms:modified xsi:type="dcterms:W3CDTF">2026-08-22T17:46:42.573Z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