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64"/>
          <w:szCs w:val="64"/>
        </w:rPr>
        <w:t xml:space="preserve">IdentiShield-CM</w:t>
      </w:r>
    </w:p>
    <w:p>
      <w:pPr>
        <w:spacing w:after="120"/>
        <w:jc w:val="center"/>
      </w:pPr>
      <w:r>
        <w:rPr>
          <w:rFonts w:ascii="Calibri" w:cs="Calibri" w:eastAsia="Calibri" w:hAnsi="Calibri"/>
          <w:i/>
          <w:iCs/>
          <w:sz w:val="26"/>
          <w:szCs w:val="26"/>
        </w:rPr>
        <w:t xml:space="preserve">Secure Identity &amp; Behavioral Trust Layer for Mobile Money Platforms in Cameroon</w:t>
      </w:r>
    </w:p>
    <w:p>
      <w:pPr>
        <w:spacing w:after="120" w:before="600"/>
        <w:jc w:val="center"/>
      </w:pPr>
      <w:r>
        <w:rPr>
          <w:rFonts w:ascii="Calibri" w:cs="Calibri" w:eastAsia="Calibri" w:hAnsi="Calibri"/>
          <w:b/>
          <w:bCs/>
          <w:sz w:val="32"/>
          <w:szCs w:val="32"/>
        </w:rPr>
        <w:t xml:space="preserve">DOSSIER DE CADRAGE ET DE CONCEPTION</w:t>
      </w:r>
    </w:p>
    <w:p>
      <w:pPr>
        <w:spacing w:after="120"/>
        <w:jc w:val="center"/>
      </w:pPr>
      <w:r>
        <w:rPr>
          <w:rFonts w:ascii="Calibri" w:cs="Calibri" w:eastAsia="Calibri" w:hAnsi="Calibri"/>
          <w:sz w:val="22"/>
          <w:szCs w:val="22"/>
        </w:rPr>
        <w:t xml:space="preserve">Consolidation des décisions d’encadrement, de l’audit initial, de l’architecture cible, du plan sur 7 mois et de l’état de l’art</w:t>
      </w:r>
    </w:p>
    <w:p>
      <w:pPr>
        <w:spacing w:after="120"/>
      </w:pP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Champ</w:t>
            </w:r>
          </w:p>
        </w:tc>
        <w:tc>
          <w:tcPr>
            <w:tcW w:type="dxa" w:w="65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Valeur</w:t>
            </w:r>
          </w:p>
        </w:tc>
      </w:tr>
      <w:tr>
        <w:tc>
          <w:tcPr>
            <w:tcW w:type="dxa" w:w="2500"/>
            <w:tcMar>
              <w:top w:type="dxa" w:w="60"/>
              <w:left w:type="dxa" w:w="100"/>
              <w:bottom w:type="dxa" w:w="60"/>
              <w:right w:type="dxa" w:w="100"/>
            </w:tcMar>
          </w:tcPr>
          <w:p>
            <w:pPr>
              <w:spacing w:after="40" w:line="252"/>
            </w:pPr>
            <w:r>
              <w:rPr>
                <w:rFonts w:ascii="Calibri" w:cs="Calibri" w:eastAsia="Calibri" w:hAnsi="Calibri"/>
                <w:sz w:val="19"/>
                <w:szCs w:val="19"/>
              </w:rPr>
              <w:t xml:space="preserve">Version</w:t>
            </w:r>
          </w:p>
        </w:tc>
        <w:tc>
          <w:tcPr>
            <w:tcW w:type="dxa" w:w="6500"/>
            <w:tcMar>
              <w:top w:type="dxa" w:w="60"/>
              <w:left w:type="dxa" w:w="100"/>
              <w:bottom w:type="dxa" w:w="60"/>
              <w:right w:type="dxa" w:w="100"/>
            </w:tcMar>
          </w:tcPr>
          <w:p>
            <w:pPr>
              <w:spacing w:after="40" w:line="252"/>
            </w:pPr>
            <w:r>
              <w:rPr>
                <w:rFonts w:ascii="Calibri" w:cs="Calibri" w:eastAsia="Calibri" w:hAnsi="Calibri"/>
                <w:sz w:val="19"/>
                <w:szCs w:val="19"/>
              </w:rPr>
              <w:t xml:space="preserve">0.1 — Brouillon de travail</w:t>
            </w:r>
          </w:p>
        </w:tc>
      </w:tr>
      <w:tr>
        <w:tc>
          <w:tcPr>
            <w:tcW w:type="dxa" w:w="2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Date</w:t>
            </w:r>
          </w:p>
        </w:tc>
        <w:tc>
          <w:tcPr>
            <w:tcW w:type="dxa" w:w="6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20 août 2026</w:t>
            </w:r>
          </w:p>
        </w:tc>
      </w:tr>
      <w:tr>
        <w:tc>
          <w:tcPr>
            <w:tcW w:type="dxa" w:w="2500"/>
            <w:tcMar>
              <w:top w:type="dxa" w:w="60"/>
              <w:left w:type="dxa" w:w="100"/>
              <w:bottom w:type="dxa" w:w="60"/>
              <w:right w:type="dxa" w:w="100"/>
            </w:tcMar>
          </w:tcPr>
          <w:p>
            <w:pPr>
              <w:spacing w:after="40" w:line="252"/>
            </w:pPr>
            <w:r>
              <w:rPr>
                <w:rFonts w:ascii="Calibri" w:cs="Calibri" w:eastAsia="Calibri" w:hAnsi="Calibri"/>
                <w:sz w:val="19"/>
                <w:szCs w:val="19"/>
              </w:rPr>
              <w:t xml:space="preserve">Candidat</w:t>
            </w:r>
          </w:p>
        </w:tc>
        <w:tc>
          <w:tcPr>
            <w:tcW w:type="dxa" w:w="6500"/>
            <w:tcMar>
              <w:top w:type="dxa" w:w="60"/>
              <w:left w:type="dxa" w:w="100"/>
              <w:bottom w:type="dxa" w:w="60"/>
              <w:right w:type="dxa" w:w="100"/>
            </w:tcMar>
          </w:tcPr>
          <w:p>
            <w:pPr>
              <w:spacing w:after="40" w:line="252"/>
            </w:pPr>
            <w:r>
              <w:rPr>
                <w:rFonts w:ascii="Calibri" w:cs="Calibri" w:eastAsia="Calibri" w:hAnsi="Calibri"/>
                <w:sz w:val="19"/>
                <w:szCs w:val="19"/>
              </w:rPr>
              <w:t xml:space="preserve">Yaniv — B.Sc. Information Systems &amp; Networking, ICT University, Yaoundé</w:t>
            </w:r>
          </w:p>
        </w:tc>
      </w:tr>
      <w:tr>
        <w:tc>
          <w:tcPr>
            <w:tcW w:type="dxa" w:w="2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Encadrement</w:t>
            </w:r>
          </w:p>
        </w:tc>
        <w:tc>
          <w:tcPr>
            <w:tcW w:type="dxa" w:w="6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Encadreur senior (rôle tenu par Claude, sur demande du candidat) — académique : ICT University</w:t>
            </w:r>
          </w:p>
        </w:tc>
      </w:tr>
      <w:tr>
        <w:tc>
          <w:tcPr>
            <w:tcW w:type="dxa" w:w="2500"/>
            <w:tcMar>
              <w:top w:type="dxa" w:w="60"/>
              <w:left w:type="dxa" w:w="100"/>
              <w:bottom w:type="dxa" w:w="60"/>
              <w:right w:type="dxa" w:w="100"/>
            </w:tcMar>
          </w:tcPr>
          <w:p>
            <w:pPr>
              <w:spacing w:after="40" w:line="252"/>
            </w:pPr>
            <w:r>
              <w:rPr>
                <w:rFonts w:ascii="Calibri" w:cs="Calibri" w:eastAsia="Calibri" w:hAnsi="Calibri"/>
                <w:sz w:val="19"/>
                <w:szCs w:val="19"/>
              </w:rPr>
              <w:t xml:space="preserve">Statut</w:t>
            </w:r>
          </w:p>
        </w:tc>
        <w:tc>
          <w:tcPr>
            <w:tcW w:type="dxa" w:w="6500"/>
            <w:tcMar>
              <w:top w:type="dxa" w:w="60"/>
              <w:left w:type="dxa" w:w="100"/>
              <w:bottom w:type="dxa" w:w="60"/>
              <w:right w:type="dxa" w:w="100"/>
            </w:tcMar>
          </w:tcPr>
          <w:p>
            <w:pPr>
              <w:spacing w:after="40" w:line="252"/>
            </w:pPr>
            <w:r>
              <w:rPr>
                <w:rFonts w:ascii="Calibri" w:cs="Calibri" w:eastAsia="Calibri" w:hAnsi="Calibri"/>
                <w:sz w:val="19"/>
                <w:szCs w:val="19"/>
              </w:rPr>
              <w:t xml:space="preserve">Phase de conception — aucune ligne de code produite</w:t>
            </w:r>
          </w:p>
        </w:tc>
      </w:tr>
      <w:tr>
        <w:tc>
          <w:tcPr>
            <w:tcW w:type="dxa" w:w="2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Classification</w:t>
            </w:r>
          </w:p>
        </w:tc>
        <w:tc>
          <w:tcPr>
            <w:tcW w:type="dxa" w:w="6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Académique / PoC non-production / Sandbox isolé</w:t>
            </w:r>
          </w:p>
        </w:tc>
      </w:tr>
      <w:tr>
        <w:tc>
          <w:tcPr>
            <w:tcW w:type="dxa" w:w="2500"/>
            <w:tcMar>
              <w:top w:type="dxa" w:w="60"/>
              <w:left w:type="dxa" w:w="100"/>
              <w:bottom w:type="dxa" w:w="60"/>
              <w:right w:type="dxa" w:w="100"/>
            </w:tcMar>
          </w:tcPr>
          <w:p>
            <w:pPr>
              <w:spacing w:after="40" w:line="252"/>
            </w:pPr>
            <w:r>
              <w:rPr>
                <w:rFonts w:ascii="Calibri" w:cs="Calibri" w:eastAsia="Calibri" w:hAnsi="Calibri"/>
                <w:sz w:val="19"/>
                <w:szCs w:val="19"/>
              </w:rPr>
              <w:t xml:space="preserve">Document source</w:t>
            </w:r>
          </w:p>
        </w:tc>
        <w:tc>
          <w:tcPr>
            <w:tcW w:type="dxa" w:w="6500"/>
            <w:tcMar>
              <w:top w:type="dxa" w:w="60"/>
              <w:left w:type="dxa" w:w="100"/>
              <w:bottom w:type="dxa" w:w="60"/>
              <w:right w:type="dxa" w:w="100"/>
            </w:tcMar>
          </w:tcPr>
          <w:p>
            <w:pPr>
              <w:spacing w:after="40" w:line="252"/>
            </w:pPr>
            <w:r>
              <w:rPr>
                <w:rFonts w:ascii="Calibri" w:cs="Calibri" w:eastAsia="Calibri" w:hAnsi="Calibri"/>
                <w:sz w:val="19"/>
                <w:szCs w:val="19"/>
              </w:rPr>
              <w:t xml:space="preserve">IdentiShield-CM_Project_Description.docx (Draft v1.0)</w:t>
            </w:r>
          </w:p>
        </w:tc>
      </w:tr>
    </w:tbl>
    <w:p>
      <w:r>
        <w:br w:type="page"/>
      </w:r>
    </w:p>
    <w:p>
      <w:pPr>
        <w:pStyle w:val="Heading1"/>
        <w:spacing w:after="160" w:before="360"/>
      </w:pPr>
      <w:r>
        <w:rPr>
          <w:rFonts w:ascii="Calibri" w:cs="Calibri" w:eastAsia="Calibri" w:hAnsi="Calibri"/>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Objet et statut de ce dossier</w:t>
      </w:r>
    </w:p>
    <w:p>
      <w:pPr>
        <w:spacing w:after="120" w:line="276"/>
      </w:pPr>
      <w:r>
        <w:rPr>
          <w:rFonts w:ascii="Calibri" w:cs="Calibri" w:eastAsia="Calibri" w:hAnsi="Calibri"/>
          <w:sz w:val="22"/>
          <w:szCs w:val="22"/>
        </w:rPr>
        <w:t xml:space="preserve">Ce dossier consolide tout ce qui a été établi entre le candidat et l’encadreur depuis la lecture du document de description initial : le verdict d’audit, les failles identifiées et les décisions de conception qui y répondent, l’architecture cible, la stack technique justifiée, le plan d’exécution sur sept mois, la conception du générateur de transactions, et l’état de l’art sourcé.</w:t>
      </w:r>
    </w:p>
    <w:p>
      <w:pPr>
        <w:spacing w:after="120" w:line="276"/>
      </w:pPr>
      <w:r>
        <w:rPr>
          <w:rFonts w:ascii="Calibri" w:cs="Calibri" w:eastAsia="Calibri" w:hAnsi="Calibri"/>
          <w:sz w:val="22"/>
          <w:szCs w:val="22"/>
        </w:rPr>
        <w:t xml:space="preserve">Il ne remplace ni le cahier des charges (SRS), ni le document d’architecture (SAD), ni le modèle de menace, qui restent à produire. Il en est l’amont : la référence commune sur laquelle ces documents s’appuieront. Tout ce qui y figure est une décision actée ou une source vérifiée ; rien n’y est une promesse.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100"/>
              <w:left w:type="dxa" w:w="160"/>
              <w:bottom w:type="dxa" w:w="100"/>
              <w:right w:type="dxa" w:w="160"/>
            </w:tcMar>
          </w:tcPr>
          <w:p>
            <w:pPr>
              <w:spacing w:after="0" w:line="276"/>
            </w:pPr>
            <w:r>
              <w:rPr>
                <w:rFonts w:ascii="Calibri" w:cs="Calibri" w:eastAsia="Calibri" w:hAnsi="Calibri"/>
                <w:i/>
                <w:iCs/>
                <w:sz w:val="21"/>
                <w:szCs w:val="21"/>
              </w:rPr>
              <w:t xml:space="preserve">Principe directeur retenu : ambition = profondeur, rigueur, évaluation sans complaisance. Pas volume de fonctionnalités. Conception avant production. Chaque chiffre du mémoire devra pouvoir être régénéré par une commande.</w:t>
            </w:r>
          </w:p>
        </w:tc>
      </w:tr>
    </w:tbl>
    <w:p>
      <w:pPr>
        <w:pStyle w:val="Heading1"/>
        <w:spacing w:after="160" w:before="360"/>
      </w:pPr>
      <w:r>
        <w:rPr>
          <w:rFonts w:ascii="Calibri" w:cs="Calibri" w:eastAsia="Calibri" w:hAnsi="Calibri"/>
        </w:rPr>
        <w:t xml:space="preserve">2. Verdict d’audit du document initial</w:t>
      </w:r>
    </w:p>
    <w:p>
      <w:pPr>
        <w:spacing w:after="120" w:line="276"/>
      </w:pPr>
      <w:r>
        <w:rPr>
          <w:rFonts w:ascii="Calibri" w:cs="Calibri" w:eastAsia="Calibri" w:hAnsi="Calibri"/>
          <w:sz w:val="22"/>
          <w:szCs w:val="22"/>
        </w:rPr>
        <w:t xml:space="preserve">Note attribuée au document v1.0 : </w:t>
      </w:r>
      <w:r>
        <w:rPr>
          <w:rFonts w:ascii="Calibri" w:cs="Calibri" w:eastAsia="Calibri" w:hAnsi="Calibri"/>
          <w:b/>
          <w:bCs/>
          <w:sz w:val="22"/>
          <w:szCs w:val="22"/>
        </w:rPr>
        <w:t xml:space="preserve">6,5 / 10</w:t>
      </w:r>
      <w:r>
        <w:rPr>
          <w:rFonts w:ascii="Calibri" w:cs="Calibri" w:eastAsia="Calibri" w:hAnsi="Calibri"/>
          <w:sz w:val="22"/>
          <w:szCs w:val="22"/>
        </w:rPr>
        <w:t xml:space="preserve">. Potentiel après corrections : </w:t>
      </w:r>
      <w:r>
        <w:rPr>
          <w:rFonts w:ascii="Calibri" w:cs="Calibri" w:eastAsia="Calibri" w:hAnsi="Calibri"/>
          <w:b/>
          <w:bCs/>
          <w:sz w:val="22"/>
          <w:szCs w:val="22"/>
        </w:rPr>
        <w:t xml:space="preserve">8,5–9 / 10</w:t>
      </w:r>
      <w:r>
        <w:rPr>
          <w:rFonts w:ascii="Calibri" w:cs="Calibri" w:eastAsia="Calibri" w:hAnsi="Calibri"/>
          <w:sz w:val="22"/>
          <w:szCs w:val="22"/>
        </w:rPr>
        <w:t xml:space="preserve">.</w:t>
      </w:r>
    </w:p>
    <w:p>
      <w:pPr>
        <w:pStyle w:val="Heading2"/>
        <w:spacing w:after="120" w:before="240"/>
      </w:pPr>
      <w:r>
        <w:rPr>
          <w:rFonts w:ascii="Calibri" w:cs="Calibri" w:eastAsia="Calibri" w:hAnsi="Calibri"/>
        </w:rPr>
        <w:t xml:space="preserve">2.1 Points forts à protéger</w:t>
      </w:r>
    </w:p>
    <w:p>
      <w:pPr>
        <w:pStyle w:val="ListParagraph"/>
        <w:numPr>
          <w:ilvl w:val="0"/>
          <w:numId w:val="2"/>
        </w:numPr>
        <w:spacing w:after="80" w:line="276"/>
      </w:pPr>
      <w:r>
        <w:rPr>
          <w:rFonts w:ascii="Calibri" w:cs="Calibri" w:eastAsia="Calibri" w:hAnsi="Calibri"/>
          <w:sz w:val="22"/>
          <w:szCs w:val="22"/>
        </w:rPr>
        <w:t xml:space="preserve">Problème réel, ancré localement (MTN MoMo, Orange Money, SIM swap, OTP SMS).</w:t>
      </w:r>
    </w:p>
    <w:p>
      <w:pPr>
        <w:pStyle w:val="ListParagraph"/>
        <w:numPr>
          <w:ilvl w:val="0"/>
          <w:numId w:val="2"/>
        </w:numPr>
        <w:spacing w:after="80" w:line="276"/>
      </w:pPr>
      <w:r>
        <w:rPr>
          <w:rFonts w:ascii="Calibri" w:cs="Calibri" w:eastAsia="Calibri" w:hAnsi="Calibri"/>
          <w:sz w:val="22"/>
          <w:szCs w:val="22"/>
        </w:rPr>
        <w:t xml:space="preserve">Cadrage épistémique mature : la défaillance systémique est traitée comme hypothèse à valider, pas comme certitude.</w:t>
      </w:r>
    </w:p>
    <w:p>
      <w:pPr>
        <w:pStyle w:val="ListParagraph"/>
        <w:numPr>
          <w:ilvl w:val="0"/>
          <w:numId w:val="2"/>
        </w:numPr>
        <w:spacing w:after="80" w:line="276"/>
      </w:pPr>
      <w:r>
        <w:rPr>
          <w:rFonts w:ascii="Calibri" w:cs="Calibri" w:eastAsia="Calibri" w:hAnsi="Calibri"/>
          <w:sz w:val="22"/>
          <w:szCs w:val="22"/>
        </w:rPr>
        <w:t xml:space="preserve">Frontière sandbox nette, non négociable légalement (loi camerounaise 2010/012 sur la cybersécurité et la cybercriminalité).</w:t>
      </w:r>
    </w:p>
    <w:p>
      <w:pPr>
        <w:pStyle w:val="ListParagraph"/>
        <w:numPr>
          <w:ilvl w:val="0"/>
          <w:numId w:val="2"/>
        </w:numPr>
        <w:spacing w:after="80" w:line="276"/>
      </w:pPr>
      <w:r>
        <w:rPr>
          <w:rFonts w:ascii="Calibri" w:cs="Calibri" w:eastAsia="Calibri" w:hAnsi="Calibri"/>
          <w:sz w:val="22"/>
          <w:szCs w:val="22"/>
        </w:rPr>
        <w:t xml:space="preserve">Démonstration avant/après : dispositif narratif puissant pour le jury, autour duquel tout le projet est construit.</w:t>
      </w:r>
    </w:p>
    <w:p>
      <w:pPr>
        <w:pStyle w:val="ListParagraph"/>
        <w:numPr>
          <w:ilvl w:val="0"/>
          <w:numId w:val="2"/>
        </w:numPr>
        <w:spacing w:after="80" w:line="276"/>
      </w:pPr>
      <w:r>
        <w:rPr>
          <w:rFonts w:ascii="Calibri" w:cs="Calibri" w:eastAsia="Calibri" w:hAnsi="Calibri"/>
          <w:sz w:val="22"/>
          <w:szCs w:val="22"/>
        </w:rPr>
        <w:t xml:space="preserve">Risques propres identifiés (dérive de périmètre, sur-affirmation, délai).</w:t>
      </w:r>
    </w:p>
    <w:p>
      <w:pPr>
        <w:pStyle w:val="Heading2"/>
        <w:spacing w:after="120" w:before="240"/>
      </w:pPr>
      <w:r>
        <w:rPr>
          <w:rFonts w:ascii="Calibri" w:cs="Calibri" w:eastAsia="Calibri" w:hAnsi="Calibri"/>
        </w:rPr>
        <w:t xml:space="preserve">2.2 Diagnostic</w:t>
      </w:r>
    </w:p>
    <w:p>
      <w:pPr>
        <w:spacing w:after="120" w:line="276"/>
      </w:pPr>
      <w:r>
        <w:rPr>
          <w:rFonts w:ascii="Calibri" w:cs="Calibri" w:eastAsia="Calibri" w:hAnsi="Calibri"/>
          <w:sz w:val="22"/>
          <w:szCs w:val="22"/>
        </w:rPr>
        <w:t xml:space="preserve">Le document est une excellente note d’intention, pas encore un projet d’ingénieur : il manque la colonne vertébrale technique (modèle de déploiement, signal hors-bande défini, modèle de menace, état de l’art, critères chiffrés, protocole d’évaluation non circulaire).</w:t>
      </w:r>
    </w:p>
    <w:p>
      <w:pPr>
        <w:pStyle w:val="Heading1"/>
        <w:spacing w:after="160" w:before="360"/>
      </w:pPr>
      <w:r>
        <w:rPr>
          <w:rFonts w:ascii="Calibri" w:cs="Calibri" w:eastAsia="Calibri" w:hAnsi="Calibri"/>
        </w:rPr>
        <w:t xml:space="preserve">3. Failles identifiées et décisions de conception</w:t>
      </w:r>
    </w:p>
    <w:p>
      <w:pPr>
        <w:spacing w:after="120" w:line="276"/>
      </w:pPr>
      <w:r>
        <w:rPr>
          <w:rFonts w:ascii="Calibri" w:cs="Calibri" w:eastAsia="Calibri" w:hAnsi="Calibri"/>
          <w:sz w:val="22"/>
          <w:szCs w:val="22"/>
        </w:rPr>
        <w:t xml:space="preserve">Chaque faille est traitée par une décision actée. « Traitée en conception » ne signifie pas « corrigée » : une faille n’est corrigée que lorsque le livrable correspondant existe et est vérifié.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200"/>
        <w:gridCol w:w="2000"/>
      </w:tblGrid>
      <w:tr>
        <w:trPr>
          <w:tblHeader/>
        </w:trPr>
        <w:tc>
          <w:tcPr>
            <w:tcW w:type="dxa" w:w="5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w:t>
            </w:r>
          </w:p>
        </w:tc>
        <w:tc>
          <w:tcPr>
            <w:tcW w:type="dxa" w:w="23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Faille (gravité)</w:t>
            </w:r>
          </w:p>
        </w:tc>
        <w:tc>
          <w:tcPr>
            <w:tcW w:type="dxa" w:w="42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Décision actée</w:t>
            </w:r>
          </w:p>
        </w:tc>
        <w:tc>
          <w:tcPr>
            <w:tcW w:type="dxa" w:w="20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Livrable qui la corrige</w:t>
            </w:r>
          </w:p>
        </w:tc>
      </w:tr>
      <w:tr>
        <w:tc>
          <w:tcPr>
            <w:tcW w:type="dxa" w:w="500"/>
            <w:tcMar>
              <w:top w:type="dxa" w:w="60"/>
              <w:left w:type="dxa" w:w="100"/>
              <w:bottom w:type="dxa" w:w="60"/>
              <w:right w:type="dxa" w:w="100"/>
            </w:tcMar>
          </w:tcPr>
          <w:p>
            <w:pPr>
              <w:spacing w:after="40" w:line="252"/>
            </w:pPr>
            <w:r>
              <w:rPr>
                <w:rFonts w:ascii="Calibri" w:cs="Calibri" w:eastAsia="Calibri" w:hAnsi="Calibri"/>
                <w:sz w:val="19"/>
                <w:szCs w:val="19"/>
              </w:rPr>
              <w:t xml:space="preserve">F1</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Modèle de déploiement incohérent : « couche indépendante » vs « gel de transaction » (critique)</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IdentiShield-CM est un Point de Décision de Politique (PDP) inséré dans le pipeline d’autorisation de l’opérateur. Le cœur opérateur simulé appelle POST /evaluate avant tout commit. Réponse : ALLOW / STEP_UP / FREEZE. « Indépendant » remplacé par « modulaire et découplé ».</w:t>
            </w:r>
          </w:p>
        </w:tc>
        <w:tc>
          <w:tcPr>
            <w:tcW w:type="dxa" w:w="2000"/>
            <w:tcMar>
              <w:top w:type="dxa" w:w="60"/>
              <w:left w:type="dxa" w:w="100"/>
              <w:bottom w:type="dxa" w:w="60"/>
              <w:right w:type="dxa" w:w="100"/>
            </w:tcMar>
          </w:tcPr>
          <w:p>
            <w:pPr>
              <w:spacing w:after="40" w:line="252"/>
            </w:pPr>
            <w:r>
              <w:rPr>
                <w:rFonts w:ascii="Calibri" w:cs="Calibri" w:eastAsia="Calibri" w:hAnsi="Calibri"/>
                <w:sz w:val="19"/>
                <w:szCs w:val="19"/>
              </w:rPr>
              <w:t xml:space="preserve">Contrat OpenAPI /evaluate ; SAD</w:t>
            </w:r>
          </w:p>
        </w:tc>
      </w:tr>
      <w:tr>
        <w:tc>
          <w:tcPr>
            <w:tcW w:type="dxa" w:w="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F2</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Signal hors-bande non défini (critique)</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Device binding cryptographique : paire de clés générée dans l’Android Keystore à l’enrôlement, clé publique enregistrée côté serveur, transactions sensibles signées. Le moteur comportemental décide quand exiger la signature. Changement d’IMSI détecté → FREEZE + période de carence (pratique M-Pesa).</w:t>
            </w:r>
          </w:p>
        </w:tc>
        <w:tc>
          <w:tcPr>
            <w:tcW w:type="dxa" w:w="20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Spéc. crypto ; tests de sécurité automatisés</w:t>
            </w:r>
          </w:p>
        </w:tc>
      </w:tr>
      <w:tr>
        <w:tc>
          <w:tcPr>
            <w:tcW w:type="dxa" w:w="500"/>
            <w:tcMar>
              <w:top w:type="dxa" w:w="60"/>
              <w:left w:type="dxa" w:w="100"/>
              <w:bottom w:type="dxa" w:w="60"/>
              <w:right w:type="dxa" w:w="100"/>
            </w:tcMar>
          </w:tcPr>
          <w:p>
            <w:pPr>
              <w:spacing w:after="40" w:line="252"/>
            </w:pPr>
            <w:r>
              <w:rPr>
                <w:rFonts w:ascii="Calibri" w:cs="Calibri" w:eastAsia="Calibri" w:hAnsi="Calibri"/>
                <w:sz w:val="19"/>
                <w:szCs w:val="19"/>
              </w:rPr>
              <w:t xml:space="preserve">F3</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Angle mort USSD : l’essentiel des transactions MoMo au Cameroun passe par USSD sans capacité crypto (majeur)</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Les deux canaux sont simulés (app + USSD). Question de recherche explicite : que peut encore faire le moteur de risque sur USSD avec les seuls signaux réseau (IMSI, cellule, horaire, comportement), et où s’arrête sa protection ?</w:t>
            </w:r>
          </w:p>
        </w:tc>
        <w:tc>
          <w:tcPr>
            <w:tcW w:type="dxa" w:w="2000"/>
            <w:tcMar>
              <w:top w:type="dxa" w:w="60"/>
              <w:left w:type="dxa" w:w="100"/>
              <w:bottom w:type="dxa" w:w="60"/>
              <w:right w:type="dxa" w:w="100"/>
            </w:tcMar>
          </w:tcPr>
          <w:p>
            <w:pPr>
              <w:spacing w:after="40" w:line="252"/>
            </w:pPr>
            <w:r>
              <w:rPr>
                <w:rFonts w:ascii="Calibri" w:cs="Calibri" w:eastAsia="Calibri" w:hAnsi="Calibri"/>
                <w:sz w:val="19"/>
                <w:szCs w:val="19"/>
              </w:rPr>
              <w:t xml:space="preserve">Module USSD ; chapitre d’évaluation par canal</w:t>
            </w:r>
          </w:p>
        </w:tc>
      </w:tr>
      <w:tr>
        <w:tc>
          <w:tcPr>
            <w:tcW w:type="dxa" w:w="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F4</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Évaluation circulaire : même auteur pour attaquant, défenseur et données (majeur)</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Générateur de transactions à base d’agents, paramètres versionnés et gelés avant réglage du détecteur ; scénarios d’attaque figés à l’avance, y compris évasifs ; mention explicite des limites ; comparaison règles vs ML sur le même jeu.</w:t>
            </w:r>
          </w:p>
        </w:tc>
        <w:tc>
          <w:tcPr>
            <w:tcW w:type="dxa" w:w="20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Jeu de données v1 gelé ; protocole d’évaluation</w:t>
            </w:r>
          </w:p>
        </w:tc>
      </w:tr>
      <w:tr>
        <w:tc>
          <w:tcPr>
            <w:tcW w:type="dxa" w:w="500"/>
            <w:tcMar>
              <w:top w:type="dxa" w:w="60"/>
              <w:left w:type="dxa" w:w="100"/>
              <w:bottom w:type="dxa" w:w="60"/>
              <w:right w:type="dxa" w:w="100"/>
            </w:tcMar>
          </w:tcPr>
          <w:p>
            <w:pPr>
              <w:spacing w:after="40" w:line="252"/>
            </w:pPr>
            <w:r>
              <w:rPr>
                <w:rFonts w:ascii="Calibri" w:cs="Calibri" w:eastAsia="Calibri" w:hAnsi="Calibri"/>
                <w:sz w:val="19"/>
                <w:szCs w:val="19"/>
              </w:rPr>
              <w:t xml:space="preserve">F5</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Critères de succès non mesurables</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Latence de décision &lt; 500 ms (p95) ; détection SIM swap 100 % des scénarios définis ; FPR comportemental &lt; 5 % ; rappel sur attaques évasives &gt; 70 % (à mesurer) ; démo rejouable &lt; 10 min, scriptée.</w:t>
            </w:r>
          </w:p>
        </w:tc>
        <w:tc>
          <w:tcPr>
            <w:tcW w:type="dxa" w:w="2000"/>
            <w:tcMar>
              <w:top w:type="dxa" w:w="60"/>
              <w:left w:type="dxa" w:w="100"/>
              <w:bottom w:type="dxa" w:w="60"/>
              <w:right w:type="dxa" w:w="100"/>
            </w:tcMar>
          </w:tcPr>
          <w:p>
            <w:pPr>
              <w:spacing w:after="40" w:line="252"/>
            </w:pPr>
            <w:r>
              <w:rPr>
                <w:rFonts w:ascii="Calibri" w:cs="Calibri" w:eastAsia="Calibri" w:hAnsi="Calibri"/>
                <w:sz w:val="19"/>
                <w:szCs w:val="19"/>
              </w:rPr>
              <w:t xml:space="preserve">Rapport de métriques régénérable</w:t>
            </w:r>
          </w:p>
        </w:tc>
      </w:tr>
      <w:tr>
        <w:tc>
          <w:tcPr>
            <w:tcW w:type="dxa" w:w="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F6</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Périmètre trop large pour le délai initial</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Horizon porté à 7 mois. ML repositionné en étude comparative après les règles. Une app utilisateur + outil attaquant CLI (option C : CLI + chronologie d’attaque dans la console opérateur).</w:t>
            </w:r>
          </w:p>
        </w:tc>
        <w:tc>
          <w:tcPr>
            <w:tcW w:type="dxa" w:w="20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Plan de projet (section 7)</w:t>
            </w:r>
          </w:p>
        </w:tc>
      </w:tr>
      <w:tr>
        <w:tc>
          <w:tcPr>
            <w:tcW w:type="dxa" w:w="500"/>
            <w:tcMar>
              <w:top w:type="dxa" w:w="60"/>
              <w:left w:type="dxa" w:w="100"/>
              <w:bottom w:type="dxa" w:w="60"/>
              <w:right w:type="dxa" w:w="100"/>
            </w:tcMar>
          </w:tcPr>
          <w:p>
            <w:pPr>
              <w:spacing w:after="40" w:line="252"/>
            </w:pPr>
            <w:r>
              <w:rPr>
                <w:rFonts w:ascii="Calibri" w:cs="Calibri" w:eastAsia="Calibri" w:hAnsi="Calibri"/>
                <w:sz w:val="19"/>
                <w:szCs w:val="19"/>
              </w:rPr>
              <w:t xml:space="preserve">F7</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Affirmations non sourcées sur les opérateurs</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Toute affirmation est sourcée ou reformulée en hypothèse. Fichier de références ouvert dès la semaine 1. La « déflexion de responsabilité » est désormais documentée par une citation officielle MTN au MINPOSTEL.</w:t>
            </w:r>
          </w:p>
        </w:tc>
        <w:tc>
          <w:tcPr>
            <w:tcW w:type="dxa" w:w="2000"/>
            <w:tcMar>
              <w:top w:type="dxa" w:w="60"/>
              <w:left w:type="dxa" w:w="100"/>
              <w:bottom w:type="dxa" w:w="60"/>
              <w:right w:type="dxa" w:w="100"/>
            </w:tcMar>
          </w:tcPr>
          <w:p>
            <w:pPr>
              <w:spacing w:after="40" w:line="252"/>
            </w:pPr>
            <w:r>
              <w:rPr>
                <w:rFonts w:ascii="Calibri" w:cs="Calibri" w:eastAsia="Calibri" w:hAnsi="Calibri"/>
                <w:sz w:val="19"/>
                <w:szCs w:val="19"/>
              </w:rPr>
              <w:t xml:space="preserve">Bibliographie ; chapitre problématique</w:t>
            </w:r>
          </w:p>
        </w:tc>
      </w:tr>
      <w:tr>
        <w:tc>
          <w:tcPr>
            <w:tcW w:type="dxa" w:w="5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F8</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Absences : état de l’art, modèle de menace formel, section éthique/légale, sous-problèmes 5–7 non traités</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Livrables du mois 1. Sous-problèmes KYC / traçabilité / déflexion explicitement déclarés contextuels et hors périmètre.</w:t>
            </w:r>
          </w:p>
        </w:tc>
        <w:tc>
          <w:tcPr>
            <w:tcW w:type="dxa" w:w="20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État de l’art ; modèle de menace ; section éthique</w:t>
            </w:r>
          </w:p>
        </w:tc>
      </w:tr>
    </w:tbl>
    <w:p>
      <w:pPr>
        <w:pStyle w:val="Heading1"/>
        <w:spacing w:after="160" w:before="360"/>
      </w:pPr>
      <w:r>
        <w:rPr>
          <w:rFonts w:ascii="Calibri" w:cs="Calibri" w:eastAsia="Calibri" w:hAnsi="Calibri"/>
        </w:rPr>
        <w:t xml:space="preserve">4. Positionnement et contribution</w:t>
      </w:r>
    </w:p>
    <w:p>
      <w:pPr>
        <w:spacing w:after="120" w:line="276"/>
      </w:pPr>
      <w:r>
        <w:rPr>
          <w:rFonts w:ascii="Calibri" w:cs="Calibri" w:eastAsia="Calibri" w:hAnsi="Calibri"/>
          <w:sz w:val="22"/>
          <w:szCs w:val="22"/>
        </w:rPr>
        <w:t xml:space="preserve">L’état de l’art (section 9) établit que les briques individuelles existent. La contribution est donc formulée ainsi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100"/>
              <w:left w:type="dxa" w:w="160"/>
              <w:bottom w:type="dxa" w:w="100"/>
              <w:right w:type="dxa" w:w="160"/>
            </w:tcMar>
          </w:tcPr>
          <w:p>
            <w:pPr>
              <w:spacing w:after="0" w:line="276"/>
            </w:pPr>
            <w:r>
              <w:rPr>
                <w:rFonts w:ascii="Calibri" w:cs="Calibri" w:eastAsia="Calibri" w:hAnsi="Calibri"/>
                <w:i/>
                <w:iCs/>
                <w:sz w:val="21"/>
                <w:szCs w:val="21"/>
              </w:rPr>
              <w:t xml:space="preserve">« Les mécanismes individuels — détection de SIM swap (CAMARA), périodes de carence (M-Pesa), device binding, scoring de risque — sont connus et recommandés par NIST SP 800-63B. Ce travail apporte (1) leur intégration en un point de décision unique à décision graduée ALLOW / STEP_UP / FREEZE, (2) un testbed ouvert et reproductible calibré sur le contexte camerounais, couvrant les canaux applicatif et USSD, (3) une évaluation quantifiée, règles contre apprentissage, sur des scénarios d’attaque locaux documentés. »</w:t>
            </w:r>
          </w:p>
        </w:tc>
      </w:tr>
    </w:tbl>
    <w:p>
      <w:pPr>
        <w:spacing w:after="120" w:line="276"/>
      </w:pPr>
      <w:r>
        <w:rPr>
          <w:rFonts w:ascii="Calibri" w:cs="Calibri" w:eastAsia="Calibri" w:hAnsi="Calibri"/>
          <w:sz w:val="22"/>
          <w:szCs w:val="22"/>
        </w:rPr>
        <w:t xml:space="preserve">Cette formulation est vraie, défendable, et neutralise la question « mais cela existe déjà ».</w:t>
      </w:r>
    </w:p>
    <w:p>
      <w:pPr>
        <w:pStyle w:val="Heading2"/>
        <w:spacing w:after="120" w:before="240"/>
      </w:pPr>
      <w:r>
        <w:rPr>
          <w:rFonts w:ascii="Calibri" w:cs="Calibri" w:eastAsia="Calibri" w:hAnsi="Calibri"/>
        </w:rPr>
        <w:t xml:space="preserve">4.1 Ce qui n’a pas été trouvé dans la littérature</w:t>
      </w:r>
    </w:p>
    <w:p>
      <w:pPr>
        <w:pStyle w:val="ListParagraph"/>
        <w:numPr>
          <w:ilvl w:val="0"/>
          <w:numId w:val="2"/>
        </w:numPr>
        <w:spacing w:after="80" w:line="276"/>
      </w:pPr>
      <w:r>
        <w:rPr>
          <w:rFonts w:ascii="Calibri" w:cs="Calibri" w:eastAsia="Calibri" w:hAnsi="Calibri"/>
          <w:sz w:val="22"/>
          <w:szCs w:val="22"/>
        </w:rPr>
        <w:t xml:space="preserve">Un système combinant détection IMSI, device binding cryptographique et moteur comportemental avec décision graduée.</w:t>
      </w:r>
    </w:p>
    <w:p>
      <w:pPr>
        <w:pStyle w:val="ListParagraph"/>
        <w:numPr>
          <w:ilvl w:val="0"/>
          <w:numId w:val="2"/>
        </w:numPr>
        <w:spacing w:after="80" w:line="276"/>
      </w:pPr>
      <w:r>
        <w:rPr>
          <w:rFonts w:ascii="Calibri" w:cs="Calibri" w:eastAsia="Calibri" w:hAnsi="Calibri"/>
          <w:sz w:val="22"/>
          <w:szCs w:val="22"/>
        </w:rPr>
        <w:t xml:space="preserve">Un traitement explicite du double canal app + USSD avec mesure de la protection résiduelle sur USSD.</w:t>
      </w:r>
    </w:p>
    <w:p>
      <w:pPr>
        <w:pStyle w:val="ListParagraph"/>
        <w:numPr>
          <w:ilvl w:val="0"/>
          <w:numId w:val="2"/>
        </w:numPr>
        <w:spacing w:after="80" w:line="276"/>
      </w:pPr>
      <w:r>
        <w:rPr>
          <w:rFonts w:ascii="Calibri" w:cs="Calibri" w:eastAsia="Calibri" w:hAnsi="Calibri"/>
          <w:sz w:val="22"/>
          <w:szCs w:val="22"/>
        </w:rPr>
        <w:t xml:space="preserve">Un testbed ouvert en boucle fermée (simulateur opérateur + attaquant + défense + évaluation).</w:t>
      </w:r>
    </w:p>
    <w:p>
      <w:pPr>
        <w:pStyle w:val="ListParagraph"/>
        <w:numPr>
          <w:ilvl w:val="0"/>
          <w:numId w:val="2"/>
        </w:numPr>
        <w:spacing w:after="80" w:line="276"/>
      </w:pPr>
      <w:r>
        <w:rPr>
          <w:rFonts w:ascii="Calibri" w:cs="Calibri" w:eastAsia="Calibri" w:hAnsi="Calibri"/>
          <w:sz w:val="22"/>
          <w:szCs w:val="22"/>
        </w:rPr>
        <w:t xml:space="preserve">Une calibration sur le Cameroun (les simulateurs existants sont calibrés Afrique de l’Est).</w:t>
      </w:r>
    </w:p>
    <w:p>
      <w:pPr>
        <w:pStyle w:val="Heading1"/>
        <w:spacing w:after="160" w:before="360"/>
      </w:pPr>
      <w:r>
        <w:rPr>
          <w:rFonts w:ascii="Calibri" w:cs="Calibri" w:eastAsia="Calibri" w:hAnsi="Calibri"/>
        </w:rPr>
        <w:t xml:space="preserve">5. Architecture cible</w:t>
      </w:r>
    </w:p>
    <w:p>
      <w:pPr>
        <w:pStyle w:val="Heading2"/>
        <w:spacing w:after="120" w:before="240"/>
      </w:pPr>
      <w:r>
        <w:rPr>
          <w:rFonts w:ascii="Calibri" w:cs="Calibri" w:eastAsia="Calibri" w:hAnsi="Calibri"/>
        </w:rPr>
        <w:t xml:space="preserve">5.1 Vue logique</w:t>
      </w:r>
    </w:p>
    <w:p>
      <w:pPr>
        <w:spacing w:after="120" w:line="276"/>
      </w:pPr>
      <w:r>
        <w:rPr>
          <w:rFonts w:ascii="Calibri" w:cs="Calibri" w:eastAsia="Calibri" w:hAnsi="Calibri"/>
          <w:sz w:val="22"/>
          <w:szCs w:val="22"/>
        </w:rPr>
        <w:t xml:space="preserve">Trois surfaces d’entrée (application Android avec clé de dispositif, émulateur de session USSD, outil attaquant CLI) adressent un cœur opérateur simulé (comptes, HLR MSISDN→IMSI, OTP, sessions, transferts). Avant tout commit, le cœur interroge le PDP IdentiShield-CM (registre de dispositifs, moteur de règles, vérification de signature) qui renvoie ALLOW, STEP_UP ou FREEZE avec score et raisons. Un journal d’événements alimente la console opérateur (temps réel) et la chaîne d’évaluation (générateur, métriques, ML).</w:t>
      </w:r>
    </w:p>
    <w:p>
      <w:pPr>
        <w:spacing w:after="120" w:line="276"/>
      </w:pPr>
      <w:r>
        <w:rPr>
          <w:rFonts w:ascii="Calibri" w:cs="Calibri" w:eastAsia="Calibri" w:hAnsi="Calibri"/>
          <w:sz w:val="22"/>
          <w:szCs w:val="22"/>
        </w:rPr>
        <w:t xml:space="preserve">Le contrat entre le cœur et le PDP est l’objet central du projet. Il est écrit en OpenAPI avant tout code : contexte de transaction (MSISDN, IMSI courant, canal, type, montant, bénéficiaire, horodatage, localité, empreinte dispositif, signature éventuelle) et réponse (décision, score, raisons, action requise).</w:t>
      </w:r>
    </w:p>
    <w:p>
      <w:pPr>
        <w:pStyle w:val="Heading2"/>
        <w:spacing w:after="120" w:before="240"/>
      </w:pPr>
      <w:r>
        <w:rPr>
          <w:rFonts w:ascii="Calibri" w:cs="Calibri" w:eastAsia="Calibri" w:hAnsi="Calibri"/>
        </w:rPr>
        <w:t xml:space="preserve">5.2 Surfaces visuelles (instrument de la preuve devant le jury)</w:t>
      </w:r>
    </w:p>
    <w:p>
      <w:pPr>
        <w:pStyle w:val="ListParagraph"/>
        <w:numPr>
          <w:ilvl w:val="0"/>
          <w:numId w:val="2"/>
        </w:numPr>
        <w:spacing w:after="80" w:line="276"/>
      </w:pPr>
      <w:r>
        <w:rPr>
          <w:rFonts w:ascii="Calibri" w:cs="Calibri" w:eastAsia="Calibri" w:hAnsi="Calibri"/>
          <w:b/>
          <w:bCs/>
          <w:sz w:val="22"/>
          <w:szCs w:val="22"/>
        </w:rPr>
        <w:t xml:space="preserve">Application Android (victime) : </w:t>
      </w:r>
      <w:r>
        <w:rPr>
          <w:rFonts w:ascii="Calibri" w:cs="Calibri" w:eastAsia="Calibri" w:hAnsi="Calibri"/>
          <w:sz w:val="22"/>
          <w:szCs w:val="22"/>
        </w:rPr>
        <w:t xml:space="preserve">solde, historique, et la notification de confirmation qui arrive à la victime au moment où l’attaque est bloquée.</w:t>
      </w:r>
    </w:p>
    <w:p>
      <w:pPr>
        <w:pStyle w:val="ListParagraph"/>
        <w:numPr>
          <w:ilvl w:val="0"/>
          <w:numId w:val="2"/>
        </w:numPr>
        <w:spacing w:after="80" w:line="276"/>
      </w:pPr>
      <w:r>
        <w:rPr>
          <w:rFonts w:ascii="Calibri" w:cs="Calibri" w:eastAsia="Calibri" w:hAnsi="Calibri"/>
          <w:b/>
          <w:bCs/>
          <w:sz w:val="22"/>
          <w:szCs w:val="22"/>
        </w:rPr>
        <w:t xml:space="preserve">Console opérateur / SOC (Next.js) : </w:t>
      </w:r>
      <w:r>
        <w:rPr>
          <w:rFonts w:ascii="Calibri" w:cs="Calibri" w:eastAsia="Calibri" w:hAnsi="Calibri"/>
          <w:sz w:val="22"/>
          <w:szCs w:val="22"/>
        </w:rPr>
        <w:t xml:space="preserve">flux de transactions en temps réel, état de la table HLR (on voit le MSISDN changer d’IMSI), score de risque, décision du PDP colorée (vert / orange / rouge) avec les raisons explicites. Surface la plus importante pour le jury. Entre en scène dès le mois 2.</w:t>
      </w:r>
    </w:p>
    <w:p>
      <w:pPr>
        <w:pStyle w:val="ListParagraph"/>
        <w:numPr>
          <w:ilvl w:val="0"/>
          <w:numId w:val="2"/>
        </w:numPr>
        <w:spacing w:after="80" w:line="276"/>
      </w:pPr>
      <w:r>
        <w:rPr>
          <w:rFonts w:ascii="Calibri" w:cs="Calibri" w:eastAsia="Calibri" w:hAnsi="Calibri"/>
          <w:b/>
          <w:bCs/>
          <w:sz w:val="22"/>
          <w:szCs w:val="22"/>
        </w:rPr>
        <w:t xml:space="preserve">Poste attaquant : </w:t>
      </w:r>
      <w:r>
        <w:rPr>
          <w:rFonts w:ascii="Calibri" w:cs="Calibri" w:eastAsia="Calibri" w:hAnsi="Calibri"/>
          <w:sz w:val="22"/>
          <w:szCs w:val="22"/>
        </w:rPr>
        <w:t xml:space="preserve">option C retenue — terminal CLI projeté (vérité technique) + panneau « chronologie de l’attaque » intégré à la console (lisibilité).</w:t>
      </w:r>
    </w:p>
    <w:p>
      <w:pPr>
        <w:pStyle w:val="ListParagraph"/>
        <w:numPr>
          <w:ilvl w:val="0"/>
          <w:numId w:val="2"/>
        </w:numPr>
        <w:spacing w:after="80" w:line="276"/>
      </w:pPr>
      <w:r>
        <w:rPr>
          <w:rFonts w:ascii="Calibri" w:cs="Calibri" w:eastAsia="Calibri" w:hAnsi="Calibri"/>
          <w:b/>
          <w:bCs/>
          <w:sz w:val="22"/>
          <w:szCs w:val="22"/>
        </w:rPr>
        <w:t xml:space="preserve">Page d’évaluation : </w:t>
      </w:r>
      <w:r>
        <w:rPr>
          <w:rFonts w:ascii="Calibri" w:cs="Calibri" w:eastAsia="Calibri" w:hAnsi="Calibri"/>
          <w:sz w:val="22"/>
          <w:szCs w:val="22"/>
        </w:rPr>
        <w:t xml:space="preserve">courbes précision/rappel, comparaison règles vs ML, distributions du simulateur.</w:t>
      </w:r>
    </w:p>
    <w:p>
      <w:pPr>
        <w:pStyle w:val="Heading2"/>
        <w:spacing w:after="120" w:before="240"/>
      </w:pPr>
      <w:r>
        <w:rPr>
          <w:rFonts w:ascii="Calibri" w:cs="Calibri" w:eastAsia="Calibri" w:hAnsi="Calibri"/>
        </w:rPr>
        <w:t xml:space="preserve">5.3 Stack technique figée et justifiée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Composant</w:t>
            </w:r>
          </w:p>
        </w:tc>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Technologie</w:t>
            </w:r>
          </w:p>
        </w:tc>
        <w:tc>
          <w:tcPr>
            <w:tcW w:type="dxa" w:w="42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Justification défendable</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Cœur opérateur simulé</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Java 21 / Spring Boot</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Langage réel des systèmes bancaires et de paiement ; crédibilité industrielle immédiate.</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IdentiShield PDP</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Java 21 / Spring Boot, service séparé</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Même écosystème que le cœur, déployé à part pour prouver le découplage.</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Simulateur de transactions</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Python (Mesa ou SimPy, NumPy, Pandas)</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Écosystème scientifique ; simulation à base d’agents.</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Évaluation + ML comparatif</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Python (scikit-learn, Matplotlib)</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Idem ; régénération des figures par commande.</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Outil attaquant</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Python CLI (Typer ou Click)</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Scénarios scriptables et rejouables ; réalisme (un attaquant n’a pas d’interface).</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Application utilisateur</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Kotlin / Android natif</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Obligatoire : le device binding exige l’Android Keystore / StrongBox. Un framework multiplateforme affaiblit l’argument cryptographique.</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Canal USSD simulé</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Module Java (machine à états de session) + émulateur CLI</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Une session USSD est une machine à états ; simulée fidèlement.</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Console opérateur / SOC</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Next.js</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Surface de vérité visuelle pour le jury ; compétence existante du candidat.</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Base de données</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PostgreSQL, un schéma par service</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Pas de base partagée : le découplage doit être réel.</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Orchestration</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Docker Compose, réseau isolé</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Démo entière lancée en une commande ; aucun numéro ni préfixe opérateur réel.</w:t>
            </w:r>
          </w:p>
        </w:tc>
      </w:tr>
      <w:tr>
        <w:tc>
          <w:tcPr>
            <w:tcW w:type="dxa" w:w="2200"/>
            <w:tcMar>
              <w:top w:type="dxa" w:w="60"/>
              <w:left w:type="dxa" w:w="100"/>
              <w:bottom w:type="dxa" w:w="60"/>
              <w:right w:type="dxa" w:w="100"/>
            </w:tcMar>
          </w:tcPr>
          <w:p>
            <w:pPr>
              <w:spacing w:after="40" w:line="252"/>
            </w:pPr>
            <w:r>
              <w:rPr>
                <w:rFonts w:ascii="Calibri" w:cs="Calibri" w:eastAsia="Calibri" w:hAnsi="Calibri"/>
                <w:sz w:val="19"/>
                <w:szCs w:val="19"/>
              </w:rPr>
              <w:t xml:space="preserve">Intégration continue</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GitHub Actions</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Un projet de sécurité sans CI est une contradiction.</w:t>
            </w:r>
          </w:p>
        </w:tc>
      </w:tr>
      <w:tr>
        <w:tc>
          <w:tcPr>
            <w:tcW w:type="dxa" w:w="2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Observabilité</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Logs structurés JSON + tableau de bord</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Le jury voit la décision se prendre en temps réel.</w:t>
            </w:r>
          </w:p>
        </w:tc>
      </w:tr>
    </w:tbl>
    <w:p>
      <w:pPr>
        <w:spacing w:after="120" w:line="276"/>
      </w:pPr>
      <w:r>
        <w:rPr>
          <w:rFonts w:ascii="Calibri" w:cs="Calibri" w:eastAsia="Calibri" w:hAnsi="Calibri"/>
          <w:sz w:val="22"/>
          <w:szCs w:val="22"/>
        </w:rPr>
        <w:t xml:space="preserve">La stack est figée. Elle n’est rouverte que si un livrable prouve qu’un choix était mauvais. Dans le cahier des charges, elle figure en section « Contraintes », jamais dans les exigences.</w:t>
      </w:r>
    </w:p>
    <w:p>
      <w:pPr>
        <w:pStyle w:val="Heading1"/>
        <w:spacing w:after="160" w:before="360"/>
      </w:pPr>
      <w:r>
        <w:rPr>
          <w:rFonts w:ascii="Calibri" w:cs="Calibri" w:eastAsia="Calibri" w:hAnsi="Calibri"/>
        </w:rPr>
        <w:t xml:space="preserve">6. Générateur de transactions (conception)</w:t>
      </w:r>
    </w:p>
    <w:p>
      <w:pPr>
        <w:spacing w:after="120" w:line="276"/>
      </w:pPr>
      <w:r>
        <w:rPr>
          <w:rFonts w:ascii="Calibri" w:cs="Calibri" w:eastAsia="Calibri" w:hAnsi="Calibri"/>
          <w:sz w:val="22"/>
          <w:szCs w:val="22"/>
        </w:rPr>
        <w:t xml:space="preserve">Composant le plus sous-estimé et potentiellement le plus précieux : bien fait, c’est un livrable en soi, réutilisable par d’autres chercheurs.</w:t>
      </w:r>
    </w:p>
    <w:p>
      <w:pPr>
        <w:pStyle w:val="Heading2"/>
        <w:spacing w:after="120" w:before="240"/>
      </w:pPr>
      <w:r>
        <w:rPr>
          <w:rFonts w:ascii="Calibri" w:cs="Calibri" w:eastAsia="Calibri" w:hAnsi="Calibri"/>
        </w:rPr>
        <w:t xml:space="preserve">6.1 Principe</w:t>
      </w:r>
    </w:p>
    <w:p>
      <w:pPr>
        <w:spacing w:after="120" w:line="276"/>
      </w:pPr>
      <w:r>
        <w:rPr>
          <w:rFonts w:ascii="Calibri" w:cs="Calibri" w:eastAsia="Calibri" w:hAnsi="Calibri"/>
          <w:sz w:val="22"/>
          <w:szCs w:val="22"/>
        </w:rPr>
        <w:t xml:space="preserve">Simulation à base d’agents : chaque utilisateur simulé possède un profil, des habitudes, un réseau de bénéficiaires et un appareil. Le temps avance heure par heure sur plusieurs mois simulés ; chaque agent décide de transiger selon son profil. Architecture inspirée de PaySim (2016) et MoMTSim (2025), différenciée par la calibration camerounaise et l’intégration en boucle fermée avec le PDP.</w:t>
      </w:r>
    </w:p>
    <w:p>
      <w:pPr>
        <w:pStyle w:val="Heading2"/>
        <w:spacing w:after="120" w:before="240"/>
      </w:pPr>
      <w:r>
        <w:rPr>
          <w:rFonts w:ascii="Calibri" w:cs="Calibri" w:eastAsia="Calibri" w:hAnsi="Calibri"/>
        </w:rPr>
        <w:t xml:space="preserve">6.2 Personas (à documenter et justifier)</w:t>
      </w:r>
    </w:p>
    <w:p>
      <w:pPr>
        <w:pStyle w:val="ListParagraph"/>
        <w:numPr>
          <w:ilvl w:val="0"/>
          <w:numId w:val="2"/>
        </w:numPr>
        <w:spacing w:after="80" w:line="276"/>
      </w:pPr>
      <w:r>
        <w:rPr>
          <w:rFonts w:ascii="Calibri" w:cs="Calibri" w:eastAsia="Calibri" w:hAnsi="Calibri"/>
          <w:sz w:val="22"/>
          <w:szCs w:val="22"/>
        </w:rPr>
        <w:t xml:space="preserve">Commerçant du marché : nombreux petits encaissements en journée, cash-out en fin de journée.</w:t>
      </w:r>
    </w:p>
    <w:p>
      <w:pPr>
        <w:pStyle w:val="ListParagraph"/>
        <w:numPr>
          <w:ilvl w:val="0"/>
          <w:numId w:val="2"/>
        </w:numPr>
        <w:spacing w:after="80" w:line="276"/>
      </w:pPr>
      <w:r>
        <w:rPr>
          <w:rFonts w:ascii="Calibri" w:cs="Calibri" w:eastAsia="Calibri" w:hAnsi="Calibri"/>
          <w:sz w:val="22"/>
          <w:szCs w:val="22"/>
        </w:rPr>
        <w:t xml:space="preserve">Étudiant : faible volume, pics en début de mois, achats de crédit.</w:t>
      </w:r>
    </w:p>
    <w:p>
      <w:pPr>
        <w:pStyle w:val="ListParagraph"/>
        <w:numPr>
          <w:ilvl w:val="0"/>
          <w:numId w:val="2"/>
        </w:numPr>
        <w:spacing w:after="80" w:line="276"/>
      </w:pPr>
      <w:r>
        <w:rPr>
          <w:rFonts w:ascii="Calibri" w:cs="Calibri" w:eastAsia="Calibri" w:hAnsi="Calibri"/>
          <w:sz w:val="22"/>
          <w:szCs w:val="22"/>
        </w:rPr>
        <w:t xml:space="preserve">Salarié urbain : dépôt autour du 25–30, factures ENEO / Camwater, transferts familiaux réguliers.</w:t>
      </w:r>
    </w:p>
    <w:p>
      <w:pPr>
        <w:pStyle w:val="ListParagraph"/>
        <w:numPr>
          <w:ilvl w:val="0"/>
          <w:numId w:val="2"/>
        </w:numPr>
        <w:spacing w:after="80" w:line="276"/>
      </w:pPr>
      <w:r>
        <w:rPr>
          <w:rFonts w:ascii="Calibri" w:cs="Calibri" w:eastAsia="Calibri" w:hAnsi="Calibri"/>
          <w:sz w:val="22"/>
          <w:szCs w:val="22"/>
        </w:rPr>
        <w:t xml:space="preserve">Proche au village : reçoit surtout, cash-out chez l’agent.</w:t>
      </w:r>
    </w:p>
    <w:p>
      <w:pPr>
        <w:pStyle w:val="ListParagraph"/>
        <w:numPr>
          <w:ilvl w:val="0"/>
          <w:numId w:val="2"/>
        </w:numPr>
        <w:spacing w:after="80" w:line="276"/>
      </w:pPr>
      <w:r>
        <w:rPr>
          <w:rFonts w:ascii="Calibri" w:cs="Calibri" w:eastAsia="Calibri" w:hAnsi="Calibri"/>
          <w:sz w:val="22"/>
          <w:szCs w:val="22"/>
        </w:rPr>
        <w:t xml:space="preserve">Agent Mobile Money : gros volumes, cash-in / cash-out.</w:t>
      </w:r>
    </w:p>
    <w:p>
      <w:pPr>
        <w:spacing w:after="120" w:line="276"/>
      </w:pPr>
      <w:r>
        <w:rPr>
          <w:rFonts w:ascii="Calibri" w:cs="Calibri" w:eastAsia="Calibri" w:hAnsi="Calibri"/>
          <w:sz w:val="22"/>
          <w:szCs w:val="22"/>
        </w:rPr>
        <w:t xml:space="preserve">Chaque persona a ses distributions : horaires, montants, types d’opération (P2P, cash-in, cash-out, marchand, facture, crédit), bénéficiaires récurrents vs nouveaux, canal (app ou USSD).</w:t>
      </w:r>
    </w:p>
    <w:p>
      <w:pPr>
        <w:pStyle w:val="Heading2"/>
        <w:spacing w:after="120" w:before="240"/>
      </w:pPr>
      <w:r>
        <w:rPr>
          <w:rFonts w:ascii="Calibri" w:cs="Calibri" w:eastAsia="Calibri" w:hAnsi="Calibri"/>
        </w:rPr>
        <w:t xml:space="preserve">6.3 Réalisme contextuel</w:t>
      </w:r>
    </w:p>
    <w:p>
      <w:pPr>
        <w:spacing w:after="120" w:line="276"/>
      </w:pPr>
      <w:r>
        <w:rPr>
          <w:rFonts w:ascii="Calibri" w:cs="Calibri" w:eastAsia="Calibri" w:hAnsi="Calibri"/>
          <w:sz w:val="22"/>
          <w:szCs w:val="22"/>
        </w:rPr>
        <w:t xml:space="preserve">Saisonnalité (fin de mois, rentrée scolaire, fêtes, tontines hebdomadaires), géographie (cellule habituelle, déplacements occasionnels), continuité d’appareil (même IMSI et empreinte pendant des mois ; changement légitime rare).</w:t>
      </w:r>
    </w:p>
    <w:p>
      <w:pPr>
        <w:pStyle w:val="Heading2"/>
        <w:spacing w:after="120" w:before="240"/>
      </w:pPr>
      <w:r>
        <w:rPr>
          <w:rFonts w:ascii="Calibri" w:cs="Calibri" w:eastAsia="Calibri" w:hAnsi="Calibri"/>
        </w:rPr>
        <w:t xml:space="preserve">6.4 Module d’injection d’attaques (vérité terrain)</w:t>
      </w:r>
    </w:p>
    <w:p>
      <w:pPr>
        <w:pStyle w:val="ListParagraph"/>
        <w:numPr>
          <w:ilvl w:val="0"/>
          <w:numId w:val="2"/>
        </w:numPr>
        <w:spacing w:after="80" w:line="276"/>
      </w:pPr>
      <w:r>
        <w:rPr>
          <w:rFonts w:ascii="Calibri" w:cs="Calibri" w:eastAsia="Calibri" w:hAnsi="Calibri"/>
          <w:sz w:val="22"/>
          <w:szCs w:val="22"/>
        </w:rPr>
        <w:t xml:space="preserve">SIM swap suivi d’un vidage immédiat.</w:t>
      </w:r>
    </w:p>
    <w:p>
      <w:pPr>
        <w:pStyle w:val="ListParagraph"/>
        <w:numPr>
          <w:ilvl w:val="0"/>
          <w:numId w:val="2"/>
        </w:numPr>
        <w:spacing w:after="80" w:line="276"/>
      </w:pPr>
      <w:r>
        <w:rPr>
          <w:rFonts w:ascii="Calibri" w:cs="Calibri" w:eastAsia="Calibri" w:hAnsi="Calibri"/>
          <w:sz w:val="22"/>
          <w:szCs w:val="22"/>
        </w:rPr>
        <w:t xml:space="preserve">SIM swap suivi d’une attente de 48 h (test de la période de carence).</w:t>
      </w:r>
    </w:p>
    <w:p>
      <w:pPr>
        <w:pStyle w:val="ListParagraph"/>
        <w:numPr>
          <w:ilvl w:val="0"/>
          <w:numId w:val="2"/>
        </w:numPr>
        <w:spacing w:after="80" w:line="276"/>
      </w:pPr>
      <w:r>
        <w:rPr>
          <w:rFonts w:ascii="Calibri" w:cs="Calibri" w:eastAsia="Calibri" w:hAnsi="Calibri"/>
          <w:sz w:val="22"/>
          <w:szCs w:val="22"/>
        </w:rPr>
        <w:t xml:space="preserve">Vidage par petites tranches vers plusieurs bénéficiaires.</w:t>
      </w:r>
    </w:p>
    <w:p>
      <w:pPr>
        <w:pStyle w:val="ListParagraph"/>
        <w:numPr>
          <w:ilvl w:val="0"/>
          <w:numId w:val="2"/>
        </w:numPr>
        <w:spacing w:after="80" w:line="276"/>
      </w:pPr>
      <w:r>
        <w:rPr>
          <w:rFonts w:ascii="Calibri" w:cs="Calibri" w:eastAsia="Calibri" w:hAnsi="Calibri"/>
          <w:sz w:val="22"/>
          <w:szCs w:val="22"/>
        </w:rPr>
        <w:t xml:space="preserve">Attaque de nuit.</w:t>
      </w:r>
    </w:p>
    <w:p>
      <w:pPr>
        <w:pStyle w:val="ListParagraph"/>
        <w:numPr>
          <w:ilvl w:val="0"/>
          <w:numId w:val="2"/>
        </w:numPr>
        <w:spacing w:after="80" w:line="276"/>
      </w:pPr>
      <w:r>
        <w:rPr>
          <w:rFonts w:ascii="Calibri" w:cs="Calibri" w:eastAsia="Calibri" w:hAnsi="Calibri"/>
          <w:sz w:val="22"/>
          <w:szCs w:val="22"/>
        </w:rPr>
        <w:t xml:space="preserve">Attaque mimétique : l’attaquant copie horaires et montants habituels de la victime (scénario évasif).</w:t>
      </w:r>
    </w:p>
    <w:p>
      <w:pPr>
        <w:spacing w:after="120" w:line="276"/>
      </w:pPr>
      <w:r>
        <w:rPr>
          <w:rFonts w:ascii="Calibri" w:cs="Calibri" w:eastAsia="Calibri" w:hAnsi="Calibri"/>
          <w:sz w:val="22"/>
          <w:szCs w:val="22"/>
        </w:rPr>
        <w:t xml:space="preserve">Chaque transaction sort étiquetée : légitime / frauduleuse, et par quel scénario.</w:t>
      </w:r>
    </w:p>
    <w:p>
      <w:pPr>
        <w:pStyle w:val="Heading2"/>
        <w:spacing w:after="120" w:before="240"/>
      </w:pPr>
      <w:r>
        <w:rPr>
          <w:rFonts w:ascii="Calibri" w:cs="Calibri" w:eastAsia="Calibri" w:hAnsi="Calibri"/>
        </w:rPr>
        <w:t xml:space="preserve">6.5 Sorties et validation</w:t>
      </w:r>
    </w:p>
    <w:p>
      <w:pPr>
        <w:spacing w:after="120" w:line="276"/>
      </w:pPr>
      <w:r>
        <w:rPr>
          <w:rFonts w:ascii="Calibri" w:cs="Calibri" w:eastAsia="Calibri" w:hAnsi="Calibri"/>
          <w:sz w:val="22"/>
          <w:szCs w:val="22"/>
        </w:rPr>
        <w:t xml:space="preserve">Jeu tabulaire (horodatage, MSISDN, IMSI, canal, type, montant, bénéficiaire, localité, étiquette) + fichier de paramètres versionné + rapport de plausibilité automatique comparant les agrégats produits aux statistiques publiques (GSMA, BEAC, opérateurs). Les écarts sont documentés : un générateur dont on montre les limites vaut plus qu’un générateur présenté comme parfait. Ce même jeu alimente l’entraînement et le test du ML comparatif.</w:t>
      </w:r>
    </w:p>
    <w:p>
      <w:pPr>
        <w:pStyle w:val="Heading1"/>
        <w:spacing w:after="160" w:before="360"/>
      </w:pPr>
      <w:r>
        <w:rPr>
          <w:rFonts w:ascii="Calibri" w:cs="Calibri" w:eastAsia="Calibri" w:hAnsi="Calibri"/>
        </w:rPr>
        <w:t xml:space="preserve">7. Plan d’exécution sur 7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00"/>
      </w:tblGrid>
      <w:tr>
        <w:trPr>
          <w:tblHeader/>
        </w:trPr>
        <w:tc>
          <w:tcPr>
            <w:tcW w:type="dxa" w:w="8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Mois</w:t>
            </w:r>
          </w:p>
        </w:tc>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Objectif</w:t>
            </w:r>
          </w:p>
        </w:tc>
        <w:tc>
          <w:tcPr>
            <w:tcW w:type="dxa" w:w="5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Jalon vérifiable</w:t>
            </w:r>
          </w:p>
        </w:tc>
      </w:tr>
      <w:tr>
        <w:tc>
          <w:tcPr>
            <w:tcW w:type="dxa" w:w="800"/>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Fondations intellectuelles</w:t>
            </w:r>
          </w:p>
        </w:tc>
        <w:tc>
          <w:tcPr>
            <w:tcW w:type="dxa" w:w="5600"/>
            <w:tcMar>
              <w:top w:type="dxa" w:w="60"/>
              <w:left w:type="dxa" w:w="100"/>
              <w:bottom w:type="dxa" w:w="60"/>
              <w:right w:type="dxa" w:w="100"/>
            </w:tcMar>
          </w:tcPr>
          <w:p>
            <w:pPr>
              <w:spacing w:after="40" w:line="252"/>
            </w:pPr>
            <w:r>
              <w:rPr>
                <w:rFonts w:ascii="Calibri" w:cs="Calibri" w:eastAsia="Calibri" w:hAnsi="Calibri"/>
                <w:sz w:val="19"/>
                <w:szCs w:val="19"/>
              </w:rPr>
              <w:t xml:space="preserve">État de l’art (20+ sources), modèle de menace formel, SRS, architecture PDP, contrat OpenAPI, section éthique. Zéro code.</w:t>
            </w:r>
          </w:p>
        </w:tc>
      </w:tr>
      <w:tr>
        <w:tc>
          <w:tcPr>
            <w:tcW w:type="dxa" w:w="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Sandbox opérateur + attaque</w:t>
            </w:r>
          </w:p>
        </w:tc>
        <w:tc>
          <w:tcPr>
            <w:tcW w:type="dxa" w:w="5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Cœur simulé (comptes, HLR, OTP, transferts, canal app + USSD), outil attaquant CLI, squelette de la console opérateur. Le SIM swap réussit, scripté.</w:t>
            </w:r>
          </w:p>
        </w:tc>
      </w:tr>
      <w:tr>
        <w:tc>
          <w:tcPr>
            <w:tcW w:type="dxa" w:w="800"/>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Générateur de transactions</w:t>
            </w:r>
          </w:p>
        </w:tc>
        <w:tc>
          <w:tcPr>
            <w:tcW w:type="dxa" w:w="5600"/>
            <w:tcMar>
              <w:top w:type="dxa" w:w="60"/>
              <w:left w:type="dxa" w:w="100"/>
              <w:bottom w:type="dxa" w:w="60"/>
              <w:right w:type="dxa" w:w="100"/>
            </w:tcMar>
          </w:tcPr>
          <w:p>
            <w:pPr>
              <w:spacing w:after="40" w:line="252"/>
            </w:pPr>
            <w:r>
              <w:rPr>
                <w:rFonts w:ascii="Calibri" w:cs="Calibri" w:eastAsia="Calibri" w:hAnsi="Calibri"/>
                <w:sz w:val="19"/>
                <w:szCs w:val="19"/>
              </w:rPr>
              <w:t xml:space="preserve">Simulateur à agents, personas, injection d’attaques, rapport de plausibilité. Jeu de données v1 gelé.</w:t>
            </w:r>
          </w:p>
        </w:tc>
      </w:tr>
      <w:tr>
        <w:tc>
          <w:tcPr>
            <w:tcW w:type="dxa" w:w="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La défense</w:t>
            </w:r>
          </w:p>
        </w:tc>
        <w:tc>
          <w:tcPr>
            <w:tcW w:type="dxa" w:w="5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Device binding, moteur de règles, décisions ALLOW / STEP_UP / FREEZE, période de carence. La même attaque échoue.</w:t>
            </w:r>
          </w:p>
        </w:tc>
      </w:tr>
      <w:tr>
        <w:tc>
          <w:tcPr>
            <w:tcW w:type="dxa" w:w="800"/>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Évaluation + ML comparatif</w:t>
            </w:r>
          </w:p>
        </w:tc>
        <w:tc>
          <w:tcPr>
            <w:tcW w:type="dxa" w:w="5600"/>
            <w:tcMar>
              <w:top w:type="dxa" w:w="60"/>
              <w:left w:type="dxa" w:w="100"/>
              <w:bottom w:type="dxa" w:w="60"/>
              <w:right w:type="dxa" w:w="100"/>
            </w:tcMar>
          </w:tcPr>
          <w:p>
            <w:pPr>
              <w:spacing w:after="40" w:line="252"/>
            </w:pPr>
            <w:r>
              <w:rPr>
                <w:rFonts w:ascii="Calibri" w:cs="Calibri" w:eastAsia="Calibri" w:hAnsi="Calibri"/>
                <w:sz w:val="19"/>
                <w:szCs w:val="19"/>
              </w:rPr>
              <w:t xml:space="preserve">Métriques complètes, scénarios évasifs, modèle appris entraîné sur v1, comparaison règles vs ML.</w:t>
            </w:r>
          </w:p>
        </w:tc>
      </w:tr>
      <w:tr>
        <w:tc>
          <w:tcPr>
            <w:tcW w:type="dxa" w:w="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6</w:t>
            </w:r>
          </w:p>
        </w:tc>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Application mobile + démo</w:t>
            </w:r>
          </w:p>
        </w:tc>
        <w:tc>
          <w:tcPr>
            <w:tcW w:type="dxa" w:w="5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App Android sur deux téléphones, démo scriptée et chronométrée, répétitions.</w:t>
            </w:r>
          </w:p>
        </w:tc>
      </w:tr>
      <w:tr>
        <w:tc>
          <w:tcPr>
            <w:tcW w:type="dxa" w:w="800"/>
            <w:tcMar>
              <w:top w:type="dxa" w:w="60"/>
              <w:left w:type="dxa" w:w="100"/>
              <w:bottom w:type="dxa" w:w="60"/>
              <w:right w:type="dxa" w:w="100"/>
            </w:tcMar>
          </w:tcPr>
          <w:p>
            <w:pPr>
              <w:spacing w:after="40" w:line="252"/>
            </w:pPr>
            <w:r>
              <w:rPr>
                <w:rFonts w:ascii="Calibri" w:cs="Calibri" w:eastAsia="Calibri" w:hAnsi="Calibri"/>
                <w:sz w:val="19"/>
                <w:szCs w:val="19"/>
              </w:rPr>
              <w:t xml:space="preserve">7</w:t>
            </w:r>
          </w:p>
        </w:tc>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Mémoire + marge</w:t>
            </w:r>
          </w:p>
        </w:tc>
        <w:tc>
          <w:tcPr>
            <w:tcW w:type="dxa" w:w="5600"/>
            <w:tcMar>
              <w:top w:type="dxa" w:w="60"/>
              <w:left w:type="dxa" w:w="100"/>
              <w:bottom w:type="dxa" w:w="60"/>
              <w:right w:type="dxa" w:w="100"/>
            </w:tcMar>
          </w:tcPr>
          <w:p>
            <w:pPr>
              <w:spacing w:after="40" w:line="252"/>
            </w:pPr>
            <w:r>
              <w:rPr>
                <w:rFonts w:ascii="Calibri" w:cs="Calibri" w:eastAsia="Calibri" w:hAnsi="Calibri"/>
                <w:sz w:val="19"/>
                <w:szCs w:val="19"/>
              </w:rPr>
              <w:t xml:space="preserve">Rédaction finale (commencée au mois 1), relectures, soutenance blanche. Amortisseur des retards.</w:t>
            </w:r>
          </w:p>
        </w:tc>
      </w:tr>
    </w:tbl>
    <w:p>
      <w:pPr>
        <w:spacing w:after="120" w:line="276"/>
      </w:pPr>
      <w:r>
        <w:rPr>
          <w:rFonts w:ascii="Calibri" w:cs="Calibri" w:eastAsia="Calibri" w:hAnsi="Calibri"/>
          <w:b/>
          <w:bCs/>
          <w:sz w:val="22"/>
          <w:szCs w:val="22"/>
        </w:rPr>
        <w:t xml:space="preserve">Discipline : </w:t>
      </w:r>
      <w:r>
        <w:rPr>
          <w:rFonts w:ascii="Calibri" w:cs="Calibri" w:eastAsia="Calibri" w:hAnsi="Calibri"/>
          <w:sz w:val="22"/>
          <w:szCs w:val="22"/>
        </w:rPr>
        <w:t xml:space="preserve">un livrable démontrable chaque semaine, revu avec l’encadreur. Si une semaine passe sans artefact démontrable, on replanifie. Le mémoire s’écrit en continu ; chaque mois produit son chapitre brouillon.</w:t>
      </w:r>
    </w:p>
    <w:p>
      <w:pPr>
        <w:pStyle w:val="Heading1"/>
        <w:spacing w:after="160" w:before="360"/>
      </w:pPr>
      <w:r>
        <w:rPr>
          <w:rFonts w:ascii="Calibri" w:cs="Calibri" w:eastAsia="Calibri" w:hAnsi="Calibri"/>
        </w:rPr>
        <w:t xml:space="preserve">8. Discipline d’ingénierie et organisation</w:t>
      </w:r>
    </w:p>
    <w:p>
      <w:pPr>
        <w:pStyle w:val="Heading2"/>
        <w:spacing w:after="120" w:before="240"/>
      </w:pPr>
      <w:r>
        <w:rPr>
          <w:rFonts w:ascii="Calibri" w:cs="Calibri" w:eastAsia="Calibri" w:hAnsi="Calibri"/>
        </w:rPr>
        <w:t xml:space="preserve">8.1 Répartition des rôles</w:t>
      </w:r>
    </w:p>
    <w:p>
      <w:pPr>
        <w:spacing w:after="120" w:line="276"/>
      </w:pPr>
      <w:r>
        <w:rPr>
          <w:rFonts w:ascii="Calibri" w:cs="Calibri" w:eastAsia="Calibri" w:hAnsi="Calibri"/>
          <w:sz w:val="22"/>
          <w:szCs w:val="22"/>
        </w:rPr>
        <w:t xml:space="preserve">Claude Code exécute le code. Le candidat spécifie, relit et doit pouvoir expliquer chaque composant devant le jury. Le risque n’est plus « le code n’existe pas » mais « le code existe et n’est pas maîtrisé ». Règles :</w:t>
      </w:r>
    </w:p>
    <w:p>
      <w:pPr>
        <w:pStyle w:val="ListParagraph"/>
        <w:numPr>
          <w:ilvl w:val="0"/>
          <w:numId w:val="2"/>
        </w:numPr>
        <w:spacing w:after="80" w:line="276"/>
      </w:pPr>
      <w:r>
        <w:rPr>
          <w:rFonts w:ascii="Calibri" w:cs="Calibri" w:eastAsia="Calibri" w:hAnsi="Calibri"/>
          <w:sz w:val="22"/>
          <w:szCs w:val="22"/>
        </w:rPr>
        <w:t xml:space="preserve">Spécification avant génération : rien n’est codé sans une spec écrite ou validée par le candidat.</w:t>
      </w:r>
    </w:p>
    <w:p>
      <w:pPr>
        <w:pStyle w:val="ListParagraph"/>
        <w:numPr>
          <w:ilvl w:val="0"/>
          <w:numId w:val="2"/>
        </w:numPr>
        <w:spacing w:after="80" w:line="276"/>
      </w:pPr>
      <w:r>
        <w:rPr>
          <w:rFonts w:ascii="Calibri" w:cs="Calibri" w:eastAsia="Calibri" w:hAnsi="Calibri"/>
          <w:sz w:val="22"/>
          <w:szCs w:val="22"/>
        </w:rPr>
        <w:t xml:space="preserve">Revue de chaque livraison comme une PR ; refus de ce qui n’est pas compris. Le code cryptographique est relu ligne par ligne.</w:t>
      </w:r>
    </w:p>
    <w:p>
      <w:pPr>
        <w:pStyle w:val="ListParagraph"/>
        <w:numPr>
          <w:ilvl w:val="0"/>
          <w:numId w:val="2"/>
        </w:numPr>
        <w:spacing w:after="80" w:line="276"/>
      </w:pPr>
      <w:r>
        <w:rPr>
          <w:rFonts w:ascii="Calibri" w:cs="Calibri" w:eastAsia="Calibri" w:hAnsi="Calibri"/>
          <w:sz w:val="22"/>
          <w:szCs w:val="22"/>
        </w:rPr>
        <w:t xml:space="preserve">Le candidat écrit l’intention des tests (« après un changement d’IMSI, aucun transfert sortant ne passe sans signature valide pendant 48 h »).</w:t>
      </w:r>
    </w:p>
    <w:p>
      <w:pPr>
        <w:pStyle w:val="ListParagraph"/>
        <w:numPr>
          <w:ilvl w:val="0"/>
          <w:numId w:val="2"/>
        </w:numPr>
        <w:spacing w:after="80" w:line="276"/>
      </w:pPr>
      <w:r>
        <w:rPr>
          <w:rFonts w:ascii="Calibri" w:cs="Calibri" w:eastAsia="Calibri" w:hAnsi="Calibri"/>
          <w:sz w:val="22"/>
          <w:szCs w:val="22"/>
        </w:rPr>
        <w:t xml:space="preserve">L’encadreur interroge le candidat sur le code à chaque revue hebdomadaire, comme le ferait le jury.</w:t>
      </w:r>
    </w:p>
    <w:p>
      <w:pPr>
        <w:pStyle w:val="ListParagraph"/>
        <w:numPr>
          <w:ilvl w:val="0"/>
          <w:numId w:val="2"/>
        </w:numPr>
        <w:spacing w:after="80" w:line="276"/>
      </w:pPr>
      <w:r>
        <w:rPr>
          <w:rFonts w:ascii="Calibri" w:cs="Calibri" w:eastAsia="Calibri" w:hAnsi="Calibri"/>
          <w:sz w:val="22"/>
          <w:szCs w:val="22"/>
        </w:rPr>
        <w:t xml:space="preserve">Arbitrage de la sobriété : un système de sécurité se défend d’autant mieux qu’il est petit et lisible.</w:t>
      </w:r>
    </w:p>
    <w:p>
      <w:pPr>
        <w:pStyle w:val="Heading2"/>
        <w:spacing w:after="120" w:before="240"/>
      </w:pPr>
      <w:r>
        <w:rPr>
          <w:rFonts w:ascii="Calibri" w:cs="Calibri" w:eastAsia="Calibri" w:hAnsi="Calibri"/>
        </w:rPr>
        <w:t xml:space="preserve">8.2 Exigences de qualité</w:t>
      </w:r>
    </w:p>
    <w:p>
      <w:pPr>
        <w:pStyle w:val="ListParagraph"/>
        <w:numPr>
          <w:ilvl w:val="0"/>
          <w:numId w:val="2"/>
        </w:numPr>
        <w:spacing w:after="80" w:line="276"/>
      </w:pPr>
      <w:r>
        <w:rPr>
          <w:rFonts w:ascii="Calibri" w:cs="Calibri" w:eastAsia="Calibri" w:hAnsi="Calibri"/>
          <w:sz w:val="22"/>
          <w:szCs w:val="22"/>
        </w:rPr>
        <w:t xml:space="preserve">Pyramide de tests : unitaires (chaque règle isolément), contrat cœur↔PDP, intégration (chaque scénario du modèle de menace = un test automatisé « attaque bloquée »). La démo au jury est l’exécution visuelle de la suite de tests de sécurité.</w:t>
      </w:r>
    </w:p>
    <w:p>
      <w:pPr>
        <w:pStyle w:val="ListParagraph"/>
        <w:numPr>
          <w:ilvl w:val="0"/>
          <w:numId w:val="2"/>
        </w:numPr>
        <w:spacing w:after="80" w:line="276"/>
      </w:pPr>
      <w:r>
        <w:rPr>
          <w:rFonts w:ascii="Calibri" w:cs="Calibri" w:eastAsia="Calibri" w:hAnsi="Calibri"/>
          <w:sz w:val="22"/>
          <w:szCs w:val="22"/>
        </w:rPr>
        <w:t xml:space="preserve">Monorepo : core/, pdp/, simulator/, attacker/, android/, console/, evaluation/, docs/, infra/. README permettant à un inconnu de lancer la démo en dix minutes.</w:t>
      </w:r>
    </w:p>
    <w:p>
      <w:pPr>
        <w:pStyle w:val="ListParagraph"/>
        <w:numPr>
          <w:ilvl w:val="0"/>
          <w:numId w:val="2"/>
        </w:numPr>
        <w:spacing w:after="80" w:line="276"/>
      </w:pPr>
      <w:r>
        <w:rPr>
          <w:rFonts w:ascii="Calibri" w:cs="Calibri" w:eastAsia="Calibri" w:hAnsi="Calibri"/>
          <w:sz w:val="22"/>
          <w:szCs w:val="22"/>
        </w:rPr>
        <w:t xml:space="preserve">Reproductibilité : make demo-attack, make demo-defend, make evaluate. Un chiffre non régénérable n’entre pas dans le mémoire.</w:t>
      </w:r>
    </w:p>
    <w:p>
      <w:pPr>
        <w:pStyle w:val="ListParagraph"/>
        <w:numPr>
          <w:ilvl w:val="0"/>
          <w:numId w:val="2"/>
        </w:numPr>
        <w:spacing w:after="80" w:line="276"/>
      </w:pPr>
      <w:r>
        <w:rPr>
          <w:rFonts w:ascii="Calibri" w:cs="Calibri" w:eastAsia="Calibri" w:hAnsi="Calibri"/>
          <w:sz w:val="22"/>
          <w:szCs w:val="22"/>
        </w:rPr>
        <w:t xml:space="preserve">Sécurité du sandbox : plage de numéros fictive documentée, réseau Docker isolé, aucun préfixe MTN / Orange réel.</w:t>
      </w:r>
    </w:p>
    <w:p>
      <w:pPr>
        <w:pStyle w:val="Heading1"/>
        <w:spacing w:after="160" w:before="360"/>
      </w:pPr>
      <w:r>
        <w:rPr>
          <w:rFonts w:ascii="Calibri" w:cs="Calibri" w:eastAsia="Calibri" w:hAnsi="Calibri"/>
        </w:rPr>
        <w:t xml:space="preserve">9. État de l’art consolidé et sources</w:t>
      </w:r>
    </w:p>
    <w:p>
      <w:pPr>
        <w:spacing w:after="120" w:line="276"/>
      </w:pPr>
      <w:r>
        <w:rPr>
          <w:rFonts w:ascii="Calibri" w:cs="Calibri" w:eastAsia="Calibri" w:hAnsi="Calibri"/>
          <w:sz w:val="22"/>
          <w:szCs w:val="22"/>
        </w:rPr>
        <w:t xml:space="preserve">Conclusion de la recherche : les briques existent toutes, aucune n’est assemblée comme proposé, aucune n’est calibrée sur le Cameroun. Les sources ci-dessous ont été vérifiées le 20 août 2026 ; chacune doit être fichée (ce qu’elle établit, ce qu’elle ne couvre pas, en quoi le projet s’en distingue).</w:t>
      </w:r>
    </w:p>
    <w:p>
      <w:pPr>
        <w:pStyle w:val="Heading2"/>
        <w:spacing w:after="120" w:before="240"/>
      </w:pPr>
      <w:r>
        <w:rPr>
          <w:rFonts w:ascii="Calibri" w:cs="Calibri" w:eastAsia="Calibri" w:hAnsi="Calibri"/>
        </w:rPr>
        <w:t xml:space="preserve">9.1 Normes et recommandations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c>
          <w:tcPr>
            <w:tcW w:type="dxa" w:w="3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Ce qu’elle établit</w:t>
            </w:r>
          </w:p>
        </w:tc>
        <w:tc>
          <w:tcPr>
            <w:tcW w:type="dxa" w:w="2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Usage dans le projet</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NIST SP 800-63B (rev 3, 2017 ; rev 4, 2024) — pages.nist.gov/800-63-3/sp800-63b.html</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L’usage du PSTN (SMS, voix) pour la vérification hors-bande est RESTREINT. Le vérificateur doit s’assurer que le numéro est associé à un appareil physique spécifique et considérer les indicateurs de risque (changement d’appareil, de SIM, portage) avant d’envoyer un secret. Rev 4 formalise la catégorie « authentifiant restreint ».</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Fondement normatif de la thèse : l’OTP SMS seul ne prouve pas l’identité. Argument massue face au jury.</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GSMA Open Gateway / CAMARA — API Sim Swap (camaraproject.org/sim-swap) et Device Swap (Telefónica)</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API standardisée renvoyant l’horodatage du dernier changement de SIM ou un oui/non sur une fenêtre ; soutenue par 73 groupes d’opérateurs (~80 % des connexions mondiales). Device Swap détecte les appariements SIM-appareil anormaux.</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Le signal « IMSI changé » consommé par le PDP est une commodité du marché ; à citer, et à émuler dans le HLR simulé.</w:t>
            </w:r>
          </w:p>
        </w:tc>
      </w:tr>
    </w:tbl>
    <w:p>
      <w:pPr>
        <w:pStyle w:val="Heading2"/>
        <w:spacing w:after="120" w:before="240"/>
      </w:pPr>
      <w:r>
        <w:rPr>
          <w:rFonts w:ascii="Calibri" w:cs="Calibri" w:eastAsia="Calibri" w:hAnsi="Calibri"/>
        </w:rPr>
        <w:t xml:space="preserve">9.2 Pratiques industrielles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c>
          <w:tcPr>
            <w:tcW w:type="dxa" w:w="3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Ce qu’elle établit</w:t>
            </w:r>
          </w:p>
        </w:tc>
        <w:tc>
          <w:tcPr>
            <w:tcW w:type="dxa" w:w="2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Usage dans le projet</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Safaricom, communiqué du 9 nov. 2021 « Safaricom Introduces Measures to Curb Sim Fraud »</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Suspension des transactions Mobile Money pendant une période après un SIM swap ; biométrie vocale ; code *100*100# anti-swap (mai 2022).</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La règle FREEZE + période de carence reproduit la pratique M-Pesa ; le projet l’évalue, ne l’invente pas.</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Rest of World, avril 2023 « M-Pesa has become a tool for SIM swap fraud »</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Mars 2023 : Safaricom enrôle les grandes banques dans SIM-Swap-Check. Analyse Evina 2021 : fraude au paiement mobile la plus prévalente au Kenya (51 % de transactions signalées), puis Afrique du Sud (30 %) et Cameroun (10 %).</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Contexte régional et chiffre sur le Cameroun à citer avec prudence (source secondaire).</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BT, Vonage, netnumber — offres commerciales « SIM Swap Detection »</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Produits bancaires établis ; netnumber insiste sur le temps réel vs bases qui retardent jusqu’à quatre jours.</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Preuve que la détection seule est un produit, pas une contribution. Justifie le positionnement (section 4).</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Wikipedia « SIM binding » (et littérature device binding)</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Le SIM binding lie l’identité à l’IMSI / ICCID ou aux capacités crypto de la SIM ; forme spécialisée du device binding, adoptée en banque mobile.</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Primitive éprouvée ; le projet l’implémente via Android Keystore.</w:t>
            </w:r>
          </w:p>
        </w:tc>
      </w:tr>
    </w:tbl>
    <w:p>
      <w:pPr>
        <w:pStyle w:val="Heading2"/>
        <w:spacing w:after="120" w:before="240"/>
      </w:pPr>
      <w:r>
        <w:rPr>
          <w:rFonts w:ascii="Calibri" w:cs="Calibri" w:eastAsia="Calibri" w:hAnsi="Calibri"/>
        </w:rPr>
        <w:t xml:space="preserve">9.3 Recherche académique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c>
          <w:tcPr>
            <w:tcW w:type="dxa" w:w="3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Ce qu’elle établit</w:t>
            </w:r>
          </w:p>
        </w:tc>
        <w:tc>
          <w:tcPr>
            <w:tcW w:type="dxa" w:w="2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Usage dans le projet</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 A labeled synthetic mobile money transaction dataset » (Data in Brief / PMC, 2025) — MoMTSim</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Simulateur multi-agents calibré Afrique de l’Est ; 1,72 M de transactions étiquetées (v1) ; modélise la prise de contrôle par SIM swap, la fraude au remboursement, les fausses identités.</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Référence directe pour le générateur (mois 3). À lire intégralement. Différenciation : calibration Cameroun, USSD, boucle fermée avec le PDP.</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Lopez-Rojas, Elmir, Axelsson, « PaySim: A Financial Mobile Money Simulator for Fraud Detection » (2016)</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Premier simulateur de référence pour la fraude Mobile Money.</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Ancêtre méthodologique à citer.</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Sayibu et al., « Fraud Prediction and Prevention in Mobile Money Payment Systems: A Systematic Literature Review » (Security and Communication Networks, 2025)</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Random forest et gradient boosting surpassent les classifieurs simples sur données structurées ; le Kenya et la Tanzanie montrent que les périodes de blocage post-swap réduisent fortement la fraude.</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Cadre de la revue de littérature ; choix des modèles pour l’étude comparative.</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 Machine learning approaches to fraud detection and risk analytics in GSM-based FinTech systems in Nigeria » (AJESA, 2026)</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Détection SIM swap / prise de contrôle &gt; 90 % avec délais &lt; 2 min ; prédicteurs clés : valeur, événements de changement de SIM, instabilité de localisation.</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Chiffres de référence pour la comparaison règles / ML.</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Azamuke (Makerere, 2025), « Differentially Private Synthetic Data Generation for Mobile Money Fraud »</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La recherche est freinée par la sensibilité des données ; jeux réels fortement déséquilibrés.</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Justifie le recours au synthétique et la prudence sur les métriques.</w:t>
            </w:r>
          </w:p>
        </w:tc>
      </w:tr>
    </w:tbl>
    <w:p>
      <w:pPr>
        <w:pStyle w:val="Heading2"/>
        <w:spacing w:after="120" w:before="240"/>
      </w:pPr>
      <w:r>
        <w:rPr>
          <w:rFonts w:ascii="Calibri" w:cs="Calibri" w:eastAsia="Calibri" w:hAnsi="Calibri"/>
        </w:rPr>
        <w:t xml:space="preserve">9.4 Contexte camerounais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Source</w:t>
            </w:r>
          </w:p>
        </w:tc>
        <w:tc>
          <w:tcPr>
            <w:tcW w:type="dxa" w:w="3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Ce qu’elle établit</w:t>
            </w:r>
          </w:p>
        </w:tc>
        <w:tc>
          <w:tcPr>
            <w:tcW w:type="dxa" w:w="2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Usage dans le projet</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MINPOSTEL, « Arnaque via Mobile Money — La riposte du Ministre des Postes et Télécommunications »</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Le représentant de MTN Cameroun affirme que les arnaques relèvent davantage de l’ingénierie sociale que de la défaillance du système, tout en citant des mesures (séparation des pouvoirs interne, sécurisation de la reprogrammation à distance, annulation des transactions douteuses). Camtel pointe la reprogrammation « faillible et très accessible aux arnaqueurs ».</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Remplace l’affirmation non sourcée de « déflexion de responsabilité » par une citation officielle datée.</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Dr Carlson Ngwa, FHNW (Suisse), « Mobile Money &amp; Social Engineering in Cameroon », 13 mars 2025</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Études de cas réelles d’arnaques au Cameroun ; description de l’implémentation concrète du Mobile Money.</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Source académique pour la problématique et les scénarios d’attaque.</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Financial Afrik, 11 déc. 2025, « La Fraude par Échange de Carte SIM »</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Scandales camerounais de SIM pré-enregistrées avec identités volées ; complicités internes chez des opérateurs en Afrique du Sud.</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Sous-problème KYC (contextuel) ; modèle de menace (agent complice).</w:t>
            </w:r>
          </w:p>
        </w:tc>
      </w:tr>
      <w:tr>
        <w:tc>
          <w:tcPr>
            <w:tcW w:type="dxa" w:w="26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Cameroon Tribune, 2020 ; 237 Actu (faux agents Orange à Douala / Yaoundé)</w:t>
            </w:r>
          </w:p>
        </w:tc>
        <w:tc>
          <w:tcPr>
            <w:tcW w:type="dxa" w:w="3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Typologies locales d’ingénierie sociale.</w:t>
            </w:r>
          </w:p>
        </w:tc>
        <w:tc>
          <w:tcPr>
            <w:tcW w:type="dxa" w:w="2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Scénarios d’ingénierie sociale du simulateur.</w:t>
            </w:r>
          </w:p>
        </w:tc>
      </w:tr>
      <w:tr>
        <w:tc>
          <w:tcPr>
            <w:tcW w:type="dxa" w:w="2600"/>
            <w:tcMar>
              <w:top w:type="dxa" w:w="60"/>
              <w:left w:type="dxa" w:w="100"/>
              <w:bottom w:type="dxa" w:w="60"/>
              <w:right w:type="dxa" w:w="100"/>
            </w:tcMar>
          </w:tcPr>
          <w:p>
            <w:pPr>
              <w:spacing w:after="40" w:line="252"/>
            </w:pPr>
            <w:r>
              <w:rPr>
                <w:rFonts w:ascii="Calibri" w:cs="Calibri" w:eastAsia="Calibri" w:hAnsi="Calibri"/>
                <w:sz w:val="19"/>
                <w:szCs w:val="19"/>
              </w:rPr>
              <w:t xml:space="preserve">TechTrends Africa, mars 2026 ; Kaspersky 2024</w:t>
            </w:r>
          </w:p>
        </w:tc>
        <w:tc>
          <w:tcPr>
            <w:tcW w:type="dxa" w:w="3700"/>
            <w:tcMar>
              <w:top w:type="dxa" w:w="60"/>
              <w:left w:type="dxa" w:w="100"/>
              <w:bottom w:type="dxa" w:w="60"/>
              <w:right w:type="dxa" w:w="100"/>
            </w:tcMar>
          </w:tcPr>
          <w:p>
            <w:pPr>
              <w:spacing w:after="40" w:line="252"/>
            </w:pPr>
            <w:r>
              <w:rPr>
                <w:rFonts w:ascii="Calibri" w:cs="Calibri" w:eastAsia="Calibri" w:hAnsi="Calibri"/>
                <w:sz w:val="19"/>
                <w:szCs w:val="19"/>
              </w:rPr>
              <w:t xml:space="preserve">Syndicats organisés de SIM swap avec insiders télécoms (17 identifiés au Nigeria).</w:t>
            </w:r>
          </w:p>
        </w:tc>
        <w:tc>
          <w:tcPr>
            <w:tcW w:type="dxa" w:w="2700"/>
            <w:tcMar>
              <w:top w:type="dxa" w:w="60"/>
              <w:left w:type="dxa" w:w="100"/>
              <w:bottom w:type="dxa" w:w="60"/>
              <w:right w:type="dxa" w:w="100"/>
            </w:tcMar>
          </w:tcPr>
          <w:p>
            <w:pPr>
              <w:spacing w:after="40" w:line="252"/>
            </w:pPr>
            <w:r>
              <w:rPr>
                <w:rFonts w:ascii="Calibri" w:cs="Calibri" w:eastAsia="Calibri" w:hAnsi="Calibri"/>
                <w:sz w:val="19"/>
                <w:szCs w:val="19"/>
              </w:rPr>
              <w:t xml:space="preserve">Modèle de menace : l’attaquant peut disposer d’un complice interne.</w:t>
            </w:r>
          </w:p>
        </w:tc>
      </w:tr>
    </w:tbl>
    <w:p>
      <w:pPr>
        <w:pStyle w:val="Heading2"/>
        <w:spacing w:after="120" w:before="240"/>
      </w:pPr>
      <w:r>
        <w:rPr>
          <w:rFonts w:ascii="Calibri" w:cs="Calibri" w:eastAsia="Calibri" w:hAnsi="Calibri"/>
        </w:rPr>
        <w:t xml:space="preserve">9.5 Sources à ficher en priorité (semaine 1)</w:t>
      </w:r>
    </w:p>
    <w:p>
      <w:pPr>
        <w:spacing w:after="120" w:line="276"/>
      </w:pPr>
      <w:r>
        <w:rPr>
          <w:rFonts w:ascii="Calibri" w:cs="Calibri" w:eastAsia="Calibri" w:hAnsi="Calibri"/>
          <w:sz w:val="22"/>
          <w:szCs w:val="22"/>
        </w:rPr>
        <w:t xml:space="preserve">NIST SP 800-63B rev 4 (PSTN restreint) ; spécification CAMARA Sim Swap ; communiqué Safaricom nov. 2021 ; article MoMTSim (2025) ; PaySim (2016) ; revue systématique Sayibu (2025) ; présentation FHNW Cameroun (2025) ; page MINPOSTEL. Les douze sources restantes viendront des bibliographies de ces articles et des rapports GSMA « State of the Industry on Mobile Money ».</w:t>
      </w:r>
    </w:p>
    <w:p>
      <w:pPr>
        <w:pStyle w:val="Heading1"/>
        <w:spacing w:after="160" w:before="360"/>
      </w:pPr>
      <w:r>
        <w:rPr>
          <w:rFonts w:ascii="Calibri" w:cs="Calibri" w:eastAsia="Calibri" w:hAnsi="Calibri"/>
        </w:rPr>
        <w:t xml:space="preserve">10. Mission de la semaine 1</w:t>
      </w:r>
    </w:p>
    <w:p>
      <w:pPr>
        <w:pStyle w:val="ListParagraph"/>
        <w:numPr>
          <w:ilvl w:val="0"/>
          <w:numId w:val="3"/>
        </w:numPr>
        <w:spacing w:after="80" w:line="276"/>
      </w:pPr>
      <w:r>
        <w:rPr>
          <w:rFonts w:ascii="Calibri" w:cs="Calibri" w:eastAsia="Calibri" w:hAnsi="Calibri"/>
          <w:sz w:val="22"/>
          <w:szCs w:val="22"/>
        </w:rPr>
        <w:t xml:space="preserve">Modèle de menace : une page. Attaquant / capacités (numéro : oui ; PIN par ingénierie sociale : oui ; agent complice : scénario optionnel ; téléphone physique de la victime : non ; accès interne opérateur : non). Hypothèses de confiance. Hors modèle.</w:t>
      </w:r>
    </w:p>
    <w:p>
      <w:pPr>
        <w:pStyle w:val="ListParagraph"/>
        <w:numPr>
          <w:ilvl w:val="0"/>
          <w:numId w:val="3"/>
        </w:numPr>
        <w:spacing w:after="80" w:line="276"/>
      </w:pPr>
      <w:r>
        <w:rPr>
          <w:rFonts w:ascii="Calibri" w:cs="Calibri" w:eastAsia="Calibri" w:hAnsi="Calibri"/>
          <w:sz w:val="22"/>
          <w:szCs w:val="22"/>
        </w:rPr>
        <w:t xml:space="preserve">Dix premières sources lues et fichées (liste 9.5).</w:t>
      </w:r>
    </w:p>
    <w:p>
      <w:pPr>
        <w:pStyle w:val="ListParagraph"/>
        <w:numPr>
          <w:ilvl w:val="0"/>
          <w:numId w:val="3"/>
        </w:numPr>
        <w:spacing w:after="80" w:line="276"/>
      </w:pPr>
      <w:r>
        <w:rPr>
          <w:rFonts w:ascii="Calibri" w:cs="Calibri" w:eastAsia="Calibri" w:hAnsi="Calibri"/>
          <w:sz w:val="22"/>
          <w:szCs w:val="22"/>
        </w:rPr>
        <w:t xml:space="preserve">Squelette du contrat OpenAPI /evaluate : schéma de requête et de réponse, première version.</w:t>
      </w:r>
    </w:p>
    <w:p>
      <w:pPr>
        <w:pStyle w:val="ListParagraph"/>
        <w:numPr>
          <w:ilvl w:val="0"/>
          <w:numId w:val="3"/>
        </w:numPr>
        <w:spacing w:after="80" w:line="276"/>
      </w:pPr>
      <w:r>
        <w:rPr>
          <w:rFonts w:ascii="Calibri" w:cs="Calibri" w:eastAsia="Calibri" w:hAnsi="Calibri"/>
          <w:sz w:val="22"/>
          <w:szCs w:val="22"/>
        </w:rPr>
        <w:t xml:space="preserve">Croquis de la console opérateur : l’écran exact que le jury voit au moment où l’attaque est bloquée.</w:t>
      </w:r>
    </w:p>
    <w:p>
      <w:pPr>
        <w:pStyle w:val="ListParagraph"/>
        <w:numPr>
          <w:ilvl w:val="0"/>
          <w:numId w:val="3"/>
        </w:numPr>
        <w:spacing w:after="80" w:line="276"/>
      </w:pPr>
      <w:r>
        <w:rPr>
          <w:rFonts w:ascii="Calibri" w:cs="Calibri" w:eastAsia="Calibri" w:hAnsi="Calibri"/>
          <w:sz w:val="22"/>
          <w:szCs w:val="22"/>
        </w:rPr>
        <w:t xml:space="preserve">Structure du dépôt créée, vide, avec une CI qui passe sur rien.</w:t>
      </w:r>
    </w:p>
    <w:p>
      <w:pPr>
        <w:spacing w:after="120" w:line="276"/>
      </w:pPr>
      <w:r>
        <w:rPr>
          <w:rFonts w:ascii="Calibri" w:cs="Calibri" w:eastAsia="Calibri" w:hAnsi="Calibri"/>
          <w:sz w:val="22"/>
          <w:szCs w:val="22"/>
        </w:rPr>
        <w:t xml:space="preserve">Revue de ces cinq éléments comme une PR, sans indulgence.</w:t>
      </w:r>
    </w:p>
    <w:p>
      <w:pPr>
        <w:pStyle w:val="Heading1"/>
        <w:spacing w:after="160" w:before="360"/>
      </w:pPr>
      <w:r>
        <w:rPr>
          <w:rFonts w:ascii="Calibri" w:cs="Calibri" w:eastAsia="Calibri" w:hAnsi="Calibri"/>
        </w:rPr>
        <w:t xml:space="preserve">11. Ce qui reste à concevoir avant la production</w:t>
      </w:r>
    </w:p>
    <w:p>
      <w:pPr>
        <w:spacing w:after="120" w:line="276"/>
      </w:pPr>
      <w:r>
        <w:rPr>
          <w:rFonts w:ascii="Calibri" w:cs="Calibri" w:eastAsia="Calibri" w:hAnsi="Calibri"/>
          <w:sz w:val="22"/>
          <w:szCs w:val="22"/>
        </w:rPr>
        <w:t xml:space="preserve">La conception n’est pas terminée. Ce qui est acquis : la vision, le positionnement, les décisions d’architecture, la stack, le plan. Ce qui manque, dans l’ordre de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200"/>
        <w:gridCol w:w="1800"/>
      </w:tblGrid>
      <w:tr>
        <w:trPr>
          <w:tblHeader/>
        </w:trPr>
        <w:tc>
          <w:tcPr>
            <w:tcW w:type="dxa" w:w="7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Ordre</w:t>
            </w:r>
          </w:p>
        </w:tc>
        <w:tc>
          <w:tcPr>
            <w:tcW w:type="dxa" w:w="23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Document</w:t>
            </w:r>
          </w:p>
        </w:tc>
        <w:tc>
          <w:tcPr>
            <w:tcW w:type="dxa" w:w="42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Contenu</w:t>
            </w:r>
          </w:p>
        </w:tc>
        <w:tc>
          <w:tcPr>
            <w:tcW w:type="dxa" w:w="1800"/>
            <w:shd w:fill="1F3864" w:color="auto" w:val="clear"/>
            <w:tcMar>
              <w:top w:type="dxa" w:w="60"/>
              <w:left w:type="dxa" w:w="100"/>
              <w:bottom w:type="dxa" w:w="60"/>
              <w:right w:type="dxa" w:w="100"/>
            </w:tcMar>
          </w:tcPr>
          <w:p>
            <w:pPr>
              <w:spacing w:after="40" w:line="252"/>
            </w:pPr>
            <w:r>
              <w:rPr>
                <w:rFonts w:ascii="Calibri" w:cs="Calibri" w:eastAsia="Calibri" w:hAnsi="Calibri"/>
                <w:b/>
                <w:bCs/>
                <w:color w:val="FFFFFF"/>
                <w:sz w:val="19"/>
                <w:szCs w:val="19"/>
              </w:rPr>
              <w:t xml:space="preserve">Dépend de</w:t>
            </w:r>
          </w:p>
        </w:tc>
      </w:tr>
      <w:tr>
        <w:tc>
          <w:tcPr>
            <w:tcW w:type="dxa" w:w="700"/>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Charte de projet (ce dossier, v0.1)</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Vision, périmètre, décisions actées, plan, gouvernance.</w:t>
            </w:r>
          </w:p>
        </w:tc>
        <w:tc>
          <w:tcPr>
            <w:tcW w:type="dxa" w:w="1800"/>
            <w:tcMar>
              <w:top w:type="dxa" w:w="60"/>
              <w:left w:type="dxa" w:w="100"/>
              <w:bottom w:type="dxa" w:w="60"/>
              <w:right w:type="dxa" w:w="100"/>
            </w:tcMar>
          </w:tcPr>
          <w:p>
            <w:pPr>
              <w:spacing w:after="40" w:line="252"/>
            </w:pPr>
            <w:r>
              <w:rPr>
                <w:rFonts w:ascii="Calibri" w:cs="Calibri" w:eastAsia="Calibri" w:hAnsi="Calibri"/>
                <w:sz w:val="19"/>
                <w:szCs w:val="19"/>
              </w:rPr>
              <w:t xml:space="preserve">—</w:t>
            </w:r>
          </w:p>
        </w:tc>
      </w:tr>
      <w:tr>
        <w:tc>
          <w:tcPr>
            <w:tcW w:type="dxa" w:w="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État de l’art</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20+ sources fichées, synthèse, positionnement.</w:t>
            </w:r>
          </w:p>
        </w:tc>
        <w:tc>
          <w:tcPr>
            <w:tcW w:type="dxa" w:w="1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Semaines 1–2</w:t>
            </w:r>
          </w:p>
        </w:tc>
      </w:tr>
      <w:tr>
        <w:tc>
          <w:tcPr>
            <w:tcW w:type="dxa" w:w="700"/>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Modèle de menace</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Attaquant, capacités, hypothèses, scénarios numérotés (S-01…), hors modèle.</w:t>
            </w:r>
          </w:p>
        </w:tc>
        <w:tc>
          <w:tcPr>
            <w:tcW w:type="dxa" w:w="1800"/>
            <w:tcMar>
              <w:top w:type="dxa" w:w="60"/>
              <w:left w:type="dxa" w:w="100"/>
              <w:bottom w:type="dxa" w:w="60"/>
              <w:right w:type="dxa" w:w="100"/>
            </w:tcMar>
          </w:tcPr>
          <w:p>
            <w:pPr>
              <w:spacing w:after="40" w:line="252"/>
            </w:pPr>
            <w:r>
              <w:rPr>
                <w:rFonts w:ascii="Calibri" w:cs="Calibri" w:eastAsia="Calibri" w:hAnsi="Calibri"/>
                <w:sz w:val="19"/>
                <w:szCs w:val="19"/>
              </w:rPr>
              <w:t xml:space="preserve">État de l’art</w:t>
            </w:r>
          </w:p>
        </w:tc>
      </w:tr>
      <w:tr>
        <w:tc>
          <w:tcPr>
            <w:tcW w:type="dxa" w:w="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Cahier des charges (SRS, ISO/IEC/IEEE 29148)</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Exigences fonctionnelles et non fonctionnelles numérotées, MoSCoW, traçables vers le modèle de menace et les sources ; questions de recherche et hypothèses ; critères de recette pour le jury ; glossaire ; contraintes (dont la stack).</w:t>
            </w:r>
          </w:p>
        </w:tc>
        <w:tc>
          <w:tcPr>
            <w:tcW w:type="dxa" w:w="1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Modèle de menace</w:t>
            </w:r>
          </w:p>
        </w:tc>
      </w:tr>
      <w:tr>
        <w:tc>
          <w:tcPr>
            <w:tcW w:type="dxa" w:w="700"/>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Document d’architecture (SAD)</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Vues logique, déploiement, données, séquences ; contrat OpenAPI /evaluate ; spécification cryptographique du device binding ; modèle de données par service.</w:t>
            </w:r>
          </w:p>
        </w:tc>
        <w:tc>
          <w:tcPr>
            <w:tcW w:type="dxa" w:w="1800"/>
            <w:tcMar>
              <w:top w:type="dxa" w:w="60"/>
              <w:left w:type="dxa" w:w="100"/>
              <w:bottom w:type="dxa" w:w="60"/>
              <w:right w:type="dxa" w:w="100"/>
            </w:tcMar>
          </w:tcPr>
          <w:p>
            <w:pPr>
              <w:spacing w:after="40" w:line="252"/>
            </w:pPr>
            <w:r>
              <w:rPr>
                <w:rFonts w:ascii="Calibri" w:cs="Calibri" w:eastAsia="Calibri" w:hAnsi="Calibri"/>
                <w:sz w:val="19"/>
                <w:szCs w:val="19"/>
              </w:rPr>
              <w:t xml:space="preserve">SRS</w:t>
            </w:r>
          </w:p>
        </w:tc>
      </w:tr>
      <w:tr>
        <w:tc>
          <w:tcPr>
            <w:tcW w:type="dxa" w:w="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6</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Protocole d’évaluation</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Paramètres du générateur, scénarios gelés, métriques, procédure de comparaison règles / ML, seuils d’acceptation.</w:t>
            </w:r>
          </w:p>
        </w:tc>
        <w:tc>
          <w:tcPr>
            <w:tcW w:type="dxa" w:w="1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SRS + SAD</w:t>
            </w:r>
          </w:p>
        </w:tc>
      </w:tr>
      <w:tr>
        <w:tc>
          <w:tcPr>
            <w:tcW w:type="dxa" w:w="700"/>
            <w:tcMar>
              <w:top w:type="dxa" w:w="60"/>
              <w:left w:type="dxa" w:w="100"/>
              <w:bottom w:type="dxa" w:w="60"/>
              <w:right w:type="dxa" w:w="100"/>
            </w:tcMar>
          </w:tcPr>
          <w:p>
            <w:pPr>
              <w:spacing w:after="40" w:line="252"/>
            </w:pPr>
            <w:r>
              <w:rPr>
                <w:rFonts w:ascii="Calibri" w:cs="Calibri" w:eastAsia="Calibri" w:hAnsi="Calibri"/>
                <w:sz w:val="19"/>
                <w:szCs w:val="19"/>
              </w:rPr>
              <w:t xml:space="preserve">7</w:t>
            </w:r>
          </w:p>
        </w:tc>
        <w:tc>
          <w:tcPr>
            <w:tcW w:type="dxa" w:w="2300"/>
            <w:tcMar>
              <w:top w:type="dxa" w:w="60"/>
              <w:left w:type="dxa" w:w="100"/>
              <w:bottom w:type="dxa" w:w="60"/>
              <w:right w:type="dxa" w:w="100"/>
            </w:tcMar>
          </w:tcPr>
          <w:p>
            <w:pPr>
              <w:spacing w:after="40" w:line="252"/>
            </w:pPr>
            <w:r>
              <w:rPr>
                <w:rFonts w:ascii="Calibri" w:cs="Calibri" w:eastAsia="Calibri" w:hAnsi="Calibri"/>
                <w:sz w:val="19"/>
                <w:szCs w:val="19"/>
              </w:rPr>
              <w:t xml:space="preserve">Stratégie de test</w:t>
            </w:r>
          </w:p>
        </w:tc>
        <w:tc>
          <w:tcPr>
            <w:tcW w:type="dxa" w:w="4200"/>
            <w:tcMar>
              <w:top w:type="dxa" w:w="60"/>
              <w:left w:type="dxa" w:w="100"/>
              <w:bottom w:type="dxa" w:w="60"/>
              <w:right w:type="dxa" w:w="100"/>
            </w:tcMar>
          </w:tcPr>
          <w:p>
            <w:pPr>
              <w:spacing w:after="40" w:line="252"/>
            </w:pPr>
            <w:r>
              <w:rPr>
                <w:rFonts w:ascii="Calibri" w:cs="Calibri" w:eastAsia="Calibri" w:hAnsi="Calibri"/>
                <w:sz w:val="19"/>
                <w:szCs w:val="19"/>
              </w:rPr>
              <w:t xml:space="preserve">Pyramide, matrice de traçabilité exigence → test, Definition of Done.</w:t>
            </w:r>
          </w:p>
        </w:tc>
        <w:tc>
          <w:tcPr>
            <w:tcW w:type="dxa" w:w="1800"/>
            <w:tcMar>
              <w:top w:type="dxa" w:w="60"/>
              <w:left w:type="dxa" w:w="100"/>
              <w:bottom w:type="dxa" w:w="60"/>
              <w:right w:type="dxa" w:w="100"/>
            </w:tcMar>
          </w:tcPr>
          <w:p>
            <w:pPr>
              <w:spacing w:after="40" w:line="252"/>
            </w:pPr>
            <w:r>
              <w:rPr>
                <w:rFonts w:ascii="Calibri" w:cs="Calibri" w:eastAsia="Calibri" w:hAnsi="Calibri"/>
                <w:sz w:val="19"/>
                <w:szCs w:val="19"/>
              </w:rPr>
              <w:t xml:space="preserve">SRS</w:t>
            </w:r>
          </w:p>
        </w:tc>
      </w:tr>
      <w:tr>
        <w:tc>
          <w:tcPr>
            <w:tcW w:type="dxa" w:w="7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8</w:t>
            </w:r>
          </w:p>
        </w:tc>
        <w:tc>
          <w:tcPr>
            <w:tcW w:type="dxa" w:w="23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Script de démonstration</w:t>
            </w:r>
          </w:p>
        </w:tc>
        <w:tc>
          <w:tcPr>
            <w:tcW w:type="dxa" w:w="42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Déroulé minuté de la soutenance, écrans, points de bascule.</w:t>
            </w:r>
          </w:p>
        </w:tc>
        <w:tc>
          <w:tcPr>
            <w:tcW w:type="dxa" w:w="1800"/>
            <w:shd w:fill="F2F5FA"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SAD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100"/>
              <w:left w:type="dxa" w:w="160"/>
              <w:bottom w:type="dxa" w:w="100"/>
              <w:right w:type="dxa" w:w="160"/>
            </w:tcMar>
          </w:tcPr>
          <w:p>
            <w:pPr>
              <w:spacing w:after="0" w:line="276"/>
            </w:pPr>
            <w:r>
              <w:rPr>
                <w:rFonts w:ascii="Calibri" w:cs="Calibri" w:eastAsia="Calibri" w:hAnsi="Calibri"/>
                <w:i/>
                <w:iCs/>
                <w:sz w:val="21"/>
                <w:szCs w:val="21"/>
              </w:rPr>
              <w:t xml:space="preserve">Règle : le dépôt GitHub et l’environnement de développement ne sont que l’aspect technique. Le projet commence par les documents 2 à 4. Le code commence quand le SRS est en statut « Review » et le contrat /evaluate figé.</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IdentiShield-CM — Dossier de cadrage v0.1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597"/>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Dossier de cadrage et de conception v0.1</dc:title>
  <dc:creator>Encadrement IdentiShield-CM</dc:creator>
  <cp:lastModifiedBy>Un-named</cp:lastModifiedBy>
  <cp:revision>1</cp:revision>
  <dcterms:created xsi:type="dcterms:W3CDTF">2026-08-20T19:47:14.233Z</dcterms:created>
  <dcterms:modified xsi:type="dcterms:W3CDTF">2026-08-20T19:47:14.245Z</dcterms:modified>
</cp:coreProperties>
</file>

<file path=docProps/custom.xml><?xml version="1.0" encoding="utf-8"?>
<Properties xmlns="http://schemas.openxmlformats.org/officeDocument/2006/custom-properties" xmlns:vt="http://schemas.openxmlformats.org/officeDocument/2006/docPropsVTypes"/>
</file>