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For this surrogate, the target is derived from pq time-series dry-mass trajectories rather than summary CSV growth averages. This aligns with simulation mechanics: advancement to the next generation is driven by mass accumulation, so per-generation dry-mass fold change is directly tied to viability and growth dynamics.</w:t>
      </w:r>
    </w:p>
    <w:p>
      <w:pPr>
        <w:pStyle w:val="Heading2"/>
      </w:pPr>
      <w:bookmarkStart w:id="21" w:name="notation-and-target-construction"/>
      <w:r>
        <w:t xml:space="preserve">Notation and target construction</w:t>
      </w:r>
      <w:bookmarkEnd w:id="21"/>
    </w:p>
    <w:p>
      <w:pPr>
        <w:pStyle w:val="FirstParagraph"/>
      </w:pPr>
      <w:r>
        <w:t xml:space="preserve">Let run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have a maximum horizon of</w:t>
      </w:r>
      <w:r>
        <w:t xml:space="preserve"> </w:t>
      </w:r>
      <m:oMath>
        <m:r>
          <m:t>G</m:t>
        </m:r>
        <m:r>
          <m:t>=</m:t>
        </m:r>
        <m:r>
          <m:t>8</m:t>
        </m:r>
      </m:oMath>
      <w:r>
        <w:t xml:space="preserve"> </w:t>
      </w:r>
      <w:r>
        <w:t xml:space="preserve">generations.</w:t>
      </w:r>
    </w:p>
    <w:p>
      <w:pPr>
        <w:pStyle w:val="Compact"/>
        <w:numPr>
          <w:numId w:val="1001"/>
          <w:ilvl w:val="0"/>
        </w:numPr>
      </w:pPr>
      <m:oMath>
        <m:sSubSup>
          <m:e>
            <m:r>
              <m:t>M</m:t>
            </m:r>
          </m:e>
          <m:sub>
            <m:r>
              <m:t>i</m:t>
            </m:r>
            <m:r>
              <m:t>,</m:t>
            </m:r>
            <m:r>
              <m:t>g</m:t>
            </m:r>
          </m:sub>
          <m:sup>
            <m:r>
              <m:rPr>
                <m:sty m:val="p"/>
              </m:rPr>
              <m:t>start</m:t>
            </m:r>
          </m:sup>
        </m:sSubSup>
      </m:oMath>
      <w:r>
        <w:t xml:space="preserve">: dry mass at start of generation</w:t>
      </w:r>
      <w:r>
        <w:t xml:space="preserve"> </w:t>
      </w:r>
      <m:oMath>
        <m:r>
          <m:t>g</m:t>
        </m:r>
      </m:oMath>
    </w:p>
    <w:p>
      <w:pPr>
        <w:pStyle w:val="Compact"/>
        <w:numPr>
          <w:numId w:val="1001"/>
          <w:ilvl w:val="0"/>
        </w:numPr>
      </w:pPr>
      <m:oMath>
        <m:sSubSup>
          <m:e>
            <m:r>
              <m:t>M</m:t>
            </m:r>
          </m:e>
          <m:sub>
            <m:r>
              <m:t>i</m:t>
            </m:r>
            <m:r>
              <m:t>,</m:t>
            </m:r>
            <m:r>
              <m:t>g</m:t>
            </m:r>
          </m:sub>
          <m:sup>
            <m:r>
              <m:rPr>
                <m:sty m:val="p"/>
              </m:rPr>
              <m:t>end</m:t>
            </m:r>
          </m:sup>
        </m:sSubSup>
      </m:oMath>
      <w:r>
        <w:t xml:space="preserve">: dry mass at end of generation</w:t>
      </w:r>
      <w:r>
        <w:t xml:space="preserve"> </w:t>
      </w:r>
      <m:oMath>
        <m:r>
          <m:t>g</m:t>
        </m:r>
      </m:oMath>
    </w:p>
    <w:p>
      <w:pPr>
        <w:pStyle w:val="Compact"/>
        <w:numPr>
          <w:numId w:val="1001"/>
          <w:ilvl w:val="0"/>
        </w:numPr>
      </w:pPr>
      <w:r>
        <w:t xml:space="preserve">Per-generation fold change: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,</m:t>
              </m:r>
              <m:r>
                <m:t>g</m:t>
              </m:r>
            </m:sub>
          </m:sSub>
          <m:r>
            <m:t>=</m:t>
          </m:r>
          <m:f>
            <m:fPr>
              <m:type m:val="bar"/>
            </m:fPr>
            <m:num>
              <m:sSubSup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,</m:t>
                  </m:r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end</m:t>
                  </m:r>
                </m:sup>
              </m:sSubSup>
            </m:num>
            <m:den>
              <m:sSubSup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,</m:t>
                  </m:r>
                  <m:r>
                    <m:t>g</m:t>
                  </m:r>
                </m:sub>
                <m:sup>
                  <m:r>
                    <m:rPr>
                      <m:sty m:val="p"/>
                    </m:rPr>
                    <m:t>start</m:t>
                  </m:r>
                </m:sup>
              </m:sSubSup>
            </m:den>
          </m:f>
        </m:oMath>
      </m:oMathPara>
    </w:p>
    <w:p>
      <w:pPr>
        <w:pStyle w:val="Compact"/>
        <w:numPr>
          <w:numId w:val="1001"/>
          <w:ilvl w:val="0"/>
        </w:numPr>
      </w:pPr>
      <w:r>
        <w:t xml:space="preserve">Log fold change:</w:t>
      </w:r>
    </w:p>
    <w:p>
      <w:pPr>
        <w:pStyle w:val="Compac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  <m:r>
                <m:t>,</m:t>
              </m:r>
              <m:r>
                <m:t>g</m:t>
              </m:r>
            </m:sub>
          </m:sSub>
          <m:r>
            <m:t>=</m:t>
          </m:r>
          <m:r>
            <m:rPr>
              <m:sty m:val="p"/>
            </m:rPr>
            <m:t>log</m:t>
          </m:r>
          <m:sSub>
            <m:e>
              <m:r>
                <m:t>f</m:t>
              </m:r>
            </m:e>
            <m:sub>
              <m:r>
                <m:t>i</m:t>
              </m:r>
              <m:r>
                <m:t>,</m:t>
              </m:r>
              <m:r>
                <m:t>g</m:t>
              </m:r>
            </m:sub>
          </m:sSub>
        </m:oMath>
      </m:oMathPara>
    </w:p>
    <w:p>
      <w:pPr>
        <w:pStyle w:val="FirstParagraph"/>
      </w:pPr>
      <w:r>
        <w:t xml:space="preserve">If the run reaches only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  <m:r>
          <m:t>&lt;</m:t>
        </m:r>
        <m:r>
          <m:t>8</m:t>
        </m:r>
      </m:oMath>
      <w:r>
        <w:t xml:space="preserve"> </w:t>
      </w:r>
      <w:r>
        <w:t xml:space="preserve">generations (early termination), define a fixed penalty fold change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pen</m:t>
            </m:r>
          </m:sub>
        </m:sSub>
        <m:r>
          <m:t>∈</m:t>
        </m:r>
        <m:r>
          <m:t>(</m:t>
        </m:r>
        <m:r>
          <m:t>0</m:t>
        </m:r>
        <m:r>
          <m:t>,</m:t>
        </m:r>
        <m:r>
          <m:t>1</m:t>
        </m:r>
        <m:r>
          <m:t>]</m:t>
        </m:r>
      </m:oMath>
      <w:r>
        <w:t xml:space="preserve"> </w:t>
      </w:r>
      <w:r>
        <w:t xml:space="preserve">for missing generations, with</w:t>
      </w:r>
      <w:r>
        <w:t xml:space="preserve"> </w:t>
      </w:r>
      <m:oMath>
        <m:sSub>
          <m:e>
            <m:r>
              <m:t>z</m:t>
            </m:r>
          </m:e>
          <m:sub>
            <m:r>
              <m:rPr>
                <m:sty m:val="p"/>
              </m:rPr>
              <m:t>pen</m:t>
            </m:r>
          </m:sub>
        </m:sSub>
        <m:r>
          <m:t>=</m:t>
        </m:r>
        <m:r>
          <m:rPr>
            <m:sty m:val="p"/>
          </m:rPr>
          <m:t>log</m:t>
        </m:r>
        <m:r>
          <m:t>(</m:t>
        </m:r>
        <m:sSub>
          <m:e>
            <m:r>
              <m:t>f</m:t>
            </m:r>
          </m:e>
          <m:sub>
            <m:r>
              <m:rPr>
                <m:sty m:val="p"/>
              </m:rPr>
              <m:t>pen</m:t>
            </m:r>
          </m:sub>
        </m:sSub>
        <m:r>
          <m:t>)</m:t>
        </m:r>
      </m:oMath>
      <w:r>
        <w:t xml:space="preserve">.</w:t>
      </w:r>
      <w:r>
        <w:t xml:space="preserve"> </w:t>
      </w:r>
      <w:r>
        <w:t xml:space="preserve">The horizon-normalized scalar target is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e>
            <m:sub>
              <m:r>
                <m:t>i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G</m:t>
              </m:r>
            </m:den>
          </m:f>
          <m:d>
            <m:dPr>
              <m:begChr m:val="("/>
              <m:endChr m:val=")"/>
              <m:grow/>
            </m:dPr>
            <m:e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g</m:t>
                  </m:r>
                  <m: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  <m:r>
                        <m:t>,</m:t>
                      </m:r>
                      <m:r>
                        <m:t>g</m:t>
                      </m:r>
                    </m:sub>
                  </m:sSub>
                </m:e>
              </m:nary>
              <m:r>
                <m:t>+</m:t>
              </m:r>
              <m:nary>
                <m:naryPr>
                  <m:chr m:val="∑"/>
                  <m:limLoc m:val="undOvr"/>
                  <m:subHide m:val="0"/>
                  <m:supHide m:val="0"/>
                </m:naryPr>
                <m:sub>
                  <m:r>
                    <m:t>g</m:t>
                  </m:r>
                  <m:r>
                    <m:t>=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+</m:t>
                  </m:r>
                  <m:r>
                    <m:t>1</m:t>
                  </m:r>
                </m:sub>
                <m:sup>
                  <m:r>
                    <m:t>G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rPr>
                          <m:sty m:val="p"/>
                        </m:rPr>
                        <m:t>pen</m:t>
                      </m:r>
                    </m:sub>
                  </m:sSub>
                </m:e>
              </m:nary>
            </m:e>
          </m:d>
          <m: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=</m:t>
          </m:r>
          <m:r>
            <m:rPr>
              <m:sty m:val="p"/>
            </m:rPr>
            <m:t>exp</m:t>
          </m:r>
          <m:r>
            <m:t>(</m:t>
          </m:r>
          <m:sSub>
            <m:e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e>
            <m:sub>
              <m:r>
                <m:t>i</m:t>
              </m:r>
            </m:sub>
          </m:sSub>
          <m:r>
            <m:t>)</m:t>
          </m:r>
          <m:r>
            <m:t>.</m:t>
          </m:r>
        </m:oMath>
      </m:oMathPara>
    </w:p>
    <w:p>
      <w:pPr>
        <w:pStyle w:val="FirstParagraph"/>
      </w:pPr>
      <w:r>
        <w:t xml:space="preserve">Interpretation: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effective per-generation fold-change score over a fixed 8-generation horizon, where early failure is encoded through penalty-filled missing generations.</w:t>
      </w:r>
    </w:p>
    <w:p>
      <w:pPr>
        <w:pStyle w:val="Heading2"/>
      </w:pPr>
      <w:bookmarkStart w:id="22" w:name="why-this-form-is-useful"/>
      <w:r>
        <w:t xml:space="preserve">Why this form is useful</w:t>
      </w:r>
      <w:bookmarkEnd w:id="22"/>
    </w:p>
    <w:p>
      <w:pPr>
        <w:pStyle w:val="Compact"/>
        <w:numPr>
          <w:numId w:val="1002"/>
          <w:ilvl w:val="0"/>
        </w:numPr>
      </w:pPr>
      <w:r>
        <w:t xml:space="preserve">Multiplicative growth becomes additive in log space, making aggregation stable and interpretable.</w:t>
      </w:r>
    </w:p>
    <w:p>
      <w:pPr>
        <w:pStyle w:val="Compact"/>
        <w:numPr>
          <w:numId w:val="1002"/>
          <w:ilvl w:val="0"/>
        </w:numPr>
      </w:pPr>
      <w:r>
        <w:t xml:space="preserve">A fixed horizon gives targets comparable across runs with different stopping points.</w:t>
      </w:r>
    </w:p>
    <w:p>
      <w:pPr>
        <w:pStyle w:val="Compact"/>
        <w:numPr>
          <w:numId w:val="1002"/>
          <w:ilvl w:val="0"/>
        </w:numPr>
      </w:pPr>
      <w:r>
        <w:t xml:space="preserve">Penalty-filling keeps a single scalar regression target while still encoding failure severity.</w:t>
      </w:r>
    </w:p>
    <w:p>
      <w:pPr>
        <w:pStyle w:val="Heading2"/>
      </w:pPr>
      <w:bookmarkStart w:id="23" w:name="possible-training-target"/>
      <w:r>
        <w:t xml:space="preserve">Possible Training target</w:t>
      </w:r>
      <w:bookmarkEnd w:id="23"/>
    </w:p>
    <w:p>
      <w:pPr>
        <w:pStyle w:val="FirstParagraph"/>
      </w:pPr>
      <w:r>
        <w:t xml:space="preserve">Use</w:t>
      </w:r>
      <w:r>
        <w:t xml:space="preserve"> </w:t>
      </w:r>
      <m:oMath>
        <m:sSub>
          <m:e>
            <m:bar>
              <m:barPr>
                <m:pos m:val="top"/>
              </m:barPr>
              <m:e>
                <m:r>
                  <m:t>z</m:t>
                </m:r>
              </m:e>
            </m:bar>
          </m:e>
          <m:sub>
            <m:r>
              <m:t>i</m:t>
            </m:r>
          </m:sub>
        </m:sSub>
      </m:oMath>
      <w:r>
        <w:t xml:space="preserve"> </w:t>
      </w:r>
      <w:r>
        <w:t xml:space="preserve">(log-space target) for regression, then map back with</w:t>
      </w:r>
      <w:r>
        <w:t xml:space="preserve"> </w:t>
      </w:r>
      <m:oMath>
        <m:sSub>
          <m:e>
            <m:groupChr>
              <m:groupChrPr>
                <m:chr m:val="̂"/>
                <m:pos m:val="top"/>
                <m:vertJc m:val="bot"/>
              </m:groupChrPr>
              <m:e>
                <m:r>
                  <m:t>y</m:t>
                </m:r>
              </m:e>
            </m:groupChr>
          </m:e>
          <m:sub>
            <m:r>
              <m:t>i</m:t>
            </m:r>
          </m:sub>
        </m:sSub>
        <m:r>
          <m:t>=</m:t>
        </m:r>
        <m:r>
          <m:rPr>
            <m:sty m:val="p"/>
          </m:rPr>
          <m:t>exp</m:t>
        </m:r>
        <m:r>
          <m:t>(</m:t>
        </m:r>
        <m:sSub>
          <m:e>
            <m:groupChr>
              <m:groupChrPr>
                <m:chr m:val="̂"/>
                <m:pos m:val="top"/>
                <m:vertJc m:val="bot"/>
              </m:groupChrPr>
              <m:e>
                <m:r>
                  <m:t>z</m:t>
                </m:r>
              </m:e>
            </m:groupChr>
          </m:e>
          <m:sub>
            <m:r>
              <m:t>i</m:t>
            </m:r>
          </m:sub>
        </m:sSub>
        <m:r>
          <m:t>)</m:t>
        </m:r>
      </m:oMath>
      <w:r>
        <w:t xml:space="preserve"> </w:t>
      </w:r>
      <w:r>
        <w:t xml:space="preserve">for interpretation.</w:t>
      </w:r>
      <w:r>
        <w:t xml:space="preserve"> </w:t>
      </w:r>
      <w:r>
        <w:t xml:space="preserve">A simple weighted objective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L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i</m:t>
              </m:r>
              <m: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r>
            <m:t>(</m:t>
          </m:r>
          <m:sSub>
            <m:e>
              <m:groupChr>
                <m:groupChrPr>
                  <m:chr m:val="̂"/>
                  <m:pos m:val="top"/>
                  <m:vertJc m:val="bot"/>
                </m:groupChrPr>
                <m:e>
                  <m:r>
                    <m:t>z</m:t>
                  </m:r>
                </m:e>
              </m:groupChr>
            </m:e>
            <m:sub>
              <m:r>
                <m:t>i</m:t>
              </m:r>
            </m:sub>
          </m:sSub>
          <m:r>
            <m:t>−</m:t>
          </m:r>
          <m:sSub>
            <m:e>
              <m:bar>
                <m:barPr>
                  <m:pos m:val="top"/>
                </m:barPr>
                <m:e>
                  <m:r>
                    <m:t>z</m:t>
                  </m:r>
                </m:e>
              </m:bar>
            </m:e>
            <m:sub>
              <m:r>
                <m:t>i</m:t>
              </m:r>
            </m:sub>
          </m:sSub>
          <m:sSup>
            <m:e>
              <m:r>
                <m:t>)</m:t>
              </m:r>
            </m:e>
            <m:sup>
              <m:r>
                <m:t>2</m:t>
              </m:r>
            </m:sup>
          </m:sSup>
          <m:r>
            <m:t>,</m:t>
          </m:r>
          <m:r>
            <m:t> 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=</m:t>
          </m:r>
          <m:r>
            <m:t>1</m:t>
          </m:r>
          <m:r>
            <m:t>+</m:t>
          </m:r>
          <m:r>
            <m:t>λ</m:t>
          </m:r>
          <m:r>
            <m:t> </m:t>
          </m:r>
          <m:r>
            <m:rPr>
              <m:sty m:val="b"/>
            </m:rPr>
            <m:t>1</m:t>
          </m:r>
          <m:r>
            <m:t>[</m:t>
          </m:r>
          <m:sSub>
            <m:e>
              <m:r>
                <m:t>n</m:t>
              </m:r>
            </m:e>
            <m:sub>
              <m:r>
                <m:t>i</m:t>
              </m:r>
            </m:sub>
          </m:sSub>
          <m:r>
            <m:t>&lt;</m:t>
          </m:r>
          <m:r>
            <m:t>8</m:t>
          </m:r>
          <m:r>
            <m:t>]</m:t>
          </m:r>
          <m: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  <m:r>
          <m:t>≥</m:t>
        </m:r>
        <m:r>
          <m:t>0</m:t>
        </m:r>
      </m:oMath>
      <w:r>
        <w:t xml:space="preserve"> </w:t>
      </w:r>
      <w:r>
        <w:t xml:space="preserve">increases emphasis on failed runs if needed.</w:t>
      </w:r>
    </w:p>
    <w:p>
      <w:pPr>
        <w:pStyle w:val="Heading2"/>
      </w:pPr>
      <w:bookmarkStart w:id="24" w:name="notes-on-censoring-semantics"/>
      <w:r>
        <w:t xml:space="preserve">Notes on censoring semantics</w:t>
      </w:r>
      <w:bookmarkEnd w:id="24"/>
    </w:p>
    <w:p>
      <w:pPr>
        <w:pStyle w:val="FirstParagraph"/>
      </w:pPr>
      <w:r>
        <w:t xml:space="preserve">Early-terminated runs are effectively right-censored with respect to full-horizon growth potential. The penalty-fill approach is a pragmatic surrogate-target design that preserves single-output simplicity while reflecting censoring/failure information.</w:t>
      </w:r>
    </w:p>
    <w:p>
      <w:pPr>
        <w:pStyle w:val="Heading2"/>
      </w:pPr>
      <w:bookmarkStart w:id="25" w:name="references"/>
      <w:r>
        <w:t xml:space="preserve">References</w:t>
      </w:r>
      <w:bookmarkEnd w:id="25"/>
    </w:p>
    <w:p>
      <w:pPr>
        <w:pStyle w:val="Compact"/>
        <w:numPr>
          <w:numId w:val="1003"/>
          <w:ilvl w:val="0"/>
        </w:numPr>
      </w:pPr>
      <w:r>
        <w:t xml:space="preserve">Kalbfleisch, J. D., and Prentice, R. L. (2002). The Statistical Analysis of Failure Time Data (2nd ed.).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10ef3fcc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c4d1ba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2026-03-31T11:36:57Z</dcterms:created>
  <dcterms:modified xsi:type="dcterms:W3CDTF">2026-03-31T11:36:57Z</dcterms:modified>
</cp:coreProperties>
</file>