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olor w:val="616161"/>
          <w:sz w:val="22"/>
          <w:szCs w:val="22"/>
        </w:rPr>
        <w:t xml:space="preserve">GOVERNMENT OF GUJARAT</w:t>
      </w:r>
    </w:p>
    <w:p>
      <w:pPr>
        <w:spacing w:after="400"/>
        <w:jc w:val="center"/>
      </w:pPr>
      <w:r>
        <w:rPr>
          <w:b/>
          <w:bCs/>
          <w:color w:val="616161"/>
          <w:sz w:val="22"/>
          <w:szCs w:val="22"/>
        </w:rPr>
        <w:t xml:space="preserve">FOREST DEPARTMENT</w:t>
      </w:r>
    </w:p>
    <w:p>
      <w:pPr>
        <w:spacing w:after="80"/>
        <w:jc w:val="center"/>
      </w:pPr>
      <w:r>
        <w:rPr>
          <w:b/>
          <w:bCs/>
          <w:color w:val="1B5E20"/>
          <w:sz w:val="52"/>
          <w:szCs w:val="52"/>
        </w:rPr>
        <w:t xml:space="preserve">BGDSS</w:t>
      </w:r>
    </w:p>
    <w:p>
      <w:pPr>
        <w:spacing w:after="300"/>
        <w:jc w:val="center"/>
      </w:pPr>
      <w:r>
        <w:rPr>
          <w:b/>
          <w:bCs/>
          <w:color w:val="212121"/>
          <w:sz w:val="26"/>
          <w:szCs w:val="26"/>
        </w:rPr>
        <w:t xml:space="preserve">Beat GIS Decision Support System</w:t>
      </w:r>
    </w:p>
    <w:p>
      <w:pPr>
        <w:spacing w:after="80"/>
        <w:jc w:val="center"/>
      </w:pPr>
      <w:r>
        <w:rPr>
          <w:b/>
          <w:bCs/>
          <w:color w:val="B26A00"/>
          <w:sz w:val="24"/>
          <w:szCs w:val="24"/>
        </w:rPr>
        <w:t xml:space="preserve">A Satellite Data-Driven Model for Forest Restoration Site Selection</w:t>
      </w:r>
    </w:p>
    <w:p>
      <w:pPr>
        <w:spacing w:after="500"/>
      </w:pPr>
    </w:p>
    <w:p>
      <w:pPr>
        <w:spacing w:after="40"/>
        <w:jc w:val="center"/>
      </w:pPr>
      <w:r>
        <w:rPr>
          <w:color w:val="212121"/>
          <w:sz w:val="22"/>
          <w:szCs w:val="22"/>
        </w:rPr>
        <w:t xml:space="preserve">Pilot: Raygadh Range, Sabarkantha Forest Division</w:t>
      </w:r>
    </w:p>
    <w:p>
      <w:pPr>
        <w:spacing w:after="600"/>
        <w:jc w:val="center"/>
      </w:pPr>
      <w:r>
        <w:rPr>
          <w:i/>
          <w:iCs/>
          <w:color w:val="212121"/>
          <w:sz w:val="22"/>
          <w:szCs w:val="22"/>
        </w:rPr>
        <w:t xml:space="preserve">Prepared for PMO / Leadership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8F5E9" w:val="clear"/>
            <w:tcMar>
              <w:top w:type="dxa" w:w="200"/>
              <w:left w:type="dxa" w:w="300"/>
              <w:bottom w:type="dxa" w:w="200"/>
              <w:right w:type="dxa" w:w="300"/>
            </w:tcMar>
          </w:tcPr>
          <w:p>
            <w:pPr>
              <w:jc w:val="center"/>
            </w:pPr>
            <w:r>
              <w:rPr>
                <w:b/>
                <w:bCs/>
                <w:color w:val="1B5E20"/>
                <w:sz w:val="20"/>
                <w:szCs w:val="20"/>
              </w:rPr>
              <w:t xml:space="preserve">Built on Google Earth Engine using GEDI, Sentinel-1/2, Copernicus DEM, MODIS, ISRIC SoilGrids and Hansen Global Forest Change</w:t>
            </w:r>
          </w:p>
          <w:p>
            <w:pPr>
              <w:spacing w:before="80"/>
              <w:jc w:val="center"/>
            </w:pPr>
            <w:r>
              <w:rPr>
                <w:i/>
                <w:iCs/>
                <w:color w:val="212121"/>
                <w:sz w:val="19"/>
                <w:szCs w:val="19"/>
              </w:rPr>
              <w:t xml:space="preserve">Fourteen scored criteria. One reproducible, auditable ranking. Zero field survey cost to generate the first pass.</w:t>
            </w:r>
          </w:p>
        </w:tc>
      </w:tr>
    </w:tbl>
    <w:p>
      <w:r>
        <w:br w:type="page"/>
      </w:r>
    </w:p>
    <w:p>
      <w:pPr>
        <w:pStyle w:val="Heading1"/>
        <w:pBdr>
          <w:bottom w:val="single" w:color="1B5E20" w:sz="8" w:space="4"/>
        </w:pBdr>
        <w:spacing w:after="160" w:before="360"/>
      </w:pPr>
      <w:r>
        <w:rPr>
          <w:b/>
          <w:bCs/>
          <w:color w:val="1B5E20"/>
          <w:sz w:val="30"/>
          <w:szCs w:val="30"/>
        </w:rPr>
        <w:t xml:space="preserve">1.  Executive Summary</w:t>
      </w:r>
    </w:p>
    <w:p>
      <w:pPr>
        <w:spacing w:after="160" w:line="300"/>
      </w:pPr>
      <w:r>
        <w:rPr>
          <w:b w:val="false"/>
          <w:bCs w:val="false"/>
          <w:i w:val="false"/>
          <w:iCs w:val="false"/>
          <w:color w:val="212121"/>
          <w:sz w:val="21"/>
          <w:szCs w:val="21"/>
        </w:rPr>
        <w:t xml:space="preserve">BGDSS is a Google Earth Engine-based decision support system that ranks every hectare of a forest beat for restoration priority — automatically, reproducibly, and using only publicly available satellite data. This briefing covers Module 2, the Plantation / Eco-Restoration Suitability Model, piloted on a beat in Raygadh Range, Sabarkantha Forest Division.</w:t>
      </w:r>
    </w:p>
    <w:p>
      <w:pPr>
        <w:spacing w:after="160" w:line="300"/>
      </w:pPr>
      <w:r>
        <w:rPr>
          <w:b w:val="false"/>
          <w:bCs w:val="false"/>
          <w:i w:val="false"/>
          <w:iCs w:val="false"/>
          <w:color w:val="212121"/>
          <w:sz w:val="21"/>
          <w:szCs w:val="21"/>
        </w:rPr>
        <w:t xml:space="preserve">Instead of nominating restoration sites by field familiarity alone, the model scores every eligible hectare on 14 independent criteria — terrain, soil, hydrology, climate, biomass, invasive species pressure, fire history, and human accessibility — each weighted by explicit, stated logic, and combined into a single, rankable Priority Score. The output is a ranked list of blocks, ready to match against whatever hectare target a funding cycle actually allows.</w:t>
      </w:r>
    </w:p>
    <w:p>
      <w:pPr>
        <w:pStyle w:val="Heading2"/>
        <w:spacing w:after="120" w:before="260"/>
      </w:pPr>
      <w:r>
        <w:rPr>
          <w:b/>
          <w:bCs/>
          <w:color w:val="2E7D32"/>
          <w:sz w:val="24"/>
          <w:szCs w:val="24"/>
        </w:rPr>
        <w:t xml:space="preserve">Why this matters for decision-makers</w:t>
      </w:r>
    </w:p>
    <w:p>
      <w:pPr>
        <w:pStyle w:val="ListParagraph"/>
        <w:numPr>
          <w:ilvl w:val="0"/>
          <w:numId w:val="1"/>
        </w:numPr>
        <w:spacing w:after="100"/>
      </w:pPr>
      <w:r>
        <w:rPr>
          <w:b w:val="false"/>
          <w:bCs w:val="false"/>
          <w:color w:val="212121"/>
          <w:sz w:val="21"/>
          <w:szCs w:val="21"/>
        </w:rPr>
        <w:t xml:space="preserve">Removes guesswork from site selection: every recommended hectare is traceable to a specific, named, citable reason.</w:t>
      </w:r>
    </w:p>
    <w:p>
      <w:pPr>
        <w:pStyle w:val="ListParagraph"/>
        <w:numPr>
          <w:ilvl w:val="0"/>
          <w:numId w:val="1"/>
        </w:numPr>
        <w:spacing w:after="100"/>
      </w:pPr>
      <w:r>
        <w:rPr>
          <w:b w:val="false"/>
          <w:bCs w:val="false"/>
          <w:color w:val="212121"/>
          <w:sz w:val="21"/>
          <w:szCs w:val="21"/>
        </w:rPr>
        <w:t xml:space="preserve">Uses the same class of satellite instruments used in international climate and conservation science — not assumptions or anecdote.</w:t>
      </w:r>
    </w:p>
    <w:p>
      <w:pPr>
        <w:pStyle w:val="ListParagraph"/>
        <w:numPr>
          <w:ilvl w:val="0"/>
          <w:numId w:val="1"/>
        </w:numPr>
        <w:spacing w:after="100"/>
      </w:pPr>
      <w:r>
        <w:rPr>
          <w:b w:val="false"/>
          <w:bCs w:val="false"/>
          <w:color w:val="212121"/>
          <w:sz w:val="21"/>
          <w:szCs w:val="21"/>
        </w:rPr>
        <w:t xml:space="preserve">Runs the entire beat in minutes, at zero incremental field-survey cost for the first pass.</w:t>
      </w:r>
    </w:p>
    <w:p>
      <w:pPr>
        <w:pStyle w:val="ListParagraph"/>
        <w:numPr>
          <w:ilvl w:val="0"/>
          <w:numId w:val="1"/>
        </w:numPr>
        <w:spacing w:after="100"/>
      </w:pPr>
      <w:r>
        <w:rPr>
          <w:b w:val="false"/>
          <w:bCs w:val="false"/>
          <w:color w:val="212121"/>
          <w:sz w:val="21"/>
          <w:szCs w:val="21"/>
        </w:rPr>
        <w:t xml:space="preserve">Scales directly: the same script re-run on a different beat boundary produces the same rigor, Range-wide or Division-wide.</w:t>
      </w:r>
    </w:p>
    <w:p>
      <w:pPr>
        <w:pStyle w:val="ListParagraph"/>
        <w:numPr>
          <w:ilvl w:val="0"/>
          <w:numId w:val="1"/>
        </w:numPr>
        <w:spacing w:after="100"/>
      </w:pPr>
      <w:r>
        <w:rPr>
          <w:b w:val="false"/>
          <w:bCs w:val="false"/>
          <w:color w:val="212121"/>
          <w:sz w:val="21"/>
          <w:szCs w:val="21"/>
        </w:rPr>
        <w:t xml:space="preserve">Every score, weight, and dataset is documented and auditable — this briefing is that documentation.</w:t>
      </w:r>
    </w:p>
    <w:p>
      <w:pPr>
        <w:pBdr>
          <w:left w:val="single" w:color="B26A00" w:sz="18" w:space="6"/>
        </w:pBdr>
        <w:shd w:fill="FFF8E1" w:val="clear"/>
        <w:spacing w:after="160"/>
        <w:ind w:left="120"/>
      </w:pPr>
      <w:r>
        <w:rPr>
          <w:b/>
          <w:bCs/>
          <w:color w:val="B26A00"/>
          <w:sz w:val="20"/>
          <w:szCs w:val="20"/>
        </w:rPr>
        <w:t xml:space="preserve">STATUS: </w:t>
      </w:r>
      <w:r>
        <w:rPr>
          <w:i/>
          <w:iCs/>
          <w:color w:val="212121"/>
          <w:sz w:val="20"/>
          <w:szCs w:val="20"/>
        </w:rPr>
        <w:t xml:space="preserve">This is the pilot stage. Two of the fourteen criteria are running on neutral placeholders pending two data layers (village/road locations, wildlife corridor boundary) that the Range can supply at any time — see Section 7.</w:t>
      </w:r>
    </w:p>
    <w:p>
      <w:r>
        <w:br w:type="page"/>
      </w:r>
    </w:p>
    <w:p>
      <w:pPr>
        <w:pStyle w:val="Heading1"/>
        <w:pBdr>
          <w:bottom w:val="single" w:color="1B5E20" w:sz="8" w:space="4"/>
        </w:pBdr>
        <w:spacing w:after="160" w:before="360"/>
      </w:pPr>
      <w:r>
        <w:rPr>
          <w:b/>
          <w:bCs/>
          <w:color w:val="1B5E20"/>
          <w:sz w:val="30"/>
          <w:szCs w:val="30"/>
        </w:rPr>
        <w:t xml:space="preserve">2.  The Approach</w:t>
      </w:r>
    </w:p>
    <w:p>
      <w:pPr>
        <w:pStyle w:val="Heading2"/>
        <w:spacing w:after="120" w:before="260"/>
      </w:pPr>
      <w:r>
        <w:rPr>
          <w:b/>
          <w:bCs/>
          <w:color w:val="2E7D32"/>
          <w:sz w:val="24"/>
          <w:szCs w:val="24"/>
        </w:rPr>
        <w:t xml:space="preserve">The problem with ad hoc site selection</w:t>
      </w:r>
    </w:p>
    <w:p>
      <w:pPr>
        <w:spacing w:after="160" w:line="300"/>
      </w:pPr>
      <w:r>
        <w:rPr>
          <w:b w:val="false"/>
          <w:bCs w:val="false"/>
          <w:i w:val="false"/>
          <w:iCs w:val="false"/>
          <w:color w:val="212121"/>
          <w:sz w:val="21"/>
          <w:szCs w:val="21"/>
        </w:rPr>
        <w:t xml:space="preserve">Restoration funding is finite, and site selection has traditionally relied on field officer familiarity with the terrain. That knowledge is valuable but not scalable, not easily audited by a funding authority, and not able to weigh a dozen factors simultaneously and consistently across every hectare of a beat.</w:t>
      </w:r>
    </w:p>
    <w:p>
      <w:pPr>
        <w:pStyle w:val="Heading2"/>
        <w:spacing w:after="120" w:before="260"/>
      </w:pPr>
      <w:r>
        <w:rPr>
          <w:b/>
          <w:bCs/>
          <w:color w:val="2E7D32"/>
          <w:sz w:val="24"/>
          <w:szCs w:val="24"/>
        </w:rPr>
        <w:t xml:space="preserve">The BGDSS approach</w:t>
      </w:r>
    </w:p>
    <w:p>
      <w:pPr>
        <w:spacing w:after="160" w:line="300"/>
      </w:pPr>
      <w:r>
        <w:rPr>
          <w:b w:val="false"/>
          <w:bCs w:val="false"/>
          <w:i w:val="false"/>
          <w:iCs w:val="false"/>
          <w:color w:val="212121"/>
          <w:sz w:val="21"/>
          <w:szCs w:val="21"/>
        </w:rPr>
        <w:t xml:space="preserve">Every pixel of the beat is tested against a set of hard exclusion rules first (already-forested land, water, cropland, built-up areas, unworkable slopes, bare rock) to isolate genuinely eligible land. Every eligible hectare is then scored on 14 weighted criteria, each stretched to reflect the real range of conditions found in this specific beat — not a generic assumption imported from elsewhere. The result is one Priority Score per hectare, and a ranked, exportable list of blocks ready for field verification and funding submission.</w:t>
      </w:r>
    </w:p>
    <w:p>
      <w:pPr>
        <w:pStyle w:val="Heading1"/>
        <w:pBdr>
          <w:bottom w:val="single" w:color="1B5E20" w:sz="8" w:space="4"/>
        </w:pBdr>
        <w:spacing w:after="160" w:before="360"/>
      </w:pPr>
      <w:r>
        <w:rPr>
          <w:b/>
          <w:bCs/>
          <w:color w:val="1B5E20"/>
          <w:sz w:val="30"/>
          <w:szCs w:val="30"/>
        </w:rPr>
        <w:t xml:space="preserve">3.  Technology Foundation</w:t>
      </w:r>
    </w:p>
    <w:p>
      <w:pPr>
        <w:spacing w:after="160" w:line="300"/>
      </w:pPr>
      <w:r>
        <w:rPr>
          <w:b w:val="false"/>
          <w:bCs w:val="false"/>
          <w:i w:val="false"/>
          <w:iCs w:val="false"/>
          <w:color w:val="212121"/>
          <w:sz w:val="21"/>
          <w:szCs w:val="21"/>
        </w:rPr>
        <w:t xml:space="preserve">The model runs entirely on Google Earth Engine, drawing on the same publicly available satellite missions used in international forestry and climate science: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93"/>
        <w:gridCol w:w="5653"/>
      </w:tblGrid>
      <w:tr>
        <w:trPr>
          <w:tblHeader/>
        </w:trPr>
        <w:tc>
          <w:tcPr>
            <w:tcW w:type="dxa" w:w="4093"/>
            <w:shd w:fill="1B5E20" w:val="clear"/>
            <w:tcMar>
              <w:top w:type="dxa" w:w="80"/>
              <w:left w:type="dxa" w:w="100"/>
              <w:bottom w:type="dxa" w:w="80"/>
              <w:right w:type="dxa" w:w="100"/>
            </w:tcMar>
            <w:vAlign w:val="center"/>
          </w:tcPr>
          <w:p>
            <w:pPr>
              <w:jc w:val="left"/>
            </w:pPr>
            <w:r>
              <w:rPr>
                <w:b/>
                <w:bCs/>
                <w:color w:val="FFFFFF"/>
                <w:sz w:val="18"/>
                <w:szCs w:val="18"/>
              </w:rPr>
              <w:t xml:space="preserve">Data Source</w:t>
            </w:r>
          </w:p>
        </w:tc>
        <w:tc>
          <w:tcPr>
            <w:tcW w:type="dxa" w:w="5653"/>
            <w:shd w:fill="1B5E20" w:val="clear"/>
            <w:tcMar>
              <w:top w:type="dxa" w:w="80"/>
              <w:left w:type="dxa" w:w="100"/>
              <w:bottom w:type="dxa" w:w="80"/>
              <w:right w:type="dxa" w:w="100"/>
            </w:tcMar>
            <w:vAlign w:val="center"/>
          </w:tcPr>
          <w:p>
            <w:pPr>
              <w:jc w:val="left"/>
            </w:pPr>
            <w:r>
              <w:rPr>
                <w:b/>
                <w:bCs/>
                <w:color w:val="FFFFFF"/>
                <w:sz w:val="18"/>
                <w:szCs w:val="18"/>
              </w:rPr>
              <w:t xml:space="preserve">What It Provides</w:t>
            </w:r>
          </w:p>
        </w:tc>
      </w:tr>
      <w:tr>
        <w:tc>
          <w:tcPr>
            <w:tcW w:type="dxa" w:w="4093"/>
            <w:tcMar>
              <w:top w:type="dxa" w:w="60"/>
              <w:left w:type="dxa" w:w="100"/>
              <w:bottom w:type="dxa" w:w="60"/>
              <w:right w:type="dxa" w:w="100"/>
            </w:tcMar>
            <w:vAlign w:val="center"/>
          </w:tcPr>
          <w:p>
            <w:pPr>
              <w:jc w:val="left"/>
            </w:pPr>
            <w:r>
              <w:rPr>
                <w:b w:val="false"/>
                <w:bCs w:val="false"/>
                <w:color w:val="212121"/>
                <w:sz w:val="18"/>
                <w:szCs w:val="18"/>
              </w:rPr>
              <w:t xml:space="preserve">GEDI (NASA, spaceborne lidar aboard the ISS)</w:t>
            </w:r>
          </w:p>
        </w:tc>
        <w:tc>
          <w:tcPr>
            <w:tcW w:type="dxa" w:w="5653"/>
            <w:tcMar>
              <w:top w:type="dxa" w:w="60"/>
              <w:left w:type="dxa" w:w="100"/>
              <w:bottom w:type="dxa" w:w="60"/>
              <w:right w:type="dxa" w:w="100"/>
            </w:tcMar>
            <w:vAlign w:val="center"/>
          </w:tcPr>
          <w:p>
            <w:pPr>
              <w:jc w:val="left"/>
            </w:pPr>
            <w:r>
              <w:rPr>
                <w:b w:val="false"/>
                <w:bCs w:val="false"/>
                <w:color w:val="212121"/>
                <w:sz w:val="18"/>
                <w:szCs w:val="18"/>
              </w:rPr>
              <w:t xml:space="preserve">Direct measurement of forest biomass and canopy structure — not a greenness proxy</w:t>
            </w:r>
          </w:p>
        </w:tc>
      </w:tr>
      <w:tr>
        <w:tc>
          <w:tcPr>
            <w:tcW w:type="dxa" w:w="4093"/>
            <w:shd w:fill="E8F5E9" w:val="clear"/>
            <w:tcMar>
              <w:top w:type="dxa" w:w="60"/>
              <w:left w:type="dxa" w:w="100"/>
              <w:bottom w:type="dxa" w:w="60"/>
              <w:right w:type="dxa" w:w="100"/>
            </w:tcMar>
            <w:vAlign w:val="center"/>
          </w:tcPr>
          <w:p>
            <w:pPr>
              <w:jc w:val="left"/>
            </w:pPr>
            <w:r>
              <w:rPr>
                <w:b w:val="false"/>
                <w:bCs w:val="false"/>
                <w:color w:val="212121"/>
                <w:sz w:val="18"/>
                <w:szCs w:val="18"/>
              </w:rPr>
              <w:t xml:space="preserve">Sentinel-1 &amp; Sentinel-2 (ESA Copernicus)</w:t>
            </w:r>
          </w:p>
        </w:tc>
        <w:tc>
          <w:tcPr>
            <w:tcW w:type="dxa" w:w="5653"/>
            <w:shd w:fill="E8F5E9" w:val="clear"/>
            <w:tcMar>
              <w:top w:type="dxa" w:w="60"/>
              <w:left w:type="dxa" w:w="100"/>
              <w:bottom w:type="dxa" w:w="60"/>
              <w:right w:type="dxa" w:w="100"/>
            </w:tcMar>
            <w:vAlign w:val="center"/>
          </w:tcPr>
          <w:p>
            <w:pPr>
              <w:jc w:val="left"/>
            </w:pPr>
            <w:r>
              <w:rPr>
                <w:b w:val="false"/>
                <w:bCs w:val="false"/>
                <w:color w:val="212121"/>
                <w:sz w:val="18"/>
                <w:szCs w:val="18"/>
              </w:rPr>
              <w:t xml:space="preserve">High-resolution optical and radar imagery — vegetation health, land cover, seasonal change</w:t>
            </w:r>
          </w:p>
        </w:tc>
      </w:tr>
      <w:tr>
        <w:tc>
          <w:tcPr>
            <w:tcW w:type="dxa" w:w="4093"/>
            <w:tcMar>
              <w:top w:type="dxa" w:w="60"/>
              <w:left w:type="dxa" w:w="100"/>
              <w:bottom w:type="dxa" w:w="60"/>
              <w:right w:type="dxa" w:w="100"/>
            </w:tcMar>
            <w:vAlign w:val="center"/>
          </w:tcPr>
          <w:p>
            <w:pPr>
              <w:jc w:val="left"/>
            </w:pPr>
            <w:r>
              <w:rPr>
                <w:b w:val="false"/>
                <w:bCs w:val="false"/>
                <w:color w:val="212121"/>
                <w:sz w:val="18"/>
                <w:szCs w:val="18"/>
              </w:rPr>
              <w:t xml:space="preserve">Copernicus DEM GLO-30</w:t>
            </w:r>
          </w:p>
        </w:tc>
        <w:tc>
          <w:tcPr>
            <w:tcW w:type="dxa" w:w="5653"/>
            <w:tcMar>
              <w:top w:type="dxa" w:w="60"/>
              <w:left w:type="dxa" w:w="100"/>
              <w:bottom w:type="dxa" w:w="60"/>
              <w:right w:type="dxa" w:w="100"/>
            </w:tcMar>
            <w:vAlign w:val="center"/>
          </w:tcPr>
          <w:p>
            <w:pPr>
              <w:jc w:val="left"/>
            </w:pPr>
            <w:r>
              <w:rPr>
                <w:b w:val="false"/>
                <w:bCs w:val="false"/>
                <w:color w:val="212121"/>
                <w:sz w:val="18"/>
                <w:szCs w:val="18"/>
              </w:rPr>
              <w:t xml:space="preserve">30 m global elevation model — slope, aspect, terrain position</w:t>
            </w:r>
          </w:p>
        </w:tc>
      </w:tr>
      <w:tr>
        <w:tc>
          <w:tcPr>
            <w:tcW w:type="dxa" w:w="4093"/>
            <w:shd w:fill="E8F5E9" w:val="clear"/>
            <w:tcMar>
              <w:top w:type="dxa" w:w="60"/>
              <w:left w:type="dxa" w:w="100"/>
              <w:bottom w:type="dxa" w:w="60"/>
              <w:right w:type="dxa" w:w="100"/>
            </w:tcMar>
            <w:vAlign w:val="center"/>
          </w:tcPr>
          <w:p>
            <w:pPr>
              <w:jc w:val="left"/>
            </w:pPr>
            <w:r>
              <w:rPr>
                <w:b w:val="false"/>
                <w:bCs w:val="false"/>
                <w:color w:val="212121"/>
                <w:sz w:val="18"/>
                <w:szCs w:val="18"/>
              </w:rPr>
              <w:t xml:space="preserve">MERIT Hydro</w:t>
            </w:r>
          </w:p>
        </w:tc>
        <w:tc>
          <w:tcPr>
            <w:tcW w:type="dxa" w:w="5653"/>
            <w:shd w:fill="E8F5E9" w:val="clear"/>
            <w:tcMar>
              <w:top w:type="dxa" w:w="60"/>
              <w:left w:type="dxa" w:w="100"/>
              <w:bottom w:type="dxa" w:w="60"/>
              <w:right w:type="dxa" w:w="100"/>
            </w:tcMar>
            <w:vAlign w:val="center"/>
          </w:tcPr>
          <w:p>
            <w:pPr>
              <w:jc w:val="left"/>
            </w:pPr>
            <w:r>
              <w:rPr>
                <w:b w:val="false"/>
                <w:bCs w:val="false"/>
                <w:color w:val="212121"/>
                <w:sz w:val="18"/>
                <w:szCs w:val="18"/>
              </w:rPr>
              <w:t xml:space="preserve">Drainage network and terrain-moisture positioning</w:t>
            </w:r>
          </w:p>
        </w:tc>
      </w:tr>
      <w:tr>
        <w:tc>
          <w:tcPr>
            <w:tcW w:type="dxa" w:w="4093"/>
            <w:tcMar>
              <w:top w:type="dxa" w:w="60"/>
              <w:left w:type="dxa" w:w="100"/>
              <w:bottom w:type="dxa" w:w="60"/>
              <w:right w:type="dxa" w:w="100"/>
            </w:tcMar>
            <w:vAlign w:val="center"/>
          </w:tcPr>
          <w:p>
            <w:pPr>
              <w:jc w:val="left"/>
            </w:pPr>
            <w:r>
              <w:rPr>
                <w:b w:val="false"/>
                <w:bCs w:val="false"/>
                <w:color w:val="212121"/>
                <w:sz w:val="18"/>
                <w:szCs w:val="18"/>
              </w:rPr>
              <w:t xml:space="preserve">MODIS (NASA Aqua/Terra) + Landsat 8</w:t>
            </w:r>
          </w:p>
        </w:tc>
        <w:tc>
          <w:tcPr>
            <w:tcW w:type="dxa" w:w="5653"/>
            <w:tcMar>
              <w:top w:type="dxa" w:w="60"/>
              <w:left w:type="dxa" w:w="100"/>
              <w:bottom w:type="dxa" w:w="60"/>
              <w:right w:type="dxa" w:w="100"/>
            </w:tcMar>
            <w:vAlign w:val="center"/>
          </w:tcPr>
          <w:p>
            <w:pPr>
              <w:jc w:val="left"/>
            </w:pPr>
            <w:r>
              <w:rPr>
                <w:b w:val="false"/>
                <w:bCs w:val="false"/>
                <w:color w:val="212121"/>
                <w:sz w:val="18"/>
                <w:szCs w:val="18"/>
              </w:rPr>
              <w:t xml:space="preserve">Land surface temperature and 20+ years of fire history</w:t>
            </w:r>
          </w:p>
        </w:tc>
      </w:tr>
      <w:tr>
        <w:tc>
          <w:tcPr>
            <w:tcW w:type="dxa" w:w="4093"/>
            <w:shd w:fill="E8F5E9" w:val="clear"/>
            <w:tcMar>
              <w:top w:type="dxa" w:w="60"/>
              <w:left w:type="dxa" w:w="100"/>
              <w:bottom w:type="dxa" w:w="60"/>
              <w:right w:type="dxa" w:w="100"/>
            </w:tcMar>
            <w:vAlign w:val="center"/>
          </w:tcPr>
          <w:p>
            <w:pPr>
              <w:jc w:val="left"/>
            </w:pPr>
            <w:r>
              <w:rPr>
                <w:b w:val="false"/>
                <w:bCs w:val="false"/>
                <w:color w:val="212121"/>
                <w:sz w:val="18"/>
                <w:szCs w:val="18"/>
              </w:rPr>
              <w:t xml:space="preserve">ISRIC SoilGrids v2</w:t>
            </w:r>
          </w:p>
        </w:tc>
        <w:tc>
          <w:tcPr>
            <w:tcW w:type="dxa" w:w="5653"/>
            <w:shd w:fill="E8F5E9" w:val="clear"/>
            <w:tcMar>
              <w:top w:type="dxa" w:w="60"/>
              <w:left w:type="dxa" w:w="100"/>
              <w:bottom w:type="dxa" w:w="60"/>
              <w:right w:type="dxa" w:w="100"/>
            </w:tcMar>
            <w:vAlign w:val="center"/>
          </w:tcPr>
          <w:p>
            <w:pPr>
              <w:jc w:val="left"/>
            </w:pPr>
            <w:r>
              <w:rPr>
                <w:b w:val="false"/>
                <w:bCs w:val="false"/>
                <w:color w:val="212121"/>
                <w:sz w:val="18"/>
                <w:szCs w:val="18"/>
              </w:rPr>
              <w:t xml:space="preserve">Global soil property maps — water-holding capacity, organic carbon, texture</w:t>
            </w:r>
          </w:p>
        </w:tc>
      </w:tr>
      <w:tr>
        <w:tc>
          <w:tcPr>
            <w:tcW w:type="dxa" w:w="4093"/>
            <w:tcMar>
              <w:top w:type="dxa" w:w="60"/>
              <w:left w:type="dxa" w:w="100"/>
              <w:bottom w:type="dxa" w:w="60"/>
              <w:right w:type="dxa" w:w="100"/>
            </w:tcMar>
            <w:vAlign w:val="center"/>
          </w:tcPr>
          <w:p>
            <w:pPr>
              <w:jc w:val="left"/>
            </w:pPr>
            <w:r>
              <w:rPr>
                <w:b w:val="false"/>
                <w:bCs w:val="false"/>
                <w:color w:val="212121"/>
                <w:sz w:val="18"/>
                <w:szCs w:val="18"/>
              </w:rPr>
              <w:t xml:space="preserve">Hansen Global Forest Change (University of Maryland)</w:t>
            </w:r>
          </w:p>
        </w:tc>
        <w:tc>
          <w:tcPr>
            <w:tcW w:type="dxa" w:w="5653"/>
            <w:tcMar>
              <w:top w:type="dxa" w:w="60"/>
              <w:left w:type="dxa" w:w="100"/>
              <w:bottom w:type="dxa" w:w="60"/>
              <w:right w:type="dxa" w:w="100"/>
            </w:tcMar>
            <w:vAlign w:val="center"/>
          </w:tcPr>
          <w:p>
            <w:pPr>
              <w:jc w:val="left"/>
            </w:pPr>
            <w:r>
              <w:rPr>
                <w:b w:val="false"/>
                <w:bCs w:val="false"/>
                <w:color w:val="212121"/>
                <w:sz w:val="18"/>
                <w:szCs w:val="18"/>
              </w:rPr>
              <w:t xml:space="preserve">Annually updated global forest cover and loss</w:t>
            </w:r>
          </w:p>
        </w:tc>
      </w:tr>
      <w:tr>
        <w:tc>
          <w:tcPr>
            <w:tcW w:type="dxa" w:w="4093"/>
            <w:shd w:fill="E8F5E9" w:val="clear"/>
            <w:tcMar>
              <w:top w:type="dxa" w:w="60"/>
              <w:left w:type="dxa" w:w="100"/>
              <w:bottom w:type="dxa" w:w="60"/>
              <w:right w:type="dxa" w:w="100"/>
            </w:tcMar>
            <w:vAlign w:val="center"/>
          </w:tcPr>
          <w:p>
            <w:pPr>
              <w:jc w:val="left"/>
            </w:pPr>
            <w:r>
              <w:rPr>
                <w:b w:val="false"/>
                <w:bCs w:val="false"/>
                <w:color w:val="212121"/>
                <w:sz w:val="18"/>
                <w:szCs w:val="18"/>
              </w:rPr>
              <w:t xml:space="preserve">ESA WorldCover / Google Dynamic World</w:t>
            </w:r>
          </w:p>
        </w:tc>
        <w:tc>
          <w:tcPr>
            <w:tcW w:type="dxa" w:w="5653"/>
            <w:shd w:fill="E8F5E9" w:val="clear"/>
            <w:tcMar>
              <w:top w:type="dxa" w:w="60"/>
              <w:left w:type="dxa" w:w="100"/>
              <w:bottom w:type="dxa" w:w="60"/>
              <w:right w:type="dxa" w:w="100"/>
            </w:tcMar>
            <w:vAlign w:val="center"/>
          </w:tcPr>
          <w:p>
            <w:pPr>
              <w:jc w:val="left"/>
            </w:pPr>
            <w:r>
              <w:rPr>
                <w:b w:val="false"/>
                <w:bCs w:val="false"/>
                <w:color w:val="212121"/>
                <w:sz w:val="18"/>
                <w:szCs w:val="18"/>
              </w:rPr>
              <w:t xml:space="preserve">Detailed, current land-cover classification</w:t>
            </w:r>
          </w:p>
        </w:tc>
      </w:tr>
      <w:tr>
        <w:tc>
          <w:tcPr>
            <w:tcW w:type="dxa" w:w="4093"/>
            <w:tcMar>
              <w:top w:type="dxa" w:w="60"/>
              <w:left w:type="dxa" w:w="100"/>
              <w:bottom w:type="dxa" w:w="60"/>
              <w:right w:type="dxa" w:w="100"/>
            </w:tcMar>
            <w:vAlign w:val="center"/>
          </w:tcPr>
          <w:p>
            <w:pPr>
              <w:jc w:val="left"/>
            </w:pPr>
            <w:r>
              <w:rPr>
                <w:b w:val="false"/>
                <w:bCs w:val="false"/>
                <w:color w:val="212121"/>
                <w:sz w:val="18"/>
                <w:szCs w:val="18"/>
              </w:rPr>
              <w:t xml:space="preserve">CHIRPS (UCSB Climate Hazards Group)</w:t>
            </w:r>
          </w:p>
        </w:tc>
        <w:tc>
          <w:tcPr>
            <w:tcW w:type="dxa" w:w="5653"/>
            <w:tcMar>
              <w:top w:type="dxa" w:w="60"/>
              <w:left w:type="dxa" w:w="100"/>
              <w:bottom w:type="dxa" w:w="60"/>
              <w:right w:type="dxa" w:w="100"/>
            </w:tcMar>
            <w:vAlign w:val="center"/>
          </w:tcPr>
          <w:p>
            <w:pPr>
              <w:jc w:val="left"/>
            </w:pPr>
            <w:r>
              <w:rPr>
                <w:b w:val="false"/>
                <w:bCs w:val="false"/>
                <w:color w:val="212121"/>
                <w:sz w:val="18"/>
                <w:szCs w:val="18"/>
              </w:rPr>
              <w:t xml:space="preserve">40+ years of daily rainfall data</w:t>
            </w:r>
          </w:p>
        </w:tc>
      </w:tr>
    </w:tbl>
    <w:p>
      <w:pPr>
        <w:spacing w:after="160"/>
      </w:pPr>
    </w:p>
    <w:p>
      <w:pPr>
        <w:spacing w:after="160" w:line="300"/>
      </w:pPr>
      <w:r>
        <w:rPr>
          <w:b w:val="false"/>
          <w:bCs w:val="false"/>
          <w:i/>
          <w:iCs/>
          <w:color w:val="212121"/>
          <w:sz w:val="21"/>
          <w:szCs w:val="21"/>
        </w:rPr>
        <w:t xml:space="preserve">All of this is free, public, continuously updated, and independently verifiable — anyone with Earth Engine access can reproduce this exact analysis.</w:t>
      </w:r>
    </w:p>
    <w:p>
      <w:r>
        <w:br w:type="page"/>
      </w:r>
    </w:p>
    <w:p>
      <w:pPr>
        <w:pStyle w:val="Heading1"/>
        <w:pBdr>
          <w:bottom w:val="single" w:color="1B5E20" w:sz="8" w:space="4"/>
        </w:pBdr>
        <w:spacing w:after="160" w:before="360"/>
      </w:pPr>
      <w:r>
        <w:rPr>
          <w:b/>
          <w:bCs/>
          <w:color w:val="1B5E20"/>
          <w:sz w:val="30"/>
          <w:szCs w:val="30"/>
        </w:rPr>
        <w:t xml:space="preserve">4.  The 14-Criterion Model</w:t>
      </w:r>
    </w:p>
    <w:p>
      <w:pPr>
        <w:spacing w:after="160" w:line="300"/>
      </w:pPr>
      <w:r>
        <w:rPr>
          <w:b w:val="false"/>
          <w:bCs w:val="false"/>
          <w:i w:val="false"/>
          <w:iCs w:val="false"/>
          <w:color w:val="212121"/>
          <w:sz w:val="21"/>
          <w:szCs w:val="21"/>
        </w:rPr>
        <w:t xml:space="preserve">Every criterion below is built from a named, public dataset, scored on a 0–100% scale calibrated to this beat’s own real conditions, and combined by weight into one Priority Score. The weights were set deliberately, not guessed — heavier weight on the factors most responsible for restoration success or failure in this landscape.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1"/>
        <w:gridCol w:w="742"/>
        <w:gridCol w:w="2754"/>
        <w:gridCol w:w="3920"/>
      </w:tblGrid>
      <w:tr>
        <w:trPr>
          <w:tblHeader/>
        </w:trPr>
        <w:tc>
          <w:tcPr>
            <w:tcW w:type="dxa" w:w="2331"/>
            <w:shd w:fill="1B5E20" w:val="clear"/>
            <w:tcMar>
              <w:top w:type="dxa" w:w="80"/>
              <w:left w:type="dxa" w:w="100"/>
              <w:bottom w:type="dxa" w:w="80"/>
              <w:right w:type="dxa" w:w="100"/>
            </w:tcMar>
            <w:vAlign w:val="center"/>
          </w:tcPr>
          <w:p>
            <w:pPr>
              <w:jc w:val="left"/>
            </w:pPr>
            <w:r>
              <w:rPr>
                <w:b/>
                <w:bCs/>
                <w:color w:val="FFFFFF"/>
                <w:sz w:val="18"/>
                <w:szCs w:val="18"/>
              </w:rPr>
              <w:t xml:space="preserve">Criterion</w:t>
            </w:r>
          </w:p>
        </w:tc>
        <w:tc>
          <w:tcPr>
            <w:tcW w:type="dxa" w:w="742"/>
            <w:shd w:fill="1B5E20" w:val="clear"/>
            <w:tcMar>
              <w:top w:type="dxa" w:w="80"/>
              <w:left w:type="dxa" w:w="100"/>
              <w:bottom w:type="dxa" w:w="80"/>
              <w:right w:type="dxa" w:w="100"/>
            </w:tcMar>
            <w:vAlign w:val="center"/>
          </w:tcPr>
          <w:p>
            <w:pPr>
              <w:jc w:val="left"/>
            </w:pPr>
            <w:r>
              <w:rPr>
                <w:b/>
                <w:bCs/>
                <w:color w:val="FFFFFF"/>
                <w:sz w:val="18"/>
                <w:szCs w:val="18"/>
              </w:rPr>
              <w:t xml:space="preserve">Weight</w:t>
            </w:r>
          </w:p>
        </w:tc>
        <w:tc>
          <w:tcPr>
            <w:tcW w:type="dxa" w:w="2754"/>
            <w:shd w:fill="1B5E20" w:val="clear"/>
            <w:tcMar>
              <w:top w:type="dxa" w:w="80"/>
              <w:left w:type="dxa" w:w="100"/>
              <w:bottom w:type="dxa" w:w="80"/>
              <w:right w:type="dxa" w:w="100"/>
            </w:tcMar>
            <w:vAlign w:val="center"/>
          </w:tcPr>
          <w:p>
            <w:pPr>
              <w:jc w:val="left"/>
            </w:pPr>
            <w:r>
              <w:rPr>
                <w:b/>
                <w:bCs/>
                <w:color w:val="FFFFFF"/>
                <w:sz w:val="18"/>
                <w:szCs w:val="18"/>
              </w:rPr>
              <w:t xml:space="preserve">Data Source</w:t>
            </w:r>
          </w:p>
        </w:tc>
        <w:tc>
          <w:tcPr>
            <w:tcW w:type="dxa" w:w="3920"/>
            <w:shd w:fill="1B5E20" w:val="clear"/>
            <w:tcMar>
              <w:top w:type="dxa" w:w="80"/>
              <w:left w:type="dxa" w:w="100"/>
              <w:bottom w:type="dxa" w:w="80"/>
              <w:right w:type="dxa" w:w="100"/>
            </w:tcMar>
            <w:vAlign w:val="center"/>
          </w:tcPr>
          <w:p>
            <w:pPr>
              <w:jc w:val="left"/>
            </w:pPr>
            <w:r>
              <w:rPr>
                <w:b/>
                <w:bCs/>
                <w:color w:val="FFFFFF"/>
                <w:sz w:val="18"/>
                <w:szCs w:val="18"/>
              </w:rPr>
              <w:t xml:space="preserve">Why It Matters</w:t>
            </w:r>
          </w:p>
        </w:tc>
      </w:tr>
      <w:tr>
        <w:tc>
          <w:tcPr>
            <w:tcW w:type="dxa" w:w="2331"/>
            <w:tcMar>
              <w:top w:type="dxa" w:w="60"/>
              <w:left w:type="dxa" w:w="100"/>
              <w:bottom w:type="dxa" w:w="60"/>
              <w:right w:type="dxa" w:w="100"/>
            </w:tcMar>
            <w:vAlign w:val="center"/>
          </w:tcPr>
          <w:p>
            <w:pPr>
              <w:jc w:val="left"/>
            </w:pPr>
            <w:r>
              <w:rPr>
                <w:b w:val="false"/>
                <w:bCs w:val="false"/>
                <w:color w:val="212121"/>
                <w:sz w:val="18"/>
                <w:szCs w:val="18"/>
              </w:rPr>
              <w:t xml:space="preserve">Soil Depth</w:t>
            </w:r>
          </w:p>
        </w:tc>
        <w:tc>
          <w:tcPr>
            <w:tcW w:type="dxa" w:w="742"/>
            <w:tcMar>
              <w:top w:type="dxa" w:w="60"/>
              <w:left w:type="dxa" w:w="100"/>
              <w:bottom w:type="dxa" w:w="60"/>
              <w:right w:type="dxa" w:w="100"/>
            </w:tcMar>
            <w:vAlign w:val="center"/>
          </w:tcPr>
          <w:p>
            <w:pPr>
              <w:jc w:val="left"/>
            </w:pPr>
            <w:r>
              <w:rPr>
                <w:b w:val="false"/>
                <w:bCs w:val="false"/>
                <w:color w:val="212121"/>
                <w:sz w:val="18"/>
                <w:szCs w:val="18"/>
              </w:rPr>
              <w:t xml:space="preserve">15%</w:t>
            </w:r>
          </w:p>
        </w:tc>
        <w:tc>
          <w:tcPr>
            <w:tcW w:type="dxa" w:w="2754"/>
            <w:tcMar>
              <w:top w:type="dxa" w:w="60"/>
              <w:left w:type="dxa" w:w="100"/>
              <w:bottom w:type="dxa" w:w="60"/>
              <w:right w:type="dxa" w:w="100"/>
            </w:tcMar>
            <w:vAlign w:val="center"/>
          </w:tcPr>
          <w:p>
            <w:pPr>
              <w:jc w:val="left"/>
            </w:pPr>
            <w:r>
              <w:rPr>
                <w:b w:val="false"/>
                <w:bCs w:val="false"/>
                <w:color w:val="212121"/>
                <w:sz w:val="18"/>
                <w:szCs w:val="18"/>
              </w:rPr>
              <w:t xml:space="preserve">Composite: terrain shape, drainage position, soil coarseness, satellite bare-rock detection</w:t>
            </w:r>
          </w:p>
        </w:tc>
        <w:tc>
          <w:tcPr>
            <w:tcW w:type="dxa" w:w="3920"/>
            <w:tcMar>
              <w:top w:type="dxa" w:w="60"/>
              <w:left w:type="dxa" w:w="100"/>
              <w:bottom w:type="dxa" w:w="60"/>
              <w:right w:type="dxa" w:w="100"/>
            </w:tcMar>
            <w:vAlign w:val="center"/>
          </w:tcPr>
          <w:p>
            <w:pPr>
              <w:jc w:val="left"/>
            </w:pPr>
            <w:r>
              <w:rPr>
                <w:b w:val="false"/>
                <w:bCs w:val="false"/>
                <w:color w:val="212121"/>
                <w:sz w:val="18"/>
                <w:szCs w:val="18"/>
              </w:rPr>
              <w:t xml:space="preserve">Shallow soil is the single biggest driver of restoration failure. No global depth-to-bedrock map is reliable enough alone, so 5 independent physical signals are combined.</w:t>
            </w:r>
          </w:p>
        </w:tc>
      </w:tr>
      <w:tr>
        <w:tc>
          <w:tcPr>
            <w:tcW w:type="dxa" w:w="2331"/>
            <w:shd w:fill="E8F5E9" w:val="clear"/>
            <w:tcMar>
              <w:top w:type="dxa" w:w="60"/>
              <w:left w:type="dxa" w:w="100"/>
              <w:bottom w:type="dxa" w:w="60"/>
              <w:right w:type="dxa" w:w="100"/>
            </w:tcMar>
            <w:vAlign w:val="center"/>
          </w:tcPr>
          <w:p>
            <w:pPr>
              <w:jc w:val="left"/>
            </w:pPr>
            <w:r>
              <w:rPr>
                <w:b w:val="false"/>
                <w:bCs w:val="false"/>
                <w:color w:val="212121"/>
                <w:sz w:val="18"/>
                <w:szCs w:val="18"/>
              </w:rPr>
              <w:t xml:space="preserve">Soil Texture (Water-Holding Capacity)</w:t>
            </w:r>
          </w:p>
        </w:tc>
        <w:tc>
          <w:tcPr>
            <w:tcW w:type="dxa" w:w="742"/>
            <w:shd w:fill="E8F5E9" w:val="clear"/>
            <w:tcMar>
              <w:top w:type="dxa" w:w="60"/>
              <w:left w:type="dxa" w:w="100"/>
              <w:bottom w:type="dxa" w:w="60"/>
              <w:right w:type="dxa" w:w="100"/>
            </w:tcMar>
            <w:vAlign w:val="center"/>
          </w:tcPr>
          <w:p>
            <w:pPr>
              <w:jc w:val="left"/>
            </w:pPr>
            <w:r>
              <w:rPr>
                <w:b w:val="false"/>
                <w:bCs w:val="false"/>
                <w:color w:val="212121"/>
                <w:sz w:val="18"/>
                <w:szCs w:val="18"/>
              </w:rPr>
              <w:t xml:space="preserve">7%</w:t>
            </w:r>
          </w:p>
        </w:tc>
        <w:tc>
          <w:tcPr>
            <w:tcW w:type="dxa" w:w="2754"/>
            <w:shd w:fill="E8F5E9" w:val="clear"/>
            <w:tcMar>
              <w:top w:type="dxa" w:w="60"/>
              <w:left w:type="dxa" w:w="100"/>
              <w:bottom w:type="dxa" w:w="60"/>
              <w:right w:type="dxa" w:w="100"/>
            </w:tcMar>
            <w:vAlign w:val="center"/>
          </w:tcPr>
          <w:p>
            <w:pPr>
              <w:jc w:val="left"/>
            </w:pPr>
            <w:r>
              <w:rPr>
                <w:b w:val="false"/>
                <w:bCs w:val="false"/>
                <w:color w:val="212121"/>
                <w:sz w:val="18"/>
                <w:szCs w:val="18"/>
              </w:rPr>
              <w:t xml:space="preserve">ISRIC SoilGrids (field capacity minus wilting point)</w:t>
            </w:r>
          </w:p>
        </w:tc>
        <w:tc>
          <w:tcPr>
            <w:tcW w:type="dxa" w:w="3920"/>
            <w:shd w:fill="E8F5E9" w:val="clear"/>
            <w:tcMar>
              <w:top w:type="dxa" w:w="60"/>
              <w:left w:type="dxa" w:w="100"/>
              <w:bottom w:type="dxa" w:w="60"/>
              <w:right w:type="dxa" w:w="100"/>
            </w:tcMar>
            <w:vAlign w:val="center"/>
          </w:tcPr>
          <w:p>
            <w:pPr>
              <w:jc w:val="left"/>
            </w:pPr>
            <w:r>
              <w:rPr>
                <w:b w:val="false"/>
                <w:bCs w:val="false"/>
                <w:color w:val="212121"/>
                <w:sz w:val="18"/>
                <w:szCs w:val="18"/>
              </w:rPr>
              <w:t xml:space="preserve">A direct physical measure of how much water the soil can hold and deliver to a sapling through the dry season.</w:t>
            </w:r>
          </w:p>
        </w:tc>
      </w:tr>
      <w:tr>
        <w:tc>
          <w:tcPr>
            <w:tcW w:type="dxa" w:w="2331"/>
            <w:tcMar>
              <w:top w:type="dxa" w:w="60"/>
              <w:left w:type="dxa" w:w="100"/>
              <w:bottom w:type="dxa" w:w="60"/>
              <w:right w:type="dxa" w:w="100"/>
            </w:tcMar>
            <w:vAlign w:val="center"/>
          </w:tcPr>
          <w:p>
            <w:pPr>
              <w:jc w:val="left"/>
            </w:pPr>
            <w:r>
              <w:rPr>
                <w:b w:val="false"/>
                <w:bCs w:val="false"/>
                <w:color w:val="212121"/>
                <w:sz w:val="18"/>
                <w:szCs w:val="18"/>
              </w:rPr>
              <w:t xml:space="preserve">Soil Organic Carbon</w:t>
            </w:r>
          </w:p>
        </w:tc>
        <w:tc>
          <w:tcPr>
            <w:tcW w:type="dxa" w:w="742"/>
            <w:tcMar>
              <w:top w:type="dxa" w:w="60"/>
              <w:left w:type="dxa" w:w="100"/>
              <w:bottom w:type="dxa" w:w="60"/>
              <w:right w:type="dxa" w:w="100"/>
            </w:tcMar>
            <w:vAlign w:val="center"/>
          </w:tcPr>
          <w:p>
            <w:pPr>
              <w:jc w:val="left"/>
            </w:pPr>
            <w:r>
              <w:rPr>
                <w:b w:val="false"/>
                <w:bCs w:val="false"/>
                <w:color w:val="212121"/>
                <w:sz w:val="18"/>
                <w:szCs w:val="18"/>
              </w:rPr>
              <w:t xml:space="preserve">6%</w:t>
            </w:r>
          </w:p>
        </w:tc>
        <w:tc>
          <w:tcPr>
            <w:tcW w:type="dxa" w:w="2754"/>
            <w:tcMar>
              <w:top w:type="dxa" w:w="60"/>
              <w:left w:type="dxa" w:w="100"/>
              <w:bottom w:type="dxa" w:w="60"/>
              <w:right w:type="dxa" w:w="100"/>
            </w:tcMar>
            <w:vAlign w:val="center"/>
          </w:tcPr>
          <w:p>
            <w:pPr>
              <w:jc w:val="left"/>
            </w:pPr>
            <w:r>
              <w:rPr>
                <w:b w:val="false"/>
                <w:bCs w:val="false"/>
                <w:color w:val="212121"/>
                <w:sz w:val="18"/>
                <w:szCs w:val="18"/>
              </w:rPr>
              <w:t xml:space="preserve">ISRIC SoilGrids</w:t>
            </w:r>
          </w:p>
        </w:tc>
        <w:tc>
          <w:tcPr>
            <w:tcW w:type="dxa" w:w="3920"/>
            <w:tcMar>
              <w:top w:type="dxa" w:w="60"/>
              <w:left w:type="dxa" w:w="100"/>
              <w:bottom w:type="dxa" w:w="60"/>
              <w:right w:type="dxa" w:w="100"/>
            </w:tcMar>
            <w:vAlign w:val="center"/>
          </w:tcPr>
          <w:p>
            <w:pPr>
              <w:jc w:val="left"/>
            </w:pPr>
            <w:r>
              <w:rPr>
                <w:b w:val="false"/>
                <w:bCs w:val="false"/>
                <w:color w:val="212121"/>
                <w:sz w:val="18"/>
                <w:szCs w:val="18"/>
              </w:rPr>
              <w:t xml:space="preserve">Higher organic carbon means better site fertility and higher restoration potential.</w:t>
            </w:r>
          </w:p>
        </w:tc>
      </w:tr>
      <w:tr>
        <w:tc>
          <w:tcPr>
            <w:tcW w:type="dxa" w:w="2331"/>
            <w:shd w:fill="E8F5E9" w:val="clear"/>
            <w:tcMar>
              <w:top w:type="dxa" w:w="60"/>
              <w:left w:type="dxa" w:w="100"/>
              <w:bottom w:type="dxa" w:w="60"/>
              <w:right w:type="dxa" w:w="100"/>
            </w:tcMar>
            <w:vAlign w:val="center"/>
          </w:tcPr>
          <w:p>
            <w:pPr>
              <w:jc w:val="left"/>
            </w:pPr>
            <w:r>
              <w:rPr>
                <w:b w:val="false"/>
                <w:bCs w:val="false"/>
                <w:color w:val="212121"/>
                <w:sz w:val="18"/>
                <w:szCs w:val="18"/>
              </w:rPr>
              <w:t xml:space="preserve">Distance to Existing Forest</w:t>
            </w:r>
          </w:p>
        </w:tc>
        <w:tc>
          <w:tcPr>
            <w:tcW w:type="dxa" w:w="742"/>
            <w:shd w:fill="E8F5E9" w:val="clear"/>
            <w:tcMar>
              <w:top w:type="dxa" w:w="60"/>
              <w:left w:type="dxa" w:w="100"/>
              <w:bottom w:type="dxa" w:w="60"/>
              <w:right w:type="dxa" w:w="100"/>
            </w:tcMar>
            <w:vAlign w:val="center"/>
          </w:tcPr>
          <w:p>
            <w:pPr>
              <w:jc w:val="left"/>
            </w:pPr>
            <w:r>
              <w:rPr>
                <w:b w:val="false"/>
                <w:bCs w:val="false"/>
                <w:color w:val="212121"/>
                <w:sz w:val="18"/>
                <w:szCs w:val="18"/>
              </w:rPr>
              <w:t xml:space="preserve">10%</w:t>
            </w:r>
          </w:p>
        </w:tc>
        <w:tc>
          <w:tcPr>
            <w:tcW w:type="dxa" w:w="2754"/>
            <w:shd w:fill="E8F5E9" w:val="clear"/>
            <w:tcMar>
              <w:top w:type="dxa" w:w="60"/>
              <w:left w:type="dxa" w:w="100"/>
              <w:bottom w:type="dxa" w:w="60"/>
              <w:right w:type="dxa" w:w="100"/>
            </w:tcMar>
            <w:vAlign w:val="center"/>
          </w:tcPr>
          <w:p>
            <w:pPr>
              <w:jc w:val="left"/>
            </w:pPr>
            <w:r>
              <w:rPr>
                <w:b w:val="false"/>
                <w:bCs w:val="false"/>
                <w:color w:val="212121"/>
                <w:sz w:val="18"/>
                <w:szCs w:val="18"/>
              </w:rPr>
              <w:t xml:space="preserve">Hansen Global Forest Change + WorldCover</w:t>
            </w:r>
          </w:p>
        </w:tc>
        <w:tc>
          <w:tcPr>
            <w:tcW w:type="dxa" w:w="3920"/>
            <w:shd w:fill="E8F5E9" w:val="clear"/>
            <w:tcMar>
              <w:top w:type="dxa" w:w="60"/>
              <w:left w:type="dxa" w:w="100"/>
              <w:bottom w:type="dxa" w:w="60"/>
              <w:right w:type="dxa" w:w="100"/>
            </w:tcMar>
            <w:vAlign w:val="center"/>
          </w:tcPr>
          <w:p>
            <w:pPr>
              <w:jc w:val="left"/>
            </w:pPr>
            <w:r>
              <w:rPr>
                <w:b w:val="false"/>
                <w:bCs w:val="false"/>
                <w:color w:val="212121"/>
                <w:sz w:val="18"/>
                <w:szCs w:val="18"/>
              </w:rPr>
              <w:t xml:space="preserve">Land near real forest has a natural seed source; regeneration and survival are measurably better close to it.</w:t>
            </w:r>
          </w:p>
        </w:tc>
      </w:tr>
      <w:tr>
        <w:tc>
          <w:tcPr>
            <w:tcW w:type="dxa" w:w="2331"/>
            <w:tcMar>
              <w:top w:type="dxa" w:w="60"/>
              <w:left w:type="dxa" w:w="100"/>
              <w:bottom w:type="dxa" w:w="60"/>
              <w:right w:type="dxa" w:w="100"/>
            </w:tcMar>
            <w:vAlign w:val="center"/>
          </w:tcPr>
          <w:p>
            <w:pPr>
              <w:jc w:val="left"/>
            </w:pPr>
            <w:r>
              <w:rPr>
                <w:b w:val="false"/>
                <w:bCs w:val="false"/>
                <w:color w:val="212121"/>
                <w:sz w:val="18"/>
                <w:szCs w:val="18"/>
              </w:rPr>
              <w:t xml:space="preserve">Fragmentation Index</w:t>
            </w:r>
          </w:p>
        </w:tc>
        <w:tc>
          <w:tcPr>
            <w:tcW w:type="dxa" w:w="742"/>
            <w:tcMar>
              <w:top w:type="dxa" w:w="60"/>
              <w:left w:type="dxa" w:w="100"/>
              <w:bottom w:type="dxa" w:w="60"/>
              <w:right w:type="dxa" w:w="100"/>
            </w:tcMar>
            <w:vAlign w:val="center"/>
          </w:tcPr>
          <w:p>
            <w:pPr>
              <w:jc w:val="left"/>
            </w:pPr>
            <w:r>
              <w:rPr>
                <w:b w:val="false"/>
                <w:bCs w:val="false"/>
                <w:color w:val="212121"/>
                <w:sz w:val="18"/>
                <w:szCs w:val="18"/>
              </w:rPr>
              <w:t xml:space="preserve">10%</w:t>
            </w:r>
          </w:p>
        </w:tc>
        <w:tc>
          <w:tcPr>
            <w:tcW w:type="dxa" w:w="2754"/>
            <w:tcMar>
              <w:top w:type="dxa" w:w="60"/>
              <w:left w:type="dxa" w:w="100"/>
              <w:bottom w:type="dxa" w:w="60"/>
              <w:right w:type="dxa" w:w="100"/>
            </w:tcMar>
            <w:vAlign w:val="center"/>
          </w:tcPr>
          <w:p>
            <w:pPr>
              <w:jc w:val="left"/>
            </w:pPr>
            <w:r>
              <w:rPr>
                <w:b w:val="false"/>
                <w:bCs w:val="false"/>
                <w:color w:val="212121"/>
                <w:sz w:val="18"/>
                <w:szCs w:val="18"/>
              </w:rPr>
              <w:t xml:space="preserve">Local forest density (Hansen)</w:t>
            </w:r>
          </w:p>
        </w:tc>
        <w:tc>
          <w:tcPr>
            <w:tcW w:type="dxa" w:w="3920"/>
            <w:tcMar>
              <w:top w:type="dxa" w:w="60"/>
              <w:left w:type="dxa" w:w="100"/>
              <w:bottom w:type="dxa" w:w="60"/>
              <w:right w:type="dxa" w:w="100"/>
            </w:tcMar>
            <w:vAlign w:val="center"/>
          </w:tcPr>
          <w:p>
            <w:pPr>
              <w:jc w:val="left"/>
            </w:pPr>
            <w:r>
              <w:rPr>
                <w:b w:val="false"/>
                <w:bCs w:val="false"/>
                <w:color w:val="212121"/>
                <w:sz w:val="18"/>
                <w:szCs w:val="18"/>
              </w:rPr>
              <w:t xml:space="preserve">Prioritizes consolidating and expanding existing forest patches over creating new, isolated islands.</w:t>
            </w:r>
          </w:p>
        </w:tc>
      </w:tr>
      <w:tr>
        <w:tc>
          <w:tcPr>
            <w:tcW w:type="dxa" w:w="2331"/>
            <w:shd w:fill="E8F5E9" w:val="clear"/>
            <w:tcMar>
              <w:top w:type="dxa" w:w="60"/>
              <w:left w:type="dxa" w:w="100"/>
              <w:bottom w:type="dxa" w:w="60"/>
              <w:right w:type="dxa" w:w="100"/>
            </w:tcMar>
            <w:vAlign w:val="center"/>
          </w:tcPr>
          <w:p>
            <w:pPr>
              <w:jc w:val="left"/>
            </w:pPr>
            <w:r>
              <w:rPr>
                <w:b w:val="false"/>
                <w:bCs w:val="false"/>
                <w:color w:val="212121"/>
                <w:sz w:val="18"/>
                <w:szCs w:val="18"/>
              </w:rPr>
              <w:t xml:space="preserve">Hydrological Connectivity</w:t>
            </w:r>
          </w:p>
        </w:tc>
        <w:tc>
          <w:tcPr>
            <w:tcW w:type="dxa" w:w="742"/>
            <w:shd w:fill="E8F5E9" w:val="clear"/>
            <w:tcMar>
              <w:top w:type="dxa" w:w="60"/>
              <w:left w:type="dxa" w:w="100"/>
              <w:bottom w:type="dxa" w:w="60"/>
              <w:right w:type="dxa" w:w="100"/>
            </w:tcMar>
            <w:vAlign w:val="center"/>
          </w:tcPr>
          <w:p>
            <w:pPr>
              <w:jc w:val="left"/>
            </w:pPr>
            <w:r>
              <w:rPr>
                <w:b w:val="false"/>
                <w:bCs w:val="false"/>
                <w:color w:val="212121"/>
                <w:sz w:val="18"/>
                <w:szCs w:val="18"/>
              </w:rPr>
              <w:t xml:space="preserve">8%</w:t>
            </w:r>
          </w:p>
        </w:tc>
        <w:tc>
          <w:tcPr>
            <w:tcW w:type="dxa" w:w="2754"/>
            <w:shd w:fill="E8F5E9" w:val="clear"/>
            <w:tcMar>
              <w:top w:type="dxa" w:w="60"/>
              <w:left w:type="dxa" w:w="100"/>
              <w:bottom w:type="dxa" w:w="60"/>
              <w:right w:type="dxa" w:w="100"/>
            </w:tcMar>
            <w:vAlign w:val="center"/>
          </w:tcPr>
          <w:p>
            <w:pPr>
              <w:jc w:val="left"/>
            </w:pPr>
            <w:r>
              <w:rPr>
                <w:b w:val="false"/>
                <w:bCs w:val="false"/>
                <w:color w:val="212121"/>
                <w:sz w:val="18"/>
                <w:szCs w:val="18"/>
              </w:rPr>
              <w:t xml:space="preserve">Water bodies, drainage network, valley-position modeling (MERIT Hydro)</w:t>
            </w:r>
          </w:p>
        </w:tc>
        <w:tc>
          <w:tcPr>
            <w:tcW w:type="dxa" w:w="3920"/>
            <w:shd w:fill="E8F5E9" w:val="clear"/>
            <w:tcMar>
              <w:top w:type="dxa" w:w="60"/>
              <w:left w:type="dxa" w:w="100"/>
              <w:bottom w:type="dxa" w:w="60"/>
              <w:right w:type="dxa" w:w="100"/>
            </w:tcMar>
            <w:vAlign w:val="center"/>
          </w:tcPr>
          <w:p>
            <w:pPr>
              <w:jc w:val="left"/>
            </w:pPr>
            <w:r>
              <w:rPr>
                <w:b w:val="false"/>
                <w:bCs w:val="false"/>
                <w:color w:val="212121"/>
                <w:sz w:val="18"/>
                <w:szCs w:val="18"/>
              </w:rPr>
              <w:t xml:space="preserve">Land near water or in moisture-retaining valley positions gives a better ecosystem-service return and survival rate.</w:t>
            </w:r>
          </w:p>
        </w:tc>
      </w:tr>
      <w:tr>
        <w:tc>
          <w:tcPr>
            <w:tcW w:type="dxa" w:w="2331"/>
            <w:tcMar>
              <w:top w:type="dxa" w:w="60"/>
              <w:left w:type="dxa" w:w="100"/>
              <w:bottom w:type="dxa" w:w="60"/>
              <w:right w:type="dxa" w:w="100"/>
            </w:tcMar>
            <w:vAlign w:val="center"/>
          </w:tcPr>
          <w:p>
            <w:pPr>
              <w:jc w:val="left"/>
            </w:pPr>
            <w:r>
              <w:rPr>
                <w:b w:val="false"/>
                <w:bCs w:val="false"/>
                <w:color w:val="212121"/>
                <w:sz w:val="18"/>
                <w:szCs w:val="18"/>
              </w:rPr>
              <w:t xml:space="preserve">Wildlife Corridor Proximity</w:t>
            </w:r>
          </w:p>
        </w:tc>
        <w:tc>
          <w:tcPr>
            <w:tcW w:type="dxa" w:w="742"/>
            <w:tcMar>
              <w:top w:type="dxa" w:w="60"/>
              <w:left w:type="dxa" w:w="100"/>
              <w:bottom w:type="dxa" w:w="60"/>
              <w:right w:type="dxa" w:w="100"/>
            </w:tcMar>
            <w:vAlign w:val="center"/>
          </w:tcPr>
          <w:p>
            <w:pPr>
              <w:jc w:val="left"/>
            </w:pPr>
            <w:r>
              <w:rPr>
                <w:b w:val="false"/>
                <w:bCs w:val="false"/>
                <w:color w:val="212121"/>
                <w:sz w:val="18"/>
                <w:szCs w:val="18"/>
              </w:rPr>
              <w:t xml:space="preserve">8%</w:t>
            </w:r>
          </w:p>
        </w:tc>
        <w:tc>
          <w:tcPr>
            <w:tcW w:type="dxa" w:w="2754"/>
            <w:tcMar>
              <w:top w:type="dxa" w:w="60"/>
              <w:left w:type="dxa" w:w="100"/>
              <w:bottom w:type="dxa" w:w="60"/>
              <w:right w:type="dxa" w:w="100"/>
            </w:tcMar>
            <w:vAlign w:val="center"/>
          </w:tcPr>
          <w:p>
            <w:pPr>
              <w:jc w:val="left"/>
            </w:pPr>
            <w:r>
              <w:rPr>
                <w:b w:val="false"/>
                <w:bCs w:val="false"/>
                <w:color w:val="212121"/>
                <w:sz w:val="18"/>
                <w:szCs w:val="18"/>
              </w:rPr>
              <w:t xml:space="preserve">Forest Department corridor boundary (pending)</w:t>
            </w:r>
          </w:p>
        </w:tc>
        <w:tc>
          <w:tcPr>
            <w:tcW w:type="dxa" w:w="3920"/>
            <w:tcMar>
              <w:top w:type="dxa" w:w="60"/>
              <w:left w:type="dxa" w:w="100"/>
              <w:bottom w:type="dxa" w:w="60"/>
              <w:right w:type="dxa" w:w="100"/>
            </w:tcMar>
            <w:vAlign w:val="center"/>
          </w:tcPr>
          <w:p>
            <w:pPr>
              <w:jc w:val="left"/>
            </w:pPr>
            <w:r>
              <w:rPr>
                <w:b w:val="false"/>
                <w:bCs w:val="false"/>
                <w:color w:val="212121"/>
                <w:sz w:val="18"/>
                <w:szCs w:val="18"/>
              </w:rPr>
              <w:t xml:space="preserve">Restoring the buffer around a known wildlife corridor improves its effective width and habitat quality.</w:t>
            </w:r>
          </w:p>
        </w:tc>
      </w:tr>
      <w:tr>
        <w:tc>
          <w:tcPr>
            <w:tcW w:type="dxa" w:w="2331"/>
            <w:shd w:fill="E8F5E9" w:val="clear"/>
            <w:tcMar>
              <w:top w:type="dxa" w:w="60"/>
              <w:left w:type="dxa" w:w="100"/>
              <w:bottom w:type="dxa" w:w="60"/>
              <w:right w:type="dxa" w:w="100"/>
            </w:tcMar>
            <w:vAlign w:val="center"/>
          </w:tcPr>
          <w:p>
            <w:pPr>
              <w:jc w:val="left"/>
            </w:pPr>
            <w:r>
              <w:rPr>
                <w:b w:val="false"/>
                <w:bCs w:val="false"/>
                <w:color w:val="212121"/>
                <w:sz w:val="18"/>
                <w:szCs w:val="18"/>
              </w:rPr>
              <w:t xml:space="preserve">Workability (Slope &amp; Rainfall)</w:t>
            </w:r>
          </w:p>
        </w:tc>
        <w:tc>
          <w:tcPr>
            <w:tcW w:type="dxa" w:w="742"/>
            <w:shd w:fill="E8F5E9" w:val="clear"/>
            <w:tcMar>
              <w:top w:type="dxa" w:w="60"/>
              <w:left w:type="dxa" w:w="100"/>
              <w:bottom w:type="dxa" w:w="60"/>
              <w:right w:type="dxa" w:w="100"/>
            </w:tcMar>
            <w:vAlign w:val="center"/>
          </w:tcPr>
          <w:p>
            <w:pPr>
              <w:jc w:val="left"/>
            </w:pPr>
            <w:r>
              <w:rPr>
                <w:b w:val="false"/>
                <w:bCs w:val="false"/>
                <w:color w:val="212121"/>
                <w:sz w:val="18"/>
                <w:szCs w:val="18"/>
              </w:rPr>
              <w:t xml:space="preserve">7%</w:t>
            </w:r>
          </w:p>
        </w:tc>
        <w:tc>
          <w:tcPr>
            <w:tcW w:type="dxa" w:w="2754"/>
            <w:shd w:fill="E8F5E9" w:val="clear"/>
            <w:tcMar>
              <w:top w:type="dxa" w:w="60"/>
              <w:left w:type="dxa" w:w="100"/>
              <w:bottom w:type="dxa" w:w="60"/>
              <w:right w:type="dxa" w:w="100"/>
            </w:tcMar>
            <w:vAlign w:val="center"/>
          </w:tcPr>
          <w:p>
            <w:pPr>
              <w:jc w:val="left"/>
            </w:pPr>
            <w:r>
              <w:rPr>
                <w:b w:val="false"/>
                <w:bCs w:val="false"/>
                <w:color w:val="212121"/>
                <w:sz w:val="18"/>
                <w:szCs w:val="18"/>
              </w:rPr>
              <w:t xml:space="preserve">Copernicus DEM + CHIRPS rainfall</w:t>
            </w:r>
          </w:p>
        </w:tc>
        <w:tc>
          <w:tcPr>
            <w:tcW w:type="dxa" w:w="3920"/>
            <w:shd w:fill="E8F5E9" w:val="clear"/>
            <w:tcMar>
              <w:top w:type="dxa" w:w="60"/>
              <w:left w:type="dxa" w:w="100"/>
              <w:bottom w:type="dxa" w:w="60"/>
              <w:right w:type="dxa" w:w="100"/>
            </w:tcMar>
            <w:vAlign w:val="center"/>
          </w:tcPr>
          <w:p>
            <w:pPr>
              <w:jc w:val="left"/>
            </w:pPr>
            <w:r>
              <w:rPr>
                <w:b w:val="false"/>
                <w:bCs w:val="false"/>
                <w:color w:val="212121"/>
                <w:sz w:val="18"/>
                <w:szCs w:val="18"/>
              </w:rPr>
              <w:t xml:space="preserve">Gentler slope and adequate rainfall mean lower-cost, higher-success establishment.</w:t>
            </w:r>
          </w:p>
        </w:tc>
      </w:tr>
      <w:tr>
        <w:tc>
          <w:tcPr>
            <w:tcW w:type="dxa" w:w="2331"/>
            <w:tcMar>
              <w:top w:type="dxa" w:w="60"/>
              <w:left w:type="dxa" w:w="100"/>
              <w:bottom w:type="dxa" w:w="60"/>
              <w:right w:type="dxa" w:w="100"/>
            </w:tcMar>
            <w:vAlign w:val="center"/>
          </w:tcPr>
          <w:p>
            <w:pPr>
              <w:jc w:val="left"/>
            </w:pPr>
            <w:r>
              <w:rPr>
                <w:b w:val="false"/>
                <w:bCs w:val="false"/>
                <w:color w:val="212121"/>
                <w:sz w:val="18"/>
                <w:szCs w:val="18"/>
              </w:rPr>
              <w:t xml:space="preserve">Invasive Species Pressure</w:t>
            </w:r>
          </w:p>
        </w:tc>
        <w:tc>
          <w:tcPr>
            <w:tcW w:type="dxa" w:w="742"/>
            <w:tcMar>
              <w:top w:type="dxa" w:w="60"/>
              <w:left w:type="dxa" w:w="100"/>
              <w:bottom w:type="dxa" w:w="60"/>
              <w:right w:type="dxa" w:w="100"/>
            </w:tcMar>
            <w:vAlign w:val="center"/>
          </w:tcPr>
          <w:p>
            <w:pPr>
              <w:jc w:val="left"/>
            </w:pPr>
            <w:r>
              <w:rPr>
                <w:b w:val="false"/>
                <w:bCs w:val="false"/>
                <w:color w:val="212121"/>
                <w:sz w:val="18"/>
                <w:szCs w:val="18"/>
              </w:rPr>
              <w:t xml:space="preserve">7%</w:t>
            </w:r>
          </w:p>
        </w:tc>
        <w:tc>
          <w:tcPr>
            <w:tcW w:type="dxa" w:w="2754"/>
            <w:tcMar>
              <w:top w:type="dxa" w:w="60"/>
              <w:left w:type="dxa" w:w="100"/>
              <w:bottom w:type="dxa" w:w="60"/>
              <w:right w:type="dxa" w:w="100"/>
            </w:tcMar>
            <w:vAlign w:val="center"/>
          </w:tcPr>
          <w:p>
            <w:pPr>
              <w:jc w:val="left"/>
            </w:pPr>
            <w:r>
              <w:rPr>
                <w:b w:val="false"/>
                <w:bCs w:val="false"/>
                <w:color w:val="212121"/>
                <w:sz w:val="18"/>
                <w:szCs w:val="18"/>
              </w:rPr>
              <w:t xml:space="preserve">Sentinel-2 seasonal greenness pattern</w:t>
            </w:r>
          </w:p>
        </w:tc>
        <w:tc>
          <w:tcPr>
            <w:tcW w:type="dxa" w:w="3920"/>
            <w:tcMar>
              <w:top w:type="dxa" w:w="60"/>
              <w:left w:type="dxa" w:w="100"/>
              <w:bottom w:type="dxa" w:w="60"/>
              <w:right w:type="dxa" w:w="100"/>
            </w:tcMar>
            <w:vAlign w:val="center"/>
          </w:tcPr>
          <w:p>
            <w:pPr>
              <w:jc w:val="left"/>
            </w:pPr>
            <w:r>
              <w:rPr>
                <w:b w:val="false"/>
                <w:bCs w:val="false"/>
                <w:color w:val="212121"/>
                <w:sz w:val="18"/>
                <w:szCs w:val="18"/>
              </w:rPr>
              <w:t xml:space="preserve">Detects the signature of Lantana camara (the dominant local invasive) so infested sites are costed and treated correctly, not just planted over.</w:t>
            </w:r>
          </w:p>
        </w:tc>
      </w:tr>
      <w:tr>
        <w:tc>
          <w:tcPr>
            <w:tcW w:type="dxa" w:w="2331"/>
            <w:shd w:fill="E8F5E9" w:val="clear"/>
            <w:tcMar>
              <w:top w:type="dxa" w:w="60"/>
              <w:left w:type="dxa" w:w="100"/>
              <w:bottom w:type="dxa" w:w="60"/>
              <w:right w:type="dxa" w:w="100"/>
            </w:tcMar>
            <w:vAlign w:val="center"/>
          </w:tcPr>
          <w:p>
            <w:pPr>
              <w:jc w:val="left"/>
            </w:pPr>
            <w:r>
              <w:rPr>
                <w:b w:val="false"/>
                <w:bCs w:val="false"/>
                <w:color w:val="212121"/>
                <w:sz w:val="18"/>
                <w:szCs w:val="18"/>
              </w:rPr>
              <w:t xml:space="preserve">Carbon-Gain Potential</w:t>
            </w:r>
          </w:p>
        </w:tc>
        <w:tc>
          <w:tcPr>
            <w:tcW w:type="dxa" w:w="742"/>
            <w:shd w:fill="E8F5E9" w:val="clear"/>
            <w:tcMar>
              <w:top w:type="dxa" w:w="60"/>
              <w:left w:type="dxa" w:w="100"/>
              <w:bottom w:type="dxa" w:w="60"/>
              <w:right w:type="dxa" w:w="100"/>
            </w:tcMar>
            <w:vAlign w:val="center"/>
          </w:tcPr>
          <w:p>
            <w:pPr>
              <w:jc w:val="left"/>
            </w:pPr>
            <w:r>
              <w:rPr>
                <w:b w:val="false"/>
                <w:bCs w:val="false"/>
                <w:color w:val="212121"/>
                <w:sz w:val="18"/>
                <w:szCs w:val="18"/>
              </w:rPr>
              <w:t xml:space="preserve">6%</w:t>
            </w:r>
          </w:p>
        </w:tc>
        <w:tc>
          <w:tcPr>
            <w:tcW w:type="dxa" w:w="2754"/>
            <w:shd w:fill="E8F5E9" w:val="clear"/>
            <w:tcMar>
              <w:top w:type="dxa" w:w="60"/>
              <w:left w:type="dxa" w:w="100"/>
              <w:bottom w:type="dxa" w:w="60"/>
              <w:right w:type="dxa" w:w="100"/>
            </w:tcMar>
            <w:vAlign w:val="center"/>
          </w:tcPr>
          <w:p>
            <w:pPr>
              <w:jc w:val="left"/>
            </w:pPr>
            <w:r>
              <w:rPr>
                <w:b w:val="false"/>
                <w:bCs w:val="false"/>
                <w:color w:val="212121"/>
                <w:sz w:val="18"/>
                <w:szCs w:val="18"/>
              </w:rPr>
              <w:t xml:space="preserve">GEDI biomass vs. this beat’s own best forest as the benchmark</w:t>
            </w:r>
          </w:p>
        </w:tc>
        <w:tc>
          <w:tcPr>
            <w:tcW w:type="dxa" w:w="3920"/>
            <w:shd w:fill="E8F5E9" w:val="clear"/>
            <w:tcMar>
              <w:top w:type="dxa" w:w="60"/>
              <w:left w:type="dxa" w:w="100"/>
              <w:bottom w:type="dxa" w:w="60"/>
              <w:right w:type="dxa" w:w="100"/>
            </w:tcMar>
            <w:vAlign w:val="center"/>
          </w:tcPr>
          <w:p>
            <w:pPr>
              <w:jc w:val="left"/>
            </w:pPr>
            <w:r>
              <w:rPr>
                <w:b w:val="false"/>
                <w:bCs w:val="false"/>
                <w:color w:val="212121"/>
                <w:sz w:val="18"/>
                <w:szCs w:val="18"/>
              </w:rPr>
              <w:t xml:space="preserve">The larger the gap between a site’s current carbon stock and healthy nearby forest, the greater the climate benefit of restoring it.</w:t>
            </w:r>
          </w:p>
        </w:tc>
      </w:tr>
      <w:tr>
        <w:tc>
          <w:tcPr>
            <w:tcW w:type="dxa" w:w="2331"/>
            <w:tcMar>
              <w:top w:type="dxa" w:w="60"/>
              <w:left w:type="dxa" w:w="100"/>
              <w:bottom w:type="dxa" w:w="60"/>
              <w:right w:type="dxa" w:w="100"/>
            </w:tcMar>
            <w:vAlign w:val="center"/>
          </w:tcPr>
          <w:p>
            <w:pPr>
              <w:jc w:val="left"/>
            </w:pPr>
            <w:r>
              <w:rPr>
                <w:b w:val="false"/>
                <w:bCs w:val="false"/>
                <w:color w:val="212121"/>
                <w:sz w:val="18"/>
                <w:szCs w:val="18"/>
              </w:rPr>
              <w:t xml:space="preserve">Climate Exposure</w:t>
            </w:r>
          </w:p>
        </w:tc>
        <w:tc>
          <w:tcPr>
            <w:tcW w:type="dxa" w:w="742"/>
            <w:tcMar>
              <w:top w:type="dxa" w:w="60"/>
              <w:left w:type="dxa" w:w="100"/>
              <w:bottom w:type="dxa" w:w="60"/>
              <w:right w:type="dxa" w:w="100"/>
            </w:tcMar>
            <w:vAlign w:val="center"/>
          </w:tcPr>
          <w:p>
            <w:pPr>
              <w:jc w:val="left"/>
            </w:pPr>
            <w:r>
              <w:rPr>
                <w:b w:val="false"/>
                <w:bCs w:val="false"/>
                <w:color w:val="212121"/>
                <w:sz w:val="18"/>
                <w:szCs w:val="18"/>
              </w:rPr>
              <w:t xml:space="preserve">5%</w:t>
            </w:r>
          </w:p>
        </w:tc>
        <w:tc>
          <w:tcPr>
            <w:tcW w:type="dxa" w:w="2754"/>
            <w:tcMar>
              <w:top w:type="dxa" w:w="60"/>
              <w:left w:type="dxa" w:w="100"/>
              <w:bottom w:type="dxa" w:w="60"/>
              <w:right w:type="dxa" w:w="100"/>
            </w:tcMar>
            <w:vAlign w:val="center"/>
          </w:tcPr>
          <w:p>
            <w:pPr>
              <w:jc w:val="left"/>
            </w:pPr>
            <w:r>
              <w:rPr>
                <w:b w:val="false"/>
                <w:bCs w:val="false"/>
                <w:color w:val="212121"/>
                <w:sz w:val="18"/>
                <w:szCs w:val="18"/>
              </w:rPr>
              <w:t xml:space="preserve">MODIS/Landsat heat + rainfall variability + slope-aspect sun exposure</w:t>
            </w:r>
          </w:p>
        </w:tc>
        <w:tc>
          <w:tcPr>
            <w:tcW w:type="dxa" w:w="3920"/>
            <w:tcMar>
              <w:top w:type="dxa" w:w="60"/>
              <w:left w:type="dxa" w:w="100"/>
              <w:bottom w:type="dxa" w:w="60"/>
              <w:right w:type="dxa" w:w="100"/>
            </w:tcMar>
            <w:vAlign w:val="center"/>
          </w:tcPr>
          <w:p>
            <w:pPr>
              <w:jc w:val="left"/>
            </w:pPr>
            <w:r>
              <w:rPr>
                <w:b w:val="false"/>
                <w:bCs w:val="false"/>
                <w:color w:val="212121"/>
                <w:sz w:val="18"/>
                <w:szCs w:val="18"/>
              </w:rPr>
              <w:t xml:space="preserve">Hotter, more drought-prone, more sun-exposed sites are a riskier establishment bet and are deprioritized accordingly.</w:t>
            </w:r>
          </w:p>
        </w:tc>
      </w:tr>
      <w:tr>
        <w:tc>
          <w:tcPr>
            <w:tcW w:type="dxa" w:w="2331"/>
            <w:shd w:fill="E8F5E9" w:val="clear"/>
            <w:tcMar>
              <w:top w:type="dxa" w:w="60"/>
              <w:left w:type="dxa" w:w="100"/>
              <w:bottom w:type="dxa" w:w="60"/>
              <w:right w:type="dxa" w:w="100"/>
            </w:tcMar>
            <w:vAlign w:val="center"/>
          </w:tcPr>
          <w:p>
            <w:pPr>
              <w:jc w:val="left"/>
            </w:pPr>
            <w:r>
              <w:rPr>
                <w:b w:val="false"/>
                <w:bCs w:val="false"/>
                <w:color w:val="212121"/>
                <w:sz w:val="18"/>
                <w:szCs w:val="18"/>
              </w:rPr>
              <w:t xml:space="preserve">Soil Erosion Risk</w:t>
            </w:r>
          </w:p>
        </w:tc>
        <w:tc>
          <w:tcPr>
            <w:tcW w:type="dxa" w:w="742"/>
            <w:shd w:fill="E8F5E9" w:val="clear"/>
            <w:tcMar>
              <w:top w:type="dxa" w:w="60"/>
              <w:left w:type="dxa" w:w="100"/>
              <w:bottom w:type="dxa" w:w="60"/>
              <w:right w:type="dxa" w:w="100"/>
            </w:tcMar>
            <w:vAlign w:val="center"/>
          </w:tcPr>
          <w:p>
            <w:pPr>
              <w:jc w:val="left"/>
            </w:pPr>
            <w:r>
              <w:rPr>
                <w:b w:val="false"/>
                <w:bCs w:val="false"/>
                <w:color w:val="212121"/>
                <w:sz w:val="18"/>
                <w:szCs w:val="18"/>
              </w:rPr>
              <w:t xml:space="preserve">5%</w:t>
            </w:r>
          </w:p>
        </w:tc>
        <w:tc>
          <w:tcPr>
            <w:tcW w:type="dxa" w:w="2754"/>
            <w:shd w:fill="E8F5E9" w:val="clear"/>
            <w:tcMar>
              <w:top w:type="dxa" w:w="60"/>
              <w:left w:type="dxa" w:w="100"/>
              <w:bottom w:type="dxa" w:w="60"/>
              <w:right w:type="dxa" w:w="100"/>
            </w:tcMar>
            <w:vAlign w:val="center"/>
          </w:tcPr>
          <w:p>
            <w:pPr>
              <w:jc w:val="left"/>
            </w:pPr>
            <w:r>
              <w:rPr>
                <w:b w:val="false"/>
                <w:bCs w:val="false"/>
                <w:color w:val="212121"/>
                <w:sz w:val="18"/>
                <w:szCs w:val="18"/>
              </w:rPr>
              <w:t xml:space="preserve">RUSLE model (Indian rainfall-erosivity formula, soil, slope, land cover)</w:t>
            </w:r>
          </w:p>
        </w:tc>
        <w:tc>
          <w:tcPr>
            <w:tcW w:type="dxa" w:w="3920"/>
            <w:shd w:fill="E8F5E9" w:val="clear"/>
            <w:tcMar>
              <w:top w:type="dxa" w:w="60"/>
              <w:left w:type="dxa" w:w="100"/>
              <w:bottom w:type="dxa" w:w="60"/>
              <w:right w:type="dxa" w:w="100"/>
            </w:tcMar>
            <w:vAlign w:val="center"/>
          </w:tcPr>
          <w:p>
            <w:pPr>
              <w:jc w:val="left"/>
            </w:pPr>
            <w:r>
              <w:rPr>
                <w:b w:val="false"/>
                <w:bCs w:val="false"/>
                <w:color w:val="212121"/>
                <w:sz w:val="18"/>
                <w:szCs w:val="18"/>
              </w:rPr>
              <w:t xml:space="preserve">Higher erosion risk raises priority, since restoration here carries a soil-and-water-conservation co-benefit.</w:t>
            </w:r>
          </w:p>
        </w:tc>
      </w:tr>
      <w:tr>
        <w:tc>
          <w:tcPr>
            <w:tcW w:type="dxa" w:w="2331"/>
            <w:tcMar>
              <w:top w:type="dxa" w:w="60"/>
              <w:left w:type="dxa" w:w="100"/>
              <w:bottom w:type="dxa" w:w="60"/>
              <w:right w:type="dxa" w:w="100"/>
            </w:tcMar>
            <w:vAlign w:val="center"/>
          </w:tcPr>
          <w:p>
            <w:pPr>
              <w:jc w:val="left"/>
            </w:pPr>
            <w:r>
              <w:rPr>
                <w:b w:val="false"/>
                <w:bCs w:val="false"/>
                <w:color w:val="212121"/>
                <w:sz w:val="18"/>
                <w:szCs w:val="18"/>
              </w:rPr>
              <w:t xml:space="preserve">Fire Frequency History</w:t>
            </w:r>
          </w:p>
        </w:tc>
        <w:tc>
          <w:tcPr>
            <w:tcW w:type="dxa" w:w="742"/>
            <w:tcMar>
              <w:top w:type="dxa" w:w="60"/>
              <w:left w:type="dxa" w:w="100"/>
              <w:bottom w:type="dxa" w:w="60"/>
              <w:right w:type="dxa" w:w="100"/>
            </w:tcMar>
            <w:vAlign w:val="center"/>
          </w:tcPr>
          <w:p>
            <w:pPr>
              <w:jc w:val="left"/>
            </w:pPr>
            <w:r>
              <w:rPr>
                <w:b w:val="false"/>
                <w:bCs w:val="false"/>
                <w:color w:val="212121"/>
                <w:sz w:val="18"/>
                <w:szCs w:val="18"/>
              </w:rPr>
              <w:t xml:space="preserve">3%</w:t>
            </w:r>
          </w:p>
        </w:tc>
        <w:tc>
          <w:tcPr>
            <w:tcW w:type="dxa" w:w="2754"/>
            <w:tcMar>
              <w:top w:type="dxa" w:w="60"/>
              <w:left w:type="dxa" w:w="100"/>
              <w:bottom w:type="dxa" w:w="60"/>
              <w:right w:type="dxa" w:w="100"/>
            </w:tcMar>
            <w:vAlign w:val="center"/>
          </w:tcPr>
          <w:p>
            <w:pPr>
              <w:jc w:val="left"/>
            </w:pPr>
            <w:r>
              <w:rPr>
                <w:b w:val="false"/>
                <w:bCs w:val="false"/>
                <w:color w:val="212121"/>
                <w:sz w:val="18"/>
                <w:szCs w:val="18"/>
              </w:rPr>
              <w:t xml:space="preserve">MODIS 10-year burned-area record</w:t>
            </w:r>
          </w:p>
        </w:tc>
        <w:tc>
          <w:tcPr>
            <w:tcW w:type="dxa" w:w="3920"/>
            <w:tcMar>
              <w:top w:type="dxa" w:w="60"/>
              <w:left w:type="dxa" w:w="100"/>
              <w:bottom w:type="dxa" w:w="60"/>
              <w:right w:type="dxa" w:w="100"/>
            </w:tcMar>
            <w:vAlign w:val="center"/>
          </w:tcPr>
          <w:p>
            <w:pPr>
              <w:jc w:val="left"/>
            </w:pPr>
            <w:r>
              <w:rPr>
                <w:b w:val="false"/>
                <w:bCs w:val="false"/>
                <w:color w:val="212121"/>
                <w:sz w:val="18"/>
                <w:szCs w:val="18"/>
              </w:rPr>
              <w:t xml:space="preserve">Frequently burned land is a higher-risk investment and is flagged for fireline budget rather than planted blind.</w:t>
            </w:r>
          </w:p>
        </w:tc>
      </w:tr>
      <w:tr>
        <w:tc>
          <w:tcPr>
            <w:tcW w:type="dxa" w:w="2331"/>
            <w:shd w:fill="E8F5E9" w:val="clear"/>
            <w:tcMar>
              <w:top w:type="dxa" w:w="60"/>
              <w:left w:type="dxa" w:w="100"/>
              <w:bottom w:type="dxa" w:w="60"/>
              <w:right w:type="dxa" w:w="100"/>
            </w:tcMar>
            <w:vAlign w:val="center"/>
          </w:tcPr>
          <w:p>
            <w:pPr>
              <w:jc w:val="left"/>
            </w:pPr>
            <w:r>
              <w:rPr>
                <w:b w:val="false"/>
                <w:bCs w:val="false"/>
                <w:color w:val="212121"/>
                <w:sz w:val="18"/>
                <w:szCs w:val="18"/>
              </w:rPr>
              <w:t xml:space="preserve">Biotic Pressure &amp; Access</w:t>
            </w:r>
          </w:p>
        </w:tc>
        <w:tc>
          <w:tcPr>
            <w:tcW w:type="dxa" w:w="742"/>
            <w:shd w:fill="E8F5E9" w:val="clear"/>
            <w:tcMar>
              <w:top w:type="dxa" w:w="60"/>
              <w:left w:type="dxa" w:w="100"/>
              <w:bottom w:type="dxa" w:w="60"/>
              <w:right w:type="dxa" w:w="100"/>
            </w:tcMar>
            <w:vAlign w:val="center"/>
          </w:tcPr>
          <w:p>
            <w:pPr>
              <w:jc w:val="left"/>
            </w:pPr>
            <w:r>
              <w:rPr>
                <w:b w:val="false"/>
                <w:bCs w:val="false"/>
                <w:color w:val="212121"/>
                <w:sz w:val="18"/>
                <w:szCs w:val="18"/>
              </w:rPr>
              <w:t xml:space="preserve">3%</w:t>
            </w:r>
          </w:p>
        </w:tc>
        <w:tc>
          <w:tcPr>
            <w:tcW w:type="dxa" w:w="2754"/>
            <w:shd w:fill="E8F5E9" w:val="clear"/>
            <w:tcMar>
              <w:top w:type="dxa" w:w="60"/>
              <w:left w:type="dxa" w:w="100"/>
              <w:bottom w:type="dxa" w:w="60"/>
              <w:right w:type="dxa" w:w="100"/>
            </w:tcMar>
            <w:vAlign w:val="center"/>
          </w:tcPr>
          <w:p>
            <w:pPr>
              <w:jc w:val="left"/>
            </w:pPr>
            <w:r>
              <w:rPr>
                <w:b w:val="false"/>
                <w:bCs w:val="false"/>
                <w:color w:val="212121"/>
                <w:sz w:val="18"/>
                <w:szCs w:val="18"/>
              </w:rPr>
              <w:t xml:space="preserve">Village/road proximity (pending)</w:t>
            </w:r>
          </w:p>
        </w:tc>
        <w:tc>
          <w:tcPr>
            <w:tcW w:type="dxa" w:w="3920"/>
            <w:shd w:fill="E8F5E9" w:val="clear"/>
            <w:tcMar>
              <w:top w:type="dxa" w:w="60"/>
              <w:left w:type="dxa" w:w="100"/>
              <w:bottom w:type="dxa" w:w="60"/>
              <w:right w:type="dxa" w:w="100"/>
            </w:tcMar>
            <w:vAlign w:val="center"/>
          </w:tcPr>
          <w:p>
            <w:pPr>
              <w:jc w:val="left"/>
            </w:pPr>
            <w:r>
              <w:rPr>
                <w:b w:val="false"/>
                <w:bCs w:val="false"/>
                <w:color w:val="212121"/>
                <w:sz w:val="18"/>
                <w:szCs w:val="18"/>
              </w:rPr>
              <w:t xml:space="preserve">Distance from settlement is treated as a grazing-pressure indicator (this is a restoration programme, not community-managed forestry); road access controls real establishment cost.</w:t>
            </w:r>
          </w:p>
        </w:tc>
      </w:tr>
    </w:tbl>
    <w:p>
      <w:pPr>
        <w:spacing w:after="120"/>
      </w:pPr>
    </w:p>
    <w:p>
      <w:pPr>
        <w:spacing w:after="160" w:line="300"/>
      </w:pPr>
      <w:r>
        <w:rPr>
          <w:b w:val="false"/>
          <w:bCs w:val="false"/>
          <w:i/>
          <w:iCs/>
          <w:color w:val="212121"/>
          <w:sz w:val="21"/>
          <w:szCs w:val="21"/>
        </w:rPr>
        <w:t xml:space="preserve">Weights sum to exactly 100% — the underlying script verifies this automatically before it will run.</w:t>
      </w:r>
    </w:p>
    <w:p>
      <w:r>
        <w:br w:type="page"/>
      </w:r>
    </w:p>
    <w:p>
      <w:pPr>
        <w:pStyle w:val="Heading1"/>
        <w:pBdr>
          <w:bottom w:val="single" w:color="1B5E20" w:sz="8" w:space="4"/>
        </w:pBdr>
        <w:spacing w:after="160" w:before="360"/>
      </w:pPr>
      <w:r>
        <w:rPr>
          <w:b/>
          <w:bCs/>
          <w:color w:val="1B5E20"/>
          <w:sz w:val="30"/>
          <w:szCs w:val="30"/>
        </w:rPr>
        <w:t xml:space="preserve">5.  How the Priority Score Is Calculated</w:t>
      </w:r>
    </w:p>
    <w:p>
      <w:pPr>
        <w:pStyle w:val="Heading2"/>
        <w:spacing w:after="120" w:before="260"/>
      </w:pPr>
      <w:r>
        <w:rPr>
          <w:b/>
          <w:bCs/>
          <w:color w:val="2E7D32"/>
          <w:sz w:val="24"/>
          <w:szCs w:val="24"/>
        </w:rPr>
        <w:t xml:space="preserve">Step 1 — Eligibility</w:t>
      </w:r>
    </w:p>
    <w:p>
      <w:pPr>
        <w:spacing w:after="160" w:line="300"/>
      </w:pPr>
      <w:r>
        <w:rPr>
          <w:b w:val="false"/>
          <w:bCs w:val="false"/>
          <w:i w:val="false"/>
          <w:iCs w:val="false"/>
          <w:color w:val="212121"/>
          <w:sz w:val="21"/>
          <w:szCs w:val="21"/>
        </w:rPr>
        <w:t xml:space="preserve">Land already well-stocked with forest, water bodies, cropland, built-up areas, bare rock, and slopes beyond practical planting limits are excluded entirely before any scoring happens. Only genuinely available land is scored.</w:t>
      </w:r>
    </w:p>
    <w:p>
      <w:pPr>
        <w:pStyle w:val="Heading2"/>
        <w:spacing w:after="120" w:before="260"/>
      </w:pPr>
      <w:r>
        <w:rPr>
          <w:b/>
          <w:bCs/>
          <w:color w:val="2E7D32"/>
          <w:sz w:val="24"/>
          <w:szCs w:val="24"/>
        </w:rPr>
        <w:t xml:space="preserve">Step 2 — Local calibration</w:t>
      </w:r>
    </w:p>
    <w:p>
      <w:pPr>
        <w:spacing w:after="160" w:line="300"/>
      </w:pPr>
      <w:r>
        <w:rPr>
          <w:b w:val="false"/>
          <w:bCs w:val="false"/>
          <w:i w:val="false"/>
          <w:iCs w:val="false"/>
          <w:color w:val="212121"/>
          <w:sz w:val="21"/>
          <w:szCs w:val="21"/>
        </w:rPr>
        <w:t xml:space="preserve">Each of the 14 criteria is stretched against the real 2nd–98th percentile range found within this beat’s own eligible land — not a fixed, generic assumption. This is what makes the map reflect actual local conditions rather than an imported guess.</w:t>
      </w:r>
    </w:p>
    <w:p>
      <w:pPr>
        <w:pStyle w:val="Heading2"/>
        <w:spacing w:after="120" w:before="260"/>
      </w:pPr>
      <w:r>
        <w:rPr>
          <w:b/>
          <w:bCs/>
          <w:color w:val="2E7D32"/>
          <w:sz w:val="24"/>
          <w:szCs w:val="24"/>
        </w:rPr>
        <w:t xml:space="preserve">Step 3 — Weighted combination</w:t>
      </w:r>
    </w:p>
    <w:p>
      <w:pPr>
        <w:spacing w:after="160" w:line="300"/>
      </w:pPr>
      <w:r>
        <w:rPr>
          <w:b w:val="false"/>
          <w:bCs w:val="false"/>
          <w:i w:val="false"/>
          <w:iCs w:val="false"/>
          <w:color w:val="212121"/>
          <w:sz w:val="21"/>
          <w:szCs w:val="21"/>
        </w:rPr>
        <w:t xml:space="preserve">Every criterion is combined into one Priority Score using the weights in Section 4. Higher score = higher restoration priority, considering all 14 factors simultaneously.</w:t>
      </w:r>
    </w:p>
    <w:p>
      <w:pPr>
        <w:pStyle w:val="Heading2"/>
        <w:spacing w:after="120" w:before="260"/>
      </w:pPr>
      <w:r>
        <w:rPr>
          <w:b/>
          <w:bCs/>
          <w:color w:val="2E7D32"/>
          <w:sz w:val="24"/>
          <w:szCs w:val="24"/>
        </w:rPr>
        <w:t xml:space="preserve">Step 4 — Ranking</w:t>
      </w:r>
    </w:p>
    <w:p>
      <w:pPr>
        <w:spacing w:after="160" w:line="300"/>
      </w:pPr>
      <w:r>
        <w:rPr>
          <w:b w:val="false"/>
          <w:bCs w:val="false"/>
          <w:i w:val="false"/>
          <w:iCs w:val="false"/>
          <w:color w:val="212121"/>
          <w:sz w:val="21"/>
          <w:szCs w:val="21"/>
        </w:rPr>
        <w:t xml:space="preserve">Every ~1 hectare block in the beat is ranked highest-to-lowest. The top-ranked blocks, up to whatever hectare target a funding cycle allows, are the ones proposed — so the recommendation always matches the real budget, not a hypothetical one.</w:t>
      </w:r>
    </w:p>
    <w:p>
      <w:pPr>
        <w:pStyle w:val="Heading1"/>
        <w:pBdr>
          <w:bottom w:val="single" w:color="1B5E20" w:sz="8" w:space="4"/>
        </w:pBdr>
        <w:spacing w:after="160" w:before="360"/>
      </w:pPr>
      <w:r>
        <w:rPr>
          <w:b/>
          <w:bCs/>
          <w:color w:val="1B5E20"/>
          <w:sz w:val="30"/>
          <w:szCs w:val="30"/>
        </w:rPr>
        <w:t xml:space="preserve">6.  Scientific Rigor &amp; Transparency</w:t>
      </w:r>
    </w:p>
    <w:p>
      <w:pPr>
        <w:spacing w:after="160" w:line="300"/>
      </w:pPr>
      <w:r>
        <w:rPr>
          <w:b w:val="false"/>
          <w:bCs w:val="false"/>
          <w:i w:val="false"/>
          <w:iCs w:val="false"/>
          <w:color w:val="212121"/>
          <w:sz w:val="21"/>
          <w:szCs w:val="21"/>
        </w:rPr>
        <w:t xml:space="preserve">A model built for a government funding submission has to survive scrutiny, not just look convincing. Three safeguards are built directly into BGDSS:</w:t>
      </w:r>
    </w:p>
    <w:p>
      <w:pPr>
        <w:pStyle w:val="Heading2"/>
        <w:spacing w:after="120" w:before="260"/>
      </w:pPr>
      <w:r>
        <w:rPr>
          <w:b/>
          <w:bCs/>
          <w:color w:val="2E7D32"/>
          <w:sz w:val="24"/>
          <w:szCs w:val="24"/>
        </w:rPr>
        <w:t xml:space="preserve">Weights are not guessed</w:t>
      </w:r>
    </w:p>
    <w:p>
      <w:pPr>
        <w:spacing w:after="160" w:line="300"/>
      </w:pPr>
      <w:r>
        <w:rPr>
          <w:b w:val="false"/>
          <w:bCs w:val="false"/>
          <w:i w:val="false"/>
          <w:iCs w:val="false"/>
          <w:color w:val="212121"/>
          <w:sz w:val="21"/>
          <w:szCs w:val="21"/>
        </w:rPr>
        <w:t xml:space="preserve">The weighting was derived using the Analytic Hierarchy Process (AHP) — the standard, peer-reviewed method (Saaty, 1980) for converting expert judgment into defensible numeric weights through structured pairwise comparison. A companion interactive tool lets the Range/DFO team run this exercise themselves and export a fully auditable weight set, including a mathematical consistency check.</w:t>
      </w:r>
    </w:p>
    <w:p>
      <w:pPr>
        <w:pStyle w:val="Heading2"/>
        <w:spacing w:after="120" w:before="260"/>
      </w:pPr>
      <w:r>
        <w:rPr>
          <w:b/>
          <w:bCs/>
          <w:color w:val="2E7D32"/>
          <w:sz w:val="24"/>
          <w:szCs w:val="24"/>
        </w:rPr>
        <w:t xml:space="preserve">Redundancy is measured, not assumed</w:t>
      </w:r>
    </w:p>
    <w:p>
      <w:pPr>
        <w:spacing w:after="160" w:line="300"/>
      </w:pPr>
      <w:r>
        <w:rPr>
          <w:b w:val="false"/>
          <w:bCs w:val="false"/>
          <w:i w:val="false"/>
          <w:iCs w:val="false"/>
          <w:color w:val="212121"/>
          <w:sz w:val="21"/>
          <w:szCs w:val="21"/>
        </w:rPr>
        <w:t xml:space="preserve">Several physical factors (slope, rainfall) genuinely influence more than one criterion. Rather than ignore this, the model runs a correlation diagnostic across all 14 criteria on every run and flags any pair that may be double-counting the same underlying signal.</w:t>
      </w:r>
    </w:p>
    <w:p>
      <w:pPr>
        <w:pStyle w:val="Heading2"/>
        <w:spacing w:after="120" w:before="260"/>
      </w:pPr>
      <w:r>
        <w:rPr>
          <w:b/>
          <w:bCs/>
          <w:color w:val="2E7D32"/>
          <w:sz w:val="24"/>
          <w:szCs w:val="24"/>
        </w:rPr>
        <w:t xml:space="preserve">Robustness is tested, not claimed</w:t>
      </w:r>
    </w:p>
    <w:p>
      <w:pPr>
        <w:spacing w:after="160" w:line="300"/>
      </w:pPr>
      <w:r>
        <w:rPr>
          <w:b w:val="false"/>
          <w:bCs w:val="false"/>
          <w:i w:val="false"/>
          <w:iCs w:val="false"/>
          <w:color w:val="212121"/>
          <w:sz w:val="21"/>
          <w:szCs w:val="21"/>
        </w:rPr>
        <w:t xml:space="preserve">A built-in sensitivity analysis re-runs the ranking with each individual weight shifted ±20% and reports how many top-ranked sites remain top-ranked regardless. Sites that survive every perturbation are the genuinely robust recommendations; sites that move are flagged as weight-sensitive.</w:t>
      </w:r>
    </w:p>
    <w:p>
      <w:pPr>
        <w:pBdr>
          <w:left w:val="single" w:color="B26A00" w:sz="18" w:space="6"/>
        </w:pBdr>
        <w:shd w:fill="FFF8E1" w:val="clear"/>
        <w:spacing w:after="160"/>
        <w:ind w:left="120"/>
      </w:pPr>
      <w:r>
        <w:rPr>
          <w:b/>
          <w:bCs/>
          <w:color w:val="B26A00"/>
          <w:sz w:val="20"/>
          <w:szCs w:val="20"/>
        </w:rPr>
        <w:t xml:space="preserve">STATUS: </w:t>
      </w:r>
      <w:r>
        <w:rPr>
          <w:i/>
          <w:iCs/>
          <w:color w:val="212121"/>
          <w:sz w:val="20"/>
          <w:szCs w:val="20"/>
        </w:rPr>
        <w:t xml:space="preserve">Every criterion raster, the full ranked block list, the correlation matrix, and the sensitivity results are exported automatically on every run — nothing in this model is a black box.</w:t>
      </w:r>
    </w:p>
    <w:p>
      <w:r>
        <w:br w:type="page"/>
      </w:r>
    </w:p>
    <w:p>
      <w:pPr>
        <w:pStyle w:val="Heading1"/>
        <w:pBdr>
          <w:bottom w:val="single" w:color="1B5E20" w:sz="8" w:space="4"/>
        </w:pBdr>
        <w:spacing w:after="160" w:before="360"/>
      </w:pPr>
      <w:r>
        <w:rPr>
          <w:b/>
          <w:bCs/>
          <w:color w:val="1B5E20"/>
          <w:sz w:val="30"/>
          <w:szCs w:val="30"/>
        </w:rPr>
        <w:t xml:space="preserve">7.  Current Status &amp; What’s Pending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46"/>
        <w:gridCol w:w="3046"/>
        <w:gridCol w:w="3655"/>
      </w:tblGrid>
      <w:tr>
        <w:trPr>
          <w:tblHeader/>
        </w:trPr>
        <w:tc>
          <w:tcPr>
            <w:tcW w:type="dxa" w:w="3046"/>
            <w:shd w:fill="1B5E20" w:val="clear"/>
            <w:tcMar>
              <w:top w:type="dxa" w:w="80"/>
              <w:left w:type="dxa" w:w="100"/>
              <w:bottom w:type="dxa" w:w="80"/>
              <w:right w:type="dxa" w:w="100"/>
            </w:tcMar>
            <w:vAlign w:val="center"/>
          </w:tcPr>
          <w:p>
            <w:pPr>
              <w:jc w:val="left"/>
            </w:pPr>
            <w:r>
              <w:rPr>
                <w:b/>
                <w:bCs/>
                <w:color w:val="FFFFFF"/>
                <w:sz w:val="18"/>
                <w:szCs w:val="18"/>
              </w:rPr>
              <w:t xml:space="preserve">Item</w:t>
            </w:r>
          </w:p>
        </w:tc>
        <w:tc>
          <w:tcPr>
            <w:tcW w:type="dxa" w:w="3046"/>
            <w:shd w:fill="1B5E20" w:val="clear"/>
            <w:tcMar>
              <w:top w:type="dxa" w:w="80"/>
              <w:left w:type="dxa" w:w="100"/>
              <w:bottom w:type="dxa" w:w="80"/>
              <w:right w:type="dxa" w:w="100"/>
            </w:tcMar>
            <w:vAlign w:val="center"/>
          </w:tcPr>
          <w:p>
            <w:pPr>
              <w:jc w:val="left"/>
            </w:pPr>
            <w:r>
              <w:rPr>
                <w:b/>
                <w:bCs/>
                <w:color w:val="FFFFFF"/>
                <w:sz w:val="18"/>
                <w:szCs w:val="18"/>
              </w:rPr>
              <w:t xml:space="preserve">Status</w:t>
            </w:r>
          </w:p>
        </w:tc>
        <w:tc>
          <w:tcPr>
            <w:tcW w:type="dxa" w:w="3655"/>
            <w:shd w:fill="1B5E20" w:val="clear"/>
            <w:tcMar>
              <w:top w:type="dxa" w:w="80"/>
              <w:left w:type="dxa" w:w="100"/>
              <w:bottom w:type="dxa" w:w="80"/>
              <w:right w:type="dxa" w:w="100"/>
            </w:tcMar>
            <w:vAlign w:val="center"/>
          </w:tcPr>
          <w:p>
            <w:pPr>
              <w:jc w:val="left"/>
            </w:pPr>
            <w:r>
              <w:rPr>
                <w:b/>
                <w:bCs/>
                <w:color w:val="FFFFFF"/>
                <w:sz w:val="18"/>
                <w:szCs w:val="18"/>
              </w:rPr>
              <w:t xml:space="preserve">What’s Needed</w:t>
            </w:r>
          </w:p>
        </w:tc>
      </w:tr>
      <w:tr>
        <w:tc>
          <w:tcPr>
            <w:tcW w:type="dxa" w:w="3046"/>
            <w:tcMar>
              <w:top w:type="dxa" w:w="60"/>
              <w:left w:type="dxa" w:w="100"/>
              <w:bottom w:type="dxa" w:w="60"/>
              <w:right w:type="dxa" w:w="100"/>
            </w:tcMar>
            <w:vAlign w:val="center"/>
          </w:tcPr>
          <w:p>
            <w:pPr>
              <w:jc w:val="left"/>
            </w:pPr>
            <w:r>
              <w:rPr>
                <w:b w:val="false"/>
                <w:bCs w:val="false"/>
                <w:color w:val="212121"/>
                <w:sz w:val="18"/>
                <w:szCs w:val="18"/>
              </w:rPr>
              <w:t xml:space="preserve">Core 12 of 14 criteria</w:t>
            </w:r>
          </w:p>
        </w:tc>
        <w:tc>
          <w:tcPr>
            <w:tcW w:type="dxa" w:w="3046"/>
            <w:tcMar>
              <w:top w:type="dxa" w:w="60"/>
              <w:left w:type="dxa" w:w="100"/>
              <w:bottom w:type="dxa" w:w="60"/>
              <w:right w:type="dxa" w:w="100"/>
            </w:tcMar>
            <w:vAlign w:val="center"/>
          </w:tcPr>
          <w:p>
            <w:pPr>
              <w:jc w:val="left"/>
            </w:pPr>
            <w:r>
              <w:rPr>
                <w:b w:val="false"/>
                <w:bCs w:val="false"/>
                <w:color w:val="212121"/>
                <w:sz w:val="18"/>
                <w:szCs w:val="18"/>
              </w:rPr>
              <w:t xml:space="preserve">Live, running on real satellite data</w:t>
            </w:r>
          </w:p>
        </w:tc>
        <w:tc>
          <w:tcPr>
            <w:tcW w:type="dxa" w:w="3655"/>
            <w:tcMar>
              <w:top w:type="dxa" w:w="60"/>
              <w:left w:type="dxa" w:w="100"/>
              <w:bottom w:type="dxa" w:w="60"/>
              <w:right w:type="dxa" w:w="100"/>
            </w:tcMar>
            <w:vAlign w:val="center"/>
          </w:tcPr>
          <w:p>
            <w:pPr>
              <w:jc w:val="left"/>
            </w:pPr>
            <w:r>
              <w:rPr>
                <w:b w:val="false"/>
                <w:bCs w:val="false"/>
                <w:color w:val="212121"/>
                <w:sz w:val="18"/>
                <w:szCs w:val="18"/>
              </w:rPr>
              <w:t xml:space="preserve">None</w:t>
            </w:r>
          </w:p>
        </w:tc>
      </w:tr>
      <w:tr>
        <w:tc>
          <w:tcPr>
            <w:tcW w:type="dxa" w:w="3046"/>
            <w:shd w:fill="E8F5E9" w:val="clear"/>
            <w:tcMar>
              <w:top w:type="dxa" w:w="60"/>
              <w:left w:type="dxa" w:w="100"/>
              <w:bottom w:type="dxa" w:w="60"/>
              <w:right w:type="dxa" w:w="100"/>
            </w:tcMar>
            <w:vAlign w:val="center"/>
          </w:tcPr>
          <w:p>
            <w:pPr>
              <w:jc w:val="left"/>
            </w:pPr>
            <w:r>
              <w:rPr>
                <w:b w:val="false"/>
                <w:bCs w:val="false"/>
                <w:color w:val="212121"/>
                <w:sz w:val="18"/>
                <w:szCs w:val="18"/>
              </w:rPr>
              <w:t xml:space="preserve">Wildlife Corridor Proximity (8% weight)</w:t>
            </w:r>
          </w:p>
        </w:tc>
        <w:tc>
          <w:tcPr>
            <w:tcW w:type="dxa" w:w="3046"/>
            <w:shd w:fill="E8F5E9" w:val="clear"/>
            <w:tcMar>
              <w:top w:type="dxa" w:w="60"/>
              <w:left w:type="dxa" w:w="100"/>
              <w:bottom w:type="dxa" w:w="60"/>
              <w:right w:type="dxa" w:w="100"/>
            </w:tcMar>
            <w:vAlign w:val="center"/>
          </w:tcPr>
          <w:p>
            <w:pPr>
              <w:jc w:val="left"/>
            </w:pPr>
            <w:r>
              <w:rPr>
                <w:b w:val="false"/>
                <w:bCs w:val="false"/>
                <w:color w:val="212121"/>
                <w:sz w:val="18"/>
                <w:szCs w:val="18"/>
              </w:rPr>
              <w:t xml:space="preserve">Running on neutral placeholder</w:t>
            </w:r>
          </w:p>
        </w:tc>
        <w:tc>
          <w:tcPr>
            <w:tcW w:type="dxa" w:w="3655"/>
            <w:shd w:fill="E8F5E9" w:val="clear"/>
            <w:tcMar>
              <w:top w:type="dxa" w:w="60"/>
              <w:left w:type="dxa" w:w="100"/>
              <w:bottom w:type="dxa" w:w="60"/>
              <w:right w:type="dxa" w:w="100"/>
            </w:tcMar>
            <w:vAlign w:val="center"/>
          </w:tcPr>
          <w:p>
            <w:pPr>
              <w:jc w:val="left"/>
            </w:pPr>
            <w:r>
              <w:rPr>
                <w:b w:val="false"/>
                <w:bCs w:val="false"/>
                <w:color w:val="212121"/>
                <w:sz w:val="18"/>
                <w:szCs w:val="18"/>
              </w:rPr>
              <w:t xml:space="preserve">Forest Department corridor boundary layer</w:t>
            </w:r>
          </w:p>
        </w:tc>
      </w:tr>
      <w:tr>
        <w:tc>
          <w:tcPr>
            <w:tcW w:type="dxa" w:w="3046"/>
            <w:tcMar>
              <w:top w:type="dxa" w:w="60"/>
              <w:left w:type="dxa" w:w="100"/>
              <w:bottom w:type="dxa" w:w="60"/>
              <w:right w:type="dxa" w:w="100"/>
            </w:tcMar>
            <w:vAlign w:val="center"/>
          </w:tcPr>
          <w:p>
            <w:pPr>
              <w:jc w:val="left"/>
            </w:pPr>
            <w:r>
              <w:rPr>
                <w:b w:val="false"/>
                <w:bCs w:val="false"/>
                <w:color w:val="212121"/>
                <w:sz w:val="18"/>
                <w:szCs w:val="18"/>
              </w:rPr>
              <w:t xml:space="preserve">Biotic Pressure &amp; Access (3% weight)</w:t>
            </w:r>
          </w:p>
        </w:tc>
        <w:tc>
          <w:tcPr>
            <w:tcW w:type="dxa" w:w="3046"/>
            <w:tcMar>
              <w:top w:type="dxa" w:w="60"/>
              <w:left w:type="dxa" w:w="100"/>
              <w:bottom w:type="dxa" w:w="60"/>
              <w:right w:type="dxa" w:w="100"/>
            </w:tcMar>
            <w:vAlign w:val="center"/>
          </w:tcPr>
          <w:p>
            <w:pPr>
              <w:jc w:val="left"/>
            </w:pPr>
            <w:r>
              <w:rPr>
                <w:b w:val="false"/>
                <w:bCs w:val="false"/>
                <w:color w:val="212121"/>
                <w:sz w:val="18"/>
                <w:szCs w:val="18"/>
              </w:rPr>
              <w:t xml:space="preserve">Running on partial/coarse placeholder</w:t>
            </w:r>
          </w:p>
        </w:tc>
        <w:tc>
          <w:tcPr>
            <w:tcW w:type="dxa" w:w="3655"/>
            <w:tcMar>
              <w:top w:type="dxa" w:w="60"/>
              <w:left w:type="dxa" w:w="100"/>
              <w:bottom w:type="dxa" w:w="60"/>
              <w:right w:type="dxa" w:w="100"/>
            </w:tcMar>
            <w:vAlign w:val="center"/>
          </w:tcPr>
          <w:p>
            <w:pPr>
              <w:jc w:val="left"/>
            </w:pPr>
            <w:r>
              <w:rPr>
                <w:b w:val="false"/>
                <w:bCs w:val="false"/>
                <w:color w:val="212121"/>
                <w:sz w:val="18"/>
                <w:szCs w:val="18"/>
              </w:rPr>
              <w:t xml:space="preserve">Village point + road line layers</w:t>
            </w:r>
          </w:p>
        </w:tc>
      </w:tr>
      <w:tr>
        <w:tc>
          <w:tcPr>
            <w:tcW w:type="dxa" w:w="3046"/>
            <w:shd w:fill="E8F5E9" w:val="clear"/>
            <w:tcMar>
              <w:top w:type="dxa" w:w="60"/>
              <w:left w:type="dxa" w:w="100"/>
              <w:bottom w:type="dxa" w:w="60"/>
              <w:right w:type="dxa" w:w="100"/>
            </w:tcMar>
            <w:vAlign w:val="center"/>
          </w:tcPr>
          <w:p>
            <w:pPr>
              <w:jc w:val="left"/>
            </w:pPr>
            <w:r>
              <w:rPr>
                <w:b w:val="false"/>
                <w:bCs w:val="false"/>
                <w:color w:val="212121"/>
                <w:sz w:val="18"/>
                <w:szCs w:val="18"/>
              </w:rPr>
              <w:t xml:space="preserve">Soil Depth field calibration</w:t>
            </w:r>
          </w:p>
        </w:tc>
        <w:tc>
          <w:tcPr>
            <w:tcW w:type="dxa" w:w="3046"/>
            <w:shd w:fill="E8F5E9" w:val="clear"/>
            <w:tcMar>
              <w:top w:type="dxa" w:w="60"/>
              <w:left w:type="dxa" w:w="100"/>
              <w:bottom w:type="dxa" w:w="60"/>
              <w:right w:type="dxa" w:w="100"/>
            </w:tcMar>
            <w:vAlign w:val="center"/>
          </w:tcPr>
          <w:p>
            <w:pPr>
              <w:jc w:val="left"/>
            </w:pPr>
            <w:r>
              <w:rPr>
                <w:b w:val="false"/>
                <w:bCs w:val="false"/>
                <w:color w:val="212121"/>
                <w:sz w:val="18"/>
                <w:szCs w:val="18"/>
              </w:rPr>
              <w:t xml:space="preserve">Composite satellite proxy (15% weight)</w:t>
            </w:r>
          </w:p>
        </w:tc>
        <w:tc>
          <w:tcPr>
            <w:tcW w:type="dxa" w:w="3655"/>
            <w:shd w:fill="E8F5E9" w:val="clear"/>
            <w:tcMar>
              <w:top w:type="dxa" w:w="60"/>
              <w:left w:type="dxa" w:w="100"/>
              <w:bottom w:type="dxa" w:w="60"/>
              <w:right w:type="dxa" w:w="100"/>
            </w:tcMar>
            <w:vAlign w:val="center"/>
          </w:tcPr>
          <w:p>
            <w:pPr>
              <w:jc w:val="left"/>
            </w:pPr>
            <w:r>
              <w:rPr>
                <w:b w:val="false"/>
                <w:bCs w:val="false"/>
                <w:color w:val="212121"/>
                <w:sz w:val="18"/>
                <w:szCs w:val="18"/>
              </w:rPr>
              <w:t xml:space="preserve">30–50 GPS-located soil-pit depths would upgrade this to a locally-trained model — the single highest-value field investment available</w:t>
            </w:r>
          </w:p>
        </w:tc>
      </w:tr>
      <w:tr>
        <w:tc>
          <w:tcPr>
            <w:tcW w:type="dxa" w:w="3046"/>
            <w:tcMar>
              <w:top w:type="dxa" w:w="60"/>
              <w:left w:type="dxa" w:w="100"/>
              <w:bottom w:type="dxa" w:w="60"/>
              <w:right w:type="dxa" w:w="100"/>
            </w:tcMar>
            <w:vAlign w:val="center"/>
          </w:tcPr>
          <w:p>
            <w:pPr>
              <w:jc w:val="left"/>
            </w:pPr>
            <w:r>
              <w:rPr>
                <w:b w:val="false"/>
                <w:bCs w:val="false"/>
                <w:color w:val="212121"/>
                <w:sz w:val="18"/>
                <w:szCs w:val="18"/>
              </w:rPr>
              <w:t xml:space="preserve">Scale</w:t>
            </w:r>
          </w:p>
        </w:tc>
        <w:tc>
          <w:tcPr>
            <w:tcW w:type="dxa" w:w="3046"/>
            <w:tcMar>
              <w:top w:type="dxa" w:w="60"/>
              <w:left w:type="dxa" w:w="100"/>
              <w:bottom w:type="dxa" w:w="60"/>
              <w:right w:type="dxa" w:w="100"/>
            </w:tcMar>
            <w:vAlign w:val="center"/>
          </w:tcPr>
          <w:p>
            <w:pPr>
              <w:jc w:val="left"/>
            </w:pPr>
            <w:r>
              <w:rPr>
                <w:b w:val="false"/>
                <w:bCs w:val="false"/>
                <w:color w:val="212121"/>
                <w:sz w:val="18"/>
                <w:szCs w:val="18"/>
              </w:rPr>
              <w:t xml:space="preserve">Piloted on one beat</w:t>
            </w:r>
          </w:p>
        </w:tc>
        <w:tc>
          <w:tcPr>
            <w:tcW w:type="dxa" w:w="3655"/>
            <w:tcMar>
              <w:top w:type="dxa" w:w="60"/>
              <w:left w:type="dxa" w:w="100"/>
              <w:bottom w:type="dxa" w:w="60"/>
              <w:right w:type="dxa" w:w="100"/>
            </w:tcMar>
            <w:vAlign w:val="center"/>
          </w:tcPr>
          <w:p>
            <w:pPr>
              <w:jc w:val="left"/>
            </w:pPr>
            <w:r>
              <w:rPr>
                <w:b w:val="false"/>
                <w:bCs w:val="false"/>
                <w:color w:val="212121"/>
                <w:sz w:val="18"/>
                <w:szCs w:val="18"/>
              </w:rPr>
              <w:t xml:space="preserve">Ready to extend Range-wide or Division-wide with no methodology change</w:t>
            </w:r>
          </w:p>
        </w:tc>
      </w:tr>
    </w:tbl>
    <w:p>
      <w:pPr>
        <w:pStyle w:val="Heading1"/>
        <w:pBdr>
          <w:bottom w:val="single" w:color="1B5E20" w:sz="8" w:space="4"/>
        </w:pBdr>
        <w:spacing w:after="160" w:before="360"/>
      </w:pPr>
      <w:r>
        <w:rPr>
          <w:b/>
          <w:bCs/>
          <w:color w:val="1B5E20"/>
          <w:sz w:val="30"/>
          <w:szCs w:val="30"/>
        </w:rPr>
        <w:t xml:space="preserve">8.  Recommendation to PMO</w:t>
      </w:r>
    </w:p>
    <w:p>
      <w:pPr>
        <w:pStyle w:val="ListParagraph"/>
        <w:numPr>
          <w:ilvl w:val="0"/>
          <w:numId w:val="1"/>
        </w:numPr>
        <w:spacing w:after="100"/>
      </w:pPr>
      <w:r>
        <w:rPr>
          <w:b w:val="false"/>
          <w:bCs w:val="false"/>
          <w:color w:val="212121"/>
          <w:sz w:val="21"/>
          <w:szCs w:val="21"/>
        </w:rPr>
        <w:t xml:space="preserve">Endorse the BGDSS methodology as the standard site-selection process for CAMPA/restoration funding submissions from this Division.</w:t>
      </w:r>
    </w:p>
    <w:p>
      <w:pPr>
        <w:pStyle w:val="ListParagraph"/>
        <w:numPr>
          <w:ilvl w:val="0"/>
          <w:numId w:val="1"/>
        </w:numPr>
        <w:spacing w:after="100"/>
      </w:pPr>
      <w:r>
        <w:rPr>
          <w:b w:val="false"/>
          <w:bCs w:val="false"/>
          <w:color w:val="212121"/>
          <w:sz w:val="21"/>
          <w:szCs w:val="21"/>
        </w:rPr>
        <w:t xml:space="preserve">Direct the Range to supply the two pending data layers (village/road locations, wildlife corridor boundary) to close the remaining accuracy gap at no additional cost.</w:t>
      </w:r>
    </w:p>
    <w:p>
      <w:pPr>
        <w:pStyle w:val="ListParagraph"/>
        <w:numPr>
          <w:ilvl w:val="0"/>
          <w:numId w:val="1"/>
        </w:numPr>
        <w:spacing w:after="100"/>
      </w:pPr>
      <w:r>
        <w:rPr>
          <w:b w:val="false"/>
          <w:bCs w:val="false"/>
          <w:color w:val="212121"/>
          <w:sz w:val="21"/>
          <w:szCs w:val="21"/>
        </w:rPr>
        <w:t xml:space="preserve">Approve a modest field-verification budget (30–50 soil-pit GPS points) to upgrade the model’s largest-weighted criterion from a satellite proxy to a field-calibrated measurement.</w:t>
      </w:r>
    </w:p>
    <w:p>
      <w:pPr>
        <w:pStyle w:val="ListParagraph"/>
        <w:numPr>
          <w:ilvl w:val="0"/>
          <w:numId w:val="1"/>
        </w:numPr>
        <w:spacing w:after="100"/>
      </w:pPr>
      <w:r>
        <w:rPr>
          <w:b w:val="false"/>
          <w:bCs w:val="false"/>
          <w:color w:val="212121"/>
          <w:sz w:val="21"/>
          <w:szCs w:val="21"/>
        </w:rPr>
        <w:t xml:space="preserve">Authorize scaling the same model, unchanged, to Range- or Division-wide site prioritization for the next funding cycle.</w:t>
      </w:r>
    </w:p>
    <w:p>
      <w:pPr>
        <w:spacing w:after="200"/>
      </w:pPr>
    </w:p>
    <w:p>
      <w:pPr>
        <w:spacing w:after="160" w:line="300"/>
      </w:pPr>
      <w:r>
        <w:rPr>
          <w:b/>
          <w:bCs/>
          <w:i w:val="false"/>
          <w:iCs w:val="false"/>
          <w:color w:val="212121"/>
          <w:sz w:val="21"/>
          <w:szCs w:val="21"/>
        </w:rPr>
        <w:t xml:space="preserve">BGDSS turns site selection from a matter of individual field judgment into a documented, reproducible, and auditable process — exactly the standard a PMO-level funding submission needs to withstand scrutiny.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16161"/>
        <w:sz w:val="16"/>
        <w:szCs w:val="16"/>
      </w:rPr>
      <w:t xml:space="preserve">Page </w:t>
    </w:r>
    <w:r>
      <w:rPr>
        <w:color w:val="616161"/>
        <w:sz w:val="16"/>
        <w:szCs w:val="16"/>
      </w:rPr>
      <w:fldChar w:fldCharType="begin"/>
      <w:instrText xml:space="preserve">PAGE</w:instrText>
      <w:fldChar w:fldCharType="separate"/>
      <w:fldChar w:fldCharType="end"/>
    </w:r>
    <w:r>
      <w:rPr>
        <w:color w:val="616161"/>
        <w:sz w:val="16"/>
        <w:szCs w:val="16"/>
      </w:rPr>
      <w:t xml:space="preserve"> of </w:t>
    </w:r>
    <w:r>
      <w:rPr>
        <w:color w:val="6161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16161"/>
        <w:sz w:val="16"/>
        <w:szCs w:val="16"/>
      </w:rPr>
      <w:t xml:space="preserve">BGDSS — PMO Briefing: Plantation &amp; Eco-Restoration Suitability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2026-08-17T07:34:28.316Z</dcterms:created>
  <dcterms:modified xsi:type="dcterms:W3CDTF">2026-08-17T07:34:28.326Z</dcterms:modified>
</cp:coreProperties>
</file>

<file path=docProps/custom.xml><?xml version="1.0" encoding="utf-8"?>
<Properties xmlns="http://schemas.openxmlformats.org/officeDocument/2006/custom-properties" xmlns:vt="http://schemas.openxmlformats.org/officeDocument/2006/docPropsVTypes"/>
</file>