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616161"/>
          <w:sz w:val="22"/>
          <w:szCs w:val="22"/>
        </w:rPr>
        <w:t xml:space="preserve">GOVERNMENT OF GUJARAT</w:t>
      </w:r>
    </w:p>
    <w:p>
      <w:pPr>
        <w:spacing w:after="400"/>
        <w:jc w:val="center"/>
      </w:pPr>
      <w:r>
        <w:rPr>
          <w:b/>
          <w:bCs/>
          <w:color w:val="616161"/>
          <w:sz w:val="22"/>
          <w:szCs w:val="22"/>
        </w:rPr>
        <w:t xml:space="preserve">FOREST DEPARTMENT</w:t>
      </w:r>
    </w:p>
    <w:p>
      <w:pPr>
        <w:spacing w:after="80"/>
        <w:jc w:val="center"/>
      </w:pPr>
      <w:r>
        <w:rPr>
          <w:b/>
          <w:bCs/>
          <w:color w:val="1B5E20"/>
          <w:sz w:val="44"/>
          <w:szCs w:val="44"/>
        </w:rPr>
        <w:t xml:space="preserve">CAMPA SITE SELECTION JUSTIFICATION</w:t>
      </w:r>
    </w:p>
    <w:p>
      <w:pPr>
        <w:spacing w:after="400"/>
        <w:jc w:val="center"/>
      </w:pPr>
      <w:r>
        <w:rPr>
          <w:b/>
          <w:bCs/>
          <w:color w:val="B26A00"/>
          <w:sz w:val="30"/>
          <w:szCs w:val="30"/>
        </w:rPr>
        <w:t xml:space="preserve">Detailed Project Report (Draft)</w:t>
      </w:r>
    </w:p>
    <w:p>
      <w:pPr>
        <w:spacing w:after="80"/>
        <w:jc w:val="center"/>
      </w:pPr>
      <w:r>
        <w:rPr>
          <w:color w:val="212121"/>
          <w:sz w:val="24"/>
          <w:szCs w:val="24"/>
        </w:rPr>
        <w:t xml:space="preserve">Beat GIS Decision Support System (BGDSS) - Pilot Project</w:t>
      </w:r>
    </w:p>
    <w:p>
      <w:pPr>
        <w:spacing w:after="40"/>
        <w:jc w:val="center"/>
      </w:pPr>
      <w:r>
        <w:rPr>
          <w:color w:val="212121"/>
          <w:sz w:val="24"/>
          <w:szCs w:val="24"/>
        </w:rPr>
        <w:t xml:space="preserve">Sabarkantha Forest Division</w:t>
      </w:r>
    </w:p>
    <w:p>
      <w:pPr>
        <w:spacing w:after="600"/>
        <w:jc w:val="center"/>
      </w:pPr>
      <w:r>
        <w:rPr>
          <w:color w:val="212121"/>
          <w:sz w:val="24"/>
          <w:szCs w:val="24"/>
        </w:rPr>
        <w:t xml:space="preserve">Raygadh Range</w:t>
      </w:r>
    </w:p>
    <w:p>
      <w:pPr>
        <w:spacing w:after="40"/>
        <w:jc w:val="center"/>
      </w:pPr>
      <w:r>
        <w:rPr>
          <w:i/>
          <w:iCs/>
          <w:color w:val="616161"/>
          <w:sz w:val="20"/>
          <w:szCs w:val="20"/>
        </w:rPr>
        <w:t xml:space="preserve">Prepared under the CAMPA (Compensatory Afforestation Fund) framework</w:t>
      </w:r>
    </w:p>
    <w:p>
      <w:pPr>
        <w:spacing w:after="40"/>
        <w:jc w:val="center"/>
      </w:pPr>
      <w:r>
        <w:rPr>
          <w:i/>
          <w:iCs/>
          <w:color w:val="616161"/>
          <w:sz w:val="20"/>
          <w:szCs w:val="20"/>
        </w:rPr>
        <w:t xml:space="preserve">for submission to the State CAMPA / Annual Plan of Operations (APO)</w:t>
      </w:r>
    </w:p>
    <w:p>
      <w:pPr>
        <w:spacing w:after="6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FFF3E0" w:val="clear"/>
            <w:tcMar>
              <w:top w:type="dxa" w:w="200"/>
              <w:left w:type="dxa" w:w="300"/>
              <w:bottom w:type="dxa" w:w="200"/>
              <w:right w:type="dxa" w:w="300"/>
            </w:tcMar>
          </w:tcPr>
          <w:p>
            <w:pPr>
              <w:jc w:val="center"/>
            </w:pPr>
            <w:r>
              <w:rPr>
                <w:b/>
                <w:bCs/>
                <w:color w:val="B26A00"/>
                <w:sz w:val="24"/>
                <w:szCs w:val="24"/>
              </w:rPr>
              <w:t xml:space="preserve">DRAFT v0.1 - NOT FOR FINAL SUBMISSION</w:t>
            </w:r>
          </w:p>
          <w:p>
            <w:pPr>
              <w:spacing w:before="120"/>
              <w:jc w:val="center"/>
            </w:pPr>
            <w:r>
              <w:rPr>
                <w:color w:val="212121"/>
                <w:sz w:val="19"/>
                <w:szCs w:val="19"/>
              </w:rPr>
              <w:t xml:space="preserve">This document is a methodology-complete FRAMEWORK, generated from the BGDSS GIS site-prioritization pipeline. Site-level areas, costs, and carbon figures marked "ASSUMPTION - VERIFY" must be populated from an actual Module 2 (CAMPA Site Prioritization) run and the Range’s confirmed CAMPA APO allocation before this leaves draft status. See Annexure C for the complete assumptions register.</w:t>
            </w:r>
          </w:p>
        </w:tc>
      </w:tr>
    </w:tbl>
    <w:p>
      <w:r>
        <w:br w:type="page"/>
      </w:r>
    </w:p>
    <w:p>
      <w:pPr>
        <w:pStyle w:val="Heading1"/>
        <w:pBdr>
          <w:bottom w:val="single" w:color="1B5E20" w:sz="8" w:space="4"/>
        </w:pBdr>
        <w:spacing w:after="160" w:before="360"/>
      </w:pPr>
      <w:r>
        <w:rPr>
          <w:b/>
          <w:bCs/>
          <w:color w:val="1B5E20"/>
          <w:sz w:val="30"/>
          <w:szCs w:val="30"/>
        </w:rPr>
        <w:t xml:space="preserve">1.  Executive Summary</w:t>
      </w:r>
    </w:p>
    <w:p>
      <w:pPr>
        <w:spacing w:after="160" w:line="300"/>
      </w:pPr>
      <w:r>
        <w:rPr>
          <w:b w:val="false"/>
          <w:bCs w:val="false"/>
          <w:i w:val="false"/>
          <w:iCs w:val="false"/>
          <w:color w:val="212121"/>
          <w:sz w:val="21"/>
          <w:szCs w:val="21"/>
        </w:rPr>
        <w:t xml:space="preserve">This report justifies the selection of treatment sites within the pilot Beat (Raygadh Range, Sabarkantha Forest Division, ~11,377 ha) for funding under the Compensatory Afforestation Fund Management and Planning Authority (CAMPA) framework, using a reproducible, GIS-based site-prioritization methodology built on the Beat GIS Decision Support System (BGDSS).</w:t>
      </w:r>
    </w:p>
    <w:p>
      <w:pPr>
        <w:spacing w:after="160" w:line="300"/>
      </w:pPr>
      <w:r>
        <w:rPr>
          <w:b w:val="false"/>
          <w:bCs w:val="false"/>
          <w:i w:val="false"/>
          <w:iCs w:val="false"/>
          <w:color w:val="212121"/>
          <w:sz w:val="21"/>
          <w:szCs w:val="21"/>
        </w:rPr>
        <w:t xml:space="preserve">Rather than nominating sites by field familiarity alone, every hectare of the beat was scored on four criteria - degradation severity, soil erosion risk, carbon-gain potential, and site workability - using publicly verifiable satellite datasets and India-specific methodologies (Forest Survey of India / ISFR carbon convention, CSWCRTI rainfall-erosivity, NRSC Soil Erosion Atlas land-cover factors). The highest-ranked hectares, up to the Range’s funded target area, are proposed for treatment. Every criterion, weight, and dataset used is stated explicitly so the ranking can be audited or re-run with better local data at any time.</w:t>
      </w:r>
    </w:p>
    <w:p>
      <w:pPr>
        <w:pStyle w:val="Heading2"/>
        <w:spacing w:after="120" w:before="260"/>
      </w:pPr>
      <w:r>
        <w:rPr>
          <w:b/>
          <w:bCs/>
          <w:color w:val="2E7D32"/>
          <w:sz w:val="24"/>
          <w:szCs w:val="24"/>
        </w:rPr>
        <w:t xml:space="preserve">Highlights</w:t>
      </w:r>
    </w:p>
    <w:p>
      <w:pPr>
        <w:pStyle w:val="ListParagraph"/>
        <w:numPr>
          <w:ilvl w:val="0"/>
          <w:numId w:val="1"/>
        </w:numPr>
        <w:spacing w:after="100"/>
      </w:pPr>
      <w:r>
        <w:rPr>
          <w:color w:val="212121"/>
          <w:sz w:val="21"/>
          <w:szCs w:val="21"/>
        </w:rPr>
        <w:t xml:space="preserve">Study area: ~11,377 ha, Champion &amp; Seth (1968) Group 5B - Northern Dry Deciduous Forest.</w:t>
      </w:r>
    </w:p>
    <w:p>
      <w:pPr>
        <w:pStyle w:val="ListParagraph"/>
        <w:numPr>
          <w:ilvl w:val="0"/>
          <w:numId w:val="1"/>
        </w:numPr>
        <w:spacing w:after="100"/>
      </w:pPr>
      <w:r>
        <w:rPr>
          <w:color w:val="212121"/>
          <w:sz w:val="21"/>
          <w:szCs w:val="21"/>
        </w:rPr>
        <w:t xml:space="preserve">Three fundable treatment types identified per hectare: New Plantation, Assisted Natural Regeneration (ANR), and Soil &amp; Water Conservation works.</w:t>
      </w:r>
    </w:p>
    <w:p>
      <w:pPr>
        <w:pStyle w:val="ListParagraph"/>
        <w:numPr>
          <w:ilvl w:val="0"/>
          <w:numId w:val="1"/>
        </w:numPr>
        <w:spacing w:after="100"/>
      </w:pPr>
      <w:r>
        <w:rPr>
          <w:color w:val="212121"/>
          <w:sz w:val="21"/>
          <w:szCs w:val="21"/>
        </w:rPr>
        <w:t xml:space="preserve">Site selection is GIS-ranked and reproducible: the same script can be re-run for any beat in the Division by changing one line of configuration.</w:t>
      </w:r>
    </w:p>
    <w:p>
      <w:pPr>
        <w:pStyle w:val="ListParagraph"/>
        <w:numPr>
          <w:ilvl w:val="0"/>
          <w:numId w:val="1"/>
        </w:numPr>
        <w:spacing w:after="100"/>
      </w:pPr>
      <w:r>
        <w:rPr>
          <w:color w:val="212121"/>
          <w:sz w:val="21"/>
          <w:szCs w:val="21"/>
        </w:rPr>
        <w:t xml:space="preserve">Target treatment area, cost, and carbon-gain figures below are placeholders pending an actual run of the Site Prioritization module and the Range’s confirmed APO figure (see Section 5 and Annexure C).</w:t>
      </w:r>
    </w:p>
    <w:p>
      <w:pPr>
        <w:pBdr>
          <w:left w:val="single" w:color="B26A00" w:sz="18" w:space="6"/>
        </w:pBdr>
        <w:shd w:fill="FFF8E1" w:val="clear"/>
        <w:spacing w:after="160"/>
        <w:ind w:left="120"/>
      </w:pPr>
      <w:r>
        <w:rPr>
          <w:b/>
          <w:bCs/>
          <w:color w:val="B26A00"/>
          <w:sz w:val="20"/>
          <w:szCs w:val="20"/>
        </w:rPr>
        <w:t xml:space="preserve">ASSUMPTION - VERIFY: </w:t>
      </w:r>
      <w:r>
        <w:rPr>
          <w:i/>
          <w:iCs/>
          <w:color w:val="212121"/>
          <w:sz w:val="20"/>
          <w:szCs w:val="20"/>
        </w:rPr>
        <w:t xml:space="preserve">All hectare counts, cost totals, and carbon-gain figures in this draft are structurally correct but numerically illustrative. Run BGDSS_Module2_CAMPASitePrioritization.js against the confirmed target area before using this document for an actual funding submission.</w:t>
      </w:r>
    </w:p>
    <w:p>
      <w:r>
        <w:br w:type="page"/>
      </w:r>
    </w:p>
    <w:p>
      <w:pPr>
        <w:pStyle w:val="Heading1"/>
        <w:pBdr>
          <w:bottom w:val="single" w:color="1B5E20" w:sz="8" w:space="4"/>
        </w:pBdr>
        <w:spacing w:after="160" w:before="360"/>
      </w:pPr>
      <w:r>
        <w:rPr>
          <w:b/>
          <w:bCs/>
          <w:color w:val="1B5E20"/>
          <w:sz w:val="30"/>
          <w:szCs w:val="30"/>
        </w:rPr>
        <w:t xml:space="preserve">2.  Legal &amp; Policy Basis</w:t>
      </w:r>
    </w:p>
    <w:p>
      <w:pPr>
        <w:spacing w:after="160" w:line="300"/>
      </w:pPr>
      <w:r>
        <w:rPr>
          <w:b w:val="false"/>
          <w:bCs w:val="false"/>
          <w:i w:val="false"/>
          <w:iCs w:val="false"/>
          <w:color w:val="212121"/>
          <w:sz w:val="21"/>
          <w:szCs w:val="21"/>
        </w:rPr>
        <w:t xml:space="preserve">This proposal is framed to align with the following statutory and policy instruments governing compensatory afforestation and forest-restoration funding in India:</w:t>
      </w:r>
    </w:p>
    <w:p>
      <w:pPr>
        <w:pStyle w:val="ListParagraph"/>
        <w:numPr>
          <w:ilvl w:val="0"/>
          <w:numId w:val="1"/>
        </w:numPr>
        <w:spacing w:after="100"/>
      </w:pPr>
      <w:r>
        <w:rPr>
          <w:color w:val="212121"/>
          <w:sz w:val="21"/>
          <w:szCs w:val="21"/>
        </w:rPr>
        <w:t xml:space="preserve">Compensatory Afforestation Fund Act, 2016 (CAF Act 2016) - establishes the National and State Compensatory Afforestation Fund Management and Planning Authorities (CAMPA) and the legal basis for fund collection and utilization.</w:t>
      </w:r>
    </w:p>
    <w:p>
      <w:pPr>
        <w:pStyle w:val="ListParagraph"/>
        <w:numPr>
          <w:ilvl w:val="0"/>
          <w:numId w:val="1"/>
        </w:numPr>
        <w:spacing w:after="100"/>
      </w:pPr>
      <w:r>
        <w:rPr>
          <w:color w:val="212121"/>
          <w:sz w:val="21"/>
          <w:szCs w:val="21"/>
        </w:rPr>
        <w:t xml:space="preserve">Compensatory Afforestation Fund Rules, 2018 (CAF Rules 2018) - operationalizes the Act, defining fund-utilization heads including Compensatory Afforestation, Additional Compensatory Afforestation (which covers assisted natural regeneration, soil and moisture conservation works, forest protection infrastructure, and silvicultural operations), Net Present Value (NPV) utilization, and Catchment Area Treatment.</w:t>
      </w:r>
    </w:p>
    <w:p>
      <w:pPr>
        <w:pStyle w:val="ListParagraph"/>
        <w:numPr>
          <w:ilvl w:val="0"/>
          <w:numId w:val="1"/>
        </w:numPr>
        <w:spacing w:after="100"/>
      </w:pPr>
      <w:r>
        <w:rPr>
          <w:color w:val="212121"/>
          <w:sz w:val="21"/>
          <w:szCs w:val="21"/>
        </w:rPr>
        <w:t xml:space="preserve">The Annual Plan of Operations (APO) mechanism, through which the State CAMPA (Gujarat) approves site-specific schemes and releases funds against them.</w:t>
      </w:r>
    </w:p>
    <w:p>
      <w:pPr>
        <w:spacing w:after="160" w:line="300"/>
      </w:pPr>
      <w:r>
        <w:rPr>
          <w:b w:val="false"/>
          <w:bCs w:val="false"/>
          <w:i/>
          <w:iCs/>
          <w:color w:val="212121"/>
          <w:sz w:val="21"/>
          <w:szCs w:val="21"/>
        </w:rPr>
        <w:t xml:space="preserve">This document is prepared as a site-selection justification to accompany a scheme submission under the Range’s APO. It does not itself constitute an approved scheme; the Range/Division must route it through the standard State CAMPA APO approval process.</w:t>
      </w:r>
    </w:p>
    <w:p>
      <w:pPr>
        <w:pBdr>
          <w:left w:val="single" w:color="B26A00" w:sz="18" w:space="6"/>
        </w:pBdr>
        <w:shd w:fill="FFF8E1" w:val="clear"/>
        <w:spacing w:after="160"/>
        <w:ind w:left="120"/>
      </w:pPr>
      <w:r>
        <w:rPr>
          <w:b/>
          <w:bCs/>
          <w:color w:val="B26A00"/>
          <w:sz w:val="20"/>
          <w:szCs w:val="20"/>
        </w:rPr>
        <w:t xml:space="preserve">ASSUMPTION - VERIFY: </w:t>
      </w:r>
      <w:r>
        <w:rPr>
          <w:i/>
          <w:iCs/>
          <w:color w:val="212121"/>
          <w:sz w:val="20"/>
          <w:szCs w:val="20"/>
        </w:rPr>
        <w:t xml:space="preserve">Verify the current Gujarat State CAMPA APO guidelines, the specific fund head this scheme will be routed under, and the applicable per-hectare unit cost schedule with the Division’s CAMPA cell before submission - these are administratively specific and subject to periodic revision.</w:t>
      </w:r>
    </w:p>
    <w:p>
      <w:pPr>
        <w:pStyle w:val="Heading1"/>
        <w:pBdr>
          <w:bottom w:val="single" w:color="1B5E20" w:sz="8" w:space="4"/>
        </w:pBdr>
        <w:spacing w:after="160" w:before="360"/>
      </w:pPr>
      <w:r>
        <w:rPr>
          <w:b/>
          <w:bCs/>
          <w:color w:val="1B5E20"/>
          <w:sz w:val="30"/>
          <w:szCs w:val="30"/>
        </w:rPr>
        <w:t xml:space="preserve">3.  Study Area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9"/>
        <w:gridCol w:w="6497"/>
      </w:tblGrid>
      <w:tr>
        <w:trPr>
          <w:tblHeader/>
        </w:trPr>
        <w:tc>
          <w:tcPr>
            <w:tcW w:type="dxa" w:w="3249"/>
            <w:shd w:fill="1B5E20" w:val="clear"/>
            <w:tcMar>
              <w:top w:type="dxa" w:w="80"/>
              <w:left w:type="dxa" w:w="100"/>
              <w:bottom w:type="dxa" w:w="80"/>
              <w:right w:type="dxa" w:w="100"/>
            </w:tcMar>
            <w:vAlign w:val="center"/>
          </w:tcPr>
          <w:p>
            <w:pPr>
              <w:jc w:val="left"/>
            </w:pPr>
            <w:r>
              <w:rPr>
                <w:b/>
                <w:bCs/>
                <w:color w:val="FFFFFF"/>
                <w:sz w:val="19"/>
                <w:szCs w:val="19"/>
              </w:rPr>
              <w:t xml:space="preserve">Attribute</w:t>
            </w:r>
          </w:p>
        </w:tc>
        <w:tc>
          <w:tcPr>
            <w:tcW w:type="dxa" w:w="6497"/>
            <w:shd w:fill="1B5E20" w:val="clear"/>
            <w:tcMar>
              <w:top w:type="dxa" w:w="80"/>
              <w:left w:type="dxa" w:w="100"/>
              <w:bottom w:type="dxa" w:w="80"/>
              <w:right w:type="dxa" w:w="100"/>
            </w:tcMar>
            <w:vAlign w:val="center"/>
          </w:tcPr>
          <w:p>
            <w:pPr>
              <w:jc w:val="left"/>
            </w:pPr>
            <w:r>
              <w:rPr>
                <w:b/>
                <w:bCs/>
                <w:color w:val="FFFFFF"/>
                <w:sz w:val="19"/>
                <w:szCs w:val="19"/>
              </w:rPr>
              <w:t xml:space="preserve">Value</w:t>
            </w:r>
          </w:p>
        </w:tc>
      </w:tr>
      <w:tr>
        <w:tc>
          <w:tcPr>
            <w:tcW w:type="dxa" w:w="3249"/>
            <w:tcMar>
              <w:top w:type="dxa" w:w="60"/>
              <w:left w:type="dxa" w:w="100"/>
              <w:bottom w:type="dxa" w:w="60"/>
              <w:right w:type="dxa" w:w="100"/>
            </w:tcMar>
            <w:vAlign w:val="center"/>
          </w:tcPr>
          <w:p>
            <w:pPr>
              <w:jc w:val="left"/>
            </w:pPr>
            <w:r>
              <w:rPr>
                <w:b w:val="false"/>
                <w:bCs w:val="false"/>
                <w:color w:val="212121"/>
                <w:sz w:val="19"/>
                <w:szCs w:val="19"/>
              </w:rPr>
              <w:t xml:space="preserve">State</w:t>
            </w:r>
          </w:p>
        </w:tc>
        <w:tc>
          <w:tcPr>
            <w:tcW w:type="dxa" w:w="6497"/>
            <w:tcMar>
              <w:top w:type="dxa" w:w="60"/>
              <w:left w:type="dxa" w:w="100"/>
              <w:bottom w:type="dxa" w:w="60"/>
              <w:right w:type="dxa" w:w="100"/>
            </w:tcMar>
            <w:vAlign w:val="center"/>
          </w:tcPr>
          <w:p>
            <w:pPr>
              <w:jc w:val="left"/>
            </w:pPr>
            <w:r>
              <w:rPr>
                <w:b w:val="false"/>
                <w:bCs w:val="false"/>
                <w:color w:val="212121"/>
                <w:sz w:val="19"/>
                <w:szCs w:val="19"/>
              </w:rPr>
              <w:t xml:space="preserve">Gujarat</w:t>
            </w:r>
          </w:p>
        </w:tc>
      </w:tr>
      <w:tr>
        <w:tc>
          <w:tcPr>
            <w:tcW w:type="dxa" w:w="3249"/>
            <w:shd w:fill="E8F5E9" w:val="clear"/>
            <w:tcMar>
              <w:top w:type="dxa" w:w="60"/>
              <w:left w:type="dxa" w:w="100"/>
              <w:bottom w:type="dxa" w:w="60"/>
              <w:right w:type="dxa" w:w="100"/>
            </w:tcMar>
            <w:vAlign w:val="center"/>
          </w:tcPr>
          <w:p>
            <w:pPr>
              <w:jc w:val="left"/>
            </w:pPr>
            <w:r>
              <w:rPr>
                <w:b w:val="false"/>
                <w:bCs w:val="false"/>
                <w:color w:val="212121"/>
                <w:sz w:val="19"/>
                <w:szCs w:val="19"/>
              </w:rPr>
              <w:t xml:space="preserve">District</w:t>
            </w:r>
          </w:p>
        </w:tc>
        <w:tc>
          <w:tcPr>
            <w:tcW w:type="dxa" w:w="6497"/>
            <w:shd w:fill="E8F5E9" w:val="clear"/>
            <w:tcMar>
              <w:top w:type="dxa" w:w="60"/>
              <w:left w:type="dxa" w:w="100"/>
              <w:bottom w:type="dxa" w:w="60"/>
              <w:right w:type="dxa" w:w="100"/>
            </w:tcMar>
            <w:vAlign w:val="center"/>
          </w:tcPr>
          <w:p>
            <w:pPr>
              <w:jc w:val="left"/>
            </w:pPr>
            <w:r>
              <w:rPr>
                <w:b w:val="false"/>
                <w:bCs w:val="false"/>
                <w:color w:val="212121"/>
                <w:sz w:val="19"/>
                <w:szCs w:val="19"/>
              </w:rPr>
              <w:t xml:space="preserve">Sabarkantha</w:t>
            </w:r>
          </w:p>
        </w:tc>
      </w:tr>
      <w:tr>
        <w:tc>
          <w:tcPr>
            <w:tcW w:type="dxa" w:w="3249"/>
            <w:tcMar>
              <w:top w:type="dxa" w:w="60"/>
              <w:left w:type="dxa" w:w="100"/>
              <w:bottom w:type="dxa" w:w="60"/>
              <w:right w:type="dxa" w:w="100"/>
            </w:tcMar>
            <w:vAlign w:val="center"/>
          </w:tcPr>
          <w:p>
            <w:pPr>
              <w:jc w:val="left"/>
            </w:pPr>
            <w:r>
              <w:rPr>
                <w:b w:val="false"/>
                <w:bCs w:val="false"/>
                <w:color w:val="212121"/>
                <w:sz w:val="19"/>
                <w:szCs w:val="19"/>
              </w:rPr>
              <w:t xml:space="preserve">Division</w:t>
            </w:r>
          </w:p>
        </w:tc>
        <w:tc>
          <w:tcPr>
            <w:tcW w:type="dxa" w:w="6497"/>
            <w:tcMar>
              <w:top w:type="dxa" w:w="60"/>
              <w:left w:type="dxa" w:w="100"/>
              <w:bottom w:type="dxa" w:w="60"/>
              <w:right w:type="dxa" w:w="100"/>
            </w:tcMar>
            <w:vAlign w:val="center"/>
          </w:tcPr>
          <w:p>
            <w:pPr>
              <w:jc w:val="left"/>
            </w:pPr>
            <w:r>
              <w:rPr>
                <w:b w:val="false"/>
                <w:bCs w:val="false"/>
                <w:color w:val="212121"/>
                <w:sz w:val="19"/>
                <w:szCs w:val="19"/>
              </w:rPr>
              <w:t xml:space="preserve">Sabarkantha Forest Division</w:t>
            </w:r>
          </w:p>
        </w:tc>
      </w:tr>
      <w:tr>
        <w:tc>
          <w:tcPr>
            <w:tcW w:type="dxa" w:w="3249"/>
            <w:shd w:fill="E8F5E9" w:val="clear"/>
            <w:tcMar>
              <w:top w:type="dxa" w:w="60"/>
              <w:left w:type="dxa" w:w="100"/>
              <w:bottom w:type="dxa" w:w="60"/>
              <w:right w:type="dxa" w:w="100"/>
            </w:tcMar>
            <w:vAlign w:val="center"/>
          </w:tcPr>
          <w:p>
            <w:pPr>
              <w:jc w:val="left"/>
            </w:pPr>
            <w:r>
              <w:rPr>
                <w:b w:val="false"/>
                <w:bCs w:val="false"/>
                <w:color w:val="212121"/>
                <w:sz w:val="19"/>
                <w:szCs w:val="19"/>
              </w:rPr>
              <w:t xml:space="preserve">Range</w:t>
            </w:r>
          </w:p>
        </w:tc>
        <w:tc>
          <w:tcPr>
            <w:tcW w:type="dxa" w:w="6497"/>
            <w:shd w:fill="E8F5E9" w:val="clear"/>
            <w:tcMar>
              <w:top w:type="dxa" w:w="60"/>
              <w:left w:type="dxa" w:w="100"/>
              <w:bottom w:type="dxa" w:w="60"/>
              <w:right w:type="dxa" w:w="100"/>
            </w:tcMar>
            <w:vAlign w:val="center"/>
          </w:tcPr>
          <w:p>
            <w:pPr>
              <w:jc w:val="left"/>
            </w:pPr>
            <w:r>
              <w:rPr>
                <w:b w:val="false"/>
                <w:bCs w:val="false"/>
                <w:color w:val="212121"/>
                <w:sz w:val="19"/>
                <w:szCs w:val="19"/>
              </w:rPr>
              <w:t xml:space="preserve">Raygadh Range</w:t>
            </w:r>
          </w:p>
        </w:tc>
      </w:tr>
      <w:tr>
        <w:tc>
          <w:tcPr>
            <w:tcW w:type="dxa" w:w="3249"/>
            <w:tcMar>
              <w:top w:type="dxa" w:w="60"/>
              <w:left w:type="dxa" w:w="100"/>
              <w:bottom w:type="dxa" w:w="60"/>
              <w:right w:type="dxa" w:w="100"/>
            </w:tcMar>
            <w:vAlign w:val="center"/>
          </w:tcPr>
          <w:p>
            <w:pPr>
              <w:jc w:val="left"/>
            </w:pPr>
            <w:r>
              <w:rPr>
                <w:b w:val="false"/>
                <w:bCs w:val="false"/>
                <w:color w:val="212121"/>
                <w:sz w:val="19"/>
                <w:szCs w:val="19"/>
              </w:rPr>
              <w:t xml:space="preserve">Unit analyzed</w:t>
            </w:r>
          </w:p>
        </w:tc>
        <w:tc>
          <w:tcPr>
            <w:tcW w:type="dxa" w:w="6497"/>
            <w:tcMar>
              <w:top w:type="dxa" w:w="60"/>
              <w:left w:type="dxa" w:w="100"/>
              <w:bottom w:type="dxa" w:w="60"/>
              <w:right w:type="dxa" w:w="100"/>
            </w:tcMar>
            <w:vAlign w:val="center"/>
          </w:tcPr>
          <w:p>
            <w:pPr>
              <w:jc w:val="left"/>
            </w:pPr>
            <w:r>
              <w:rPr>
                <w:b w:val="false"/>
                <w:bCs w:val="false"/>
                <w:color w:val="212121"/>
                <w:sz w:val="19"/>
                <w:szCs w:val="19"/>
              </w:rPr>
              <w:t xml:space="preserve">Beat (asset: projects/raygadh-range/assets/BEAT)</w:t>
            </w:r>
          </w:p>
        </w:tc>
      </w:tr>
      <w:tr>
        <w:tc>
          <w:tcPr>
            <w:tcW w:type="dxa" w:w="3249"/>
            <w:shd w:fill="E8F5E9" w:val="clear"/>
            <w:tcMar>
              <w:top w:type="dxa" w:w="60"/>
              <w:left w:type="dxa" w:w="100"/>
              <w:bottom w:type="dxa" w:w="60"/>
              <w:right w:type="dxa" w:w="100"/>
            </w:tcMar>
            <w:vAlign w:val="center"/>
          </w:tcPr>
          <w:p>
            <w:pPr>
              <w:jc w:val="left"/>
            </w:pPr>
            <w:r>
              <w:rPr>
                <w:b w:val="false"/>
                <w:bCs w:val="false"/>
                <w:color w:val="212121"/>
                <w:sz w:val="19"/>
                <w:szCs w:val="19"/>
              </w:rPr>
              <w:t xml:space="preserve">Total area</w:t>
            </w:r>
          </w:p>
        </w:tc>
        <w:tc>
          <w:tcPr>
            <w:tcW w:type="dxa" w:w="6497"/>
            <w:shd w:fill="E8F5E9" w:val="clear"/>
            <w:tcMar>
              <w:top w:type="dxa" w:w="60"/>
              <w:left w:type="dxa" w:w="100"/>
              <w:bottom w:type="dxa" w:w="60"/>
              <w:right w:type="dxa" w:w="100"/>
            </w:tcMar>
            <w:vAlign w:val="center"/>
          </w:tcPr>
          <w:p>
            <w:pPr>
              <w:jc w:val="left"/>
            </w:pPr>
            <w:r>
              <w:rPr>
                <w:b w:val="false"/>
                <w:bCs w:val="false"/>
                <w:color w:val="212121"/>
                <w:sz w:val="19"/>
                <w:szCs w:val="19"/>
              </w:rPr>
              <w:t xml:space="preserve">~11,377 ha (computed by BGDSS from the beat boundary)</w:t>
            </w:r>
          </w:p>
        </w:tc>
      </w:tr>
      <w:tr>
        <w:tc>
          <w:tcPr>
            <w:tcW w:type="dxa" w:w="3249"/>
            <w:tcMar>
              <w:top w:type="dxa" w:w="60"/>
              <w:left w:type="dxa" w:w="100"/>
              <w:bottom w:type="dxa" w:w="60"/>
              <w:right w:type="dxa" w:w="100"/>
            </w:tcMar>
            <w:vAlign w:val="center"/>
          </w:tcPr>
          <w:p>
            <w:pPr>
              <w:jc w:val="left"/>
            </w:pPr>
            <w:r>
              <w:rPr>
                <w:b w:val="false"/>
                <w:bCs w:val="false"/>
                <w:color w:val="212121"/>
                <w:sz w:val="19"/>
                <w:szCs w:val="19"/>
              </w:rPr>
              <w:t xml:space="preserve">Forest type</w:t>
            </w:r>
          </w:p>
        </w:tc>
        <w:tc>
          <w:tcPr>
            <w:tcW w:type="dxa" w:w="6497"/>
            <w:tcMar>
              <w:top w:type="dxa" w:w="60"/>
              <w:left w:type="dxa" w:w="100"/>
              <w:bottom w:type="dxa" w:w="60"/>
              <w:right w:type="dxa" w:w="100"/>
            </w:tcMar>
            <w:vAlign w:val="center"/>
          </w:tcPr>
          <w:p>
            <w:pPr>
              <w:jc w:val="left"/>
            </w:pPr>
            <w:r>
              <w:rPr>
                <w:b w:val="false"/>
                <w:bCs w:val="false"/>
                <w:color w:val="212121"/>
                <w:sz w:val="19"/>
                <w:szCs w:val="19"/>
              </w:rPr>
              <w:t xml:space="preserve">Champion &amp; Seth (1968) Group 5B - Northern Dry Deciduous Forest (dry teak-bearing / mixed, with dry deciduous scrub in degraded tracts)</w:t>
            </w:r>
          </w:p>
        </w:tc>
      </w:tr>
      <w:tr>
        <w:tc>
          <w:tcPr>
            <w:tcW w:type="dxa" w:w="3249"/>
            <w:shd w:fill="E8F5E9" w:val="clear"/>
            <w:tcMar>
              <w:top w:type="dxa" w:w="60"/>
              <w:left w:type="dxa" w:w="100"/>
              <w:bottom w:type="dxa" w:w="60"/>
              <w:right w:type="dxa" w:w="100"/>
            </w:tcMar>
            <w:vAlign w:val="center"/>
          </w:tcPr>
          <w:p>
            <w:pPr>
              <w:jc w:val="left"/>
            </w:pPr>
            <w:r>
              <w:rPr>
                <w:b w:val="false"/>
                <w:bCs w:val="false"/>
                <w:color w:val="212121"/>
                <w:sz w:val="19"/>
                <w:szCs w:val="19"/>
              </w:rPr>
              <w:t xml:space="preserve">Analysis year</w:t>
            </w:r>
          </w:p>
        </w:tc>
        <w:tc>
          <w:tcPr>
            <w:tcW w:type="dxa" w:w="6497"/>
            <w:shd w:fill="E8F5E9" w:val="clear"/>
            <w:tcMar>
              <w:top w:type="dxa" w:w="60"/>
              <w:left w:type="dxa" w:w="100"/>
              <w:bottom w:type="dxa" w:w="60"/>
              <w:right w:type="dxa" w:w="100"/>
            </w:tcMar>
            <w:vAlign w:val="center"/>
          </w:tcPr>
          <w:p>
            <w:pPr>
              <w:jc w:val="left"/>
            </w:pPr>
            <w:r>
              <w:rPr>
                <w:b w:val="false"/>
                <w:bCs w:val="false"/>
                <w:color w:val="212121"/>
                <w:sz w:val="19"/>
                <w:szCs w:val="19"/>
              </w:rPr>
              <w:t xml:space="preserve">2025</w:t>
            </w:r>
          </w:p>
        </w:tc>
      </w:tr>
    </w:tbl>
    <w:p>
      <w:pPr>
        <w:spacing w:after="160"/>
      </w:pPr>
    </w:p>
    <w:p>
      <w:pPr>
        <w:spacing w:after="160" w:line="300"/>
      </w:pPr>
      <w:r>
        <w:rPr>
          <w:b w:val="false"/>
          <w:bCs w:val="false"/>
          <w:i/>
          <w:iCs/>
          <w:color w:val="212121"/>
          <w:sz w:val="21"/>
          <w:szCs w:val="21"/>
        </w:rPr>
        <w:t xml:space="preserve">Note: the analyzed unit spans an area larger than a typical Forest Beat (commonly 500-3,000 ha in Indian forest administration); confirm whether the supplied boundary represents a single beat, a beat group, or a Range subdivision before finalizing the scheme name and jurisdiction in the APO submission.</w:t>
      </w:r>
    </w:p>
    <w:p>
      <w:r>
        <w:br w:type="page"/>
      </w:r>
    </w:p>
    <w:p>
      <w:pPr>
        <w:pStyle w:val="Heading1"/>
        <w:pBdr>
          <w:bottom w:val="single" w:color="1B5E20" w:sz="8" w:space="4"/>
        </w:pBdr>
        <w:spacing w:after="160" w:before="360"/>
      </w:pPr>
      <w:r>
        <w:rPr>
          <w:b/>
          <w:bCs/>
          <w:color w:val="1B5E20"/>
          <w:sz w:val="30"/>
          <w:szCs w:val="30"/>
        </w:rPr>
        <w:t xml:space="preserve">4.  Methodology: GIS-Based Site Prioritization</w:t>
      </w:r>
    </w:p>
    <w:p>
      <w:pPr>
        <w:pStyle w:val="Heading2"/>
        <w:spacing w:after="120" w:before="260"/>
      </w:pPr>
      <w:r>
        <w:rPr>
          <w:b/>
          <w:bCs/>
          <w:color w:val="2E7D32"/>
          <w:sz w:val="24"/>
          <w:szCs w:val="24"/>
        </w:rPr>
        <w:t xml:space="preserve">4.1  Data Sources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5"/>
        <w:gridCol w:w="1740"/>
        <w:gridCol w:w="2437"/>
        <w:gridCol w:w="2785"/>
      </w:tblGrid>
      <w:tr>
        <w:trPr>
          <w:tblHeader/>
        </w:trPr>
        <w:tc>
          <w:tcPr>
            <w:tcW w:type="dxa" w:w="2785"/>
            <w:shd w:fill="1B5E20" w:val="clear"/>
            <w:tcMar>
              <w:top w:type="dxa" w:w="80"/>
              <w:left w:type="dxa" w:w="100"/>
              <w:bottom w:type="dxa" w:w="80"/>
              <w:right w:type="dxa" w:w="100"/>
            </w:tcMar>
            <w:vAlign w:val="center"/>
          </w:tcPr>
          <w:p>
            <w:pPr>
              <w:jc w:val="left"/>
            </w:pPr>
            <w:r>
              <w:rPr>
                <w:b/>
                <w:bCs/>
                <w:color w:val="FFFFFF"/>
                <w:sz w:val="19"/>
                <w:szCs w:val="19"/>
              </w:rPr>
              <w:t xml:space="preserve">Dataset</w:t>
            </w:r>
          </w:p>
        </w:tc>
        <w:tc>
          <w:tcPr>
            <w:tcW w:type="dxa" w:w="1740"/>
            <w:shd w:fill="1B5E20" w:val="clear"/>
            <w:tcMar>
              <w:top w:type="dxa" w:w="80"/>
              <w:left w:type="dxa" w:w="100"/>
              <w:bottom w:type="dxa" w:w="80"/>
              <w:right w:type="dxa" w:w="100"/>
            </w:tcMar>
            <w:vAlign w:val="center"/>
          </w:tcPr>
          <w:p>
            <w:pPr>
              <w:jc w:val="left"/>
            </w:pPr>
            <w:r>
              <w:rPr>
                <w:b/>
                <w:bCs/>
                <w:color w:val="FFFFFF"/>
                <w:sz w:val="19"/>
                <w:szCs w:val="19"/>
              </w:rPr>
              <w:t xml:space="preserve">Resolution</w:t>
            </w:r>
          </w:p>
        </w:tc>
        <w:tc>
          <w:tcPr>
            <w:tcW w:type="dxa" w:w="2437"/>
            <w:shd w:fill="1B5E20" w:val="clear"/>
            <w:tcMar>
              <w:top w:type="dxa" w:w="80"/>
              <w:left w:type="dxa" w:w="100"/>
              <w:bottom w:type="dxa" w:w="80"/>
              <w:right w:type="dxa" w:w="100"/>
            </w:tcMar>
            <w:vAlign w:val="center"/>
          </w:tcPr>
          <w:p>
            <w:pPr>
              <w:jc w:val="left"/>
            </w:pPr>
            <w:r>
              <w:rPr>
                <w:b/>
                <w:bCs/>
                <w:color w:val="FFFFFF"/>
                <w:sz w:val="19"/>
                <w:szCs w:val="19"/>
              </w:rPr>
              <w:t xml:space="preserve">Source</w:t>
            </w:r>
          </w:p>
        </w:tc>
        <w:tc>
          <w:tcPr>
            <w:tcW w:type="dxa" w:w="2785"/>
            <w:shd w:fill="1B5E20" w:val="clear"/>
            <w:tcMar>
              <w:top w:type="dxa" w:w="80"/>
              <w:left w:type="dxa" w:w="100"/>
              <w:bottom w:type="dxa" w:w="80"/>
              <w:right w:type="dxa" w:w="100"/>
            </w:tcMar>
            <w:vAlign w:val="center"/>
          </w:tcPr>
          <w:p>
            <w:pPr>
              <w:jc w:val="left"/>
            </w:pPr>
            <w:r>
              <w:rPr>
                <w:b/>
                <w:bCs/>
                <w:color w:val="FFFFFF"/>
                <w:sz w:val="19"/>
                <w:szCs w:val="19"/>
              </w:rPr>
              <w:t xml:space="preserve">Used For</w:t>
            </w:r>
          </w:p>
        </w:tc>
      </w:tr>
      <w:tr>
        <w:tc>
          <w:tcPr>
            <w:tcW w:type="dxa" w:w="2785"/>
            <w:tcMar>
              <w:top w:type="dxa" w:w="60"/>
              <w:left w:type="dxa" w:w="100"/>
              <w:bottom w:type="dxa" w:w="60"/>
              <w:right w:type="dxa" w:w="100"/>
            </w:tcMar>
            <w:vAlign w:val="center"/>
          </w:tcPr>
          <w:p>
            <w:pPr>
              <w:jc w:val="left"/>
            </w:pPr>
            <w:r>
              <w:rPr>
                <w:b w:val="false"/>
                <w:bCs w:val="false"/>
                <w:color w:val="212121"/>
                <w:sz w:val="19"/>
                <w:szCs w:val="19"/>
              </w:rPr>
              <w:t xml:space="preserve">JAXA ALOS AW3D30 (DSM)</w:t>
            </w:r>
          </w:p>
        </w:tc>
        <w:tc>
          <w:tcPr>
            <w:tcW w:type="dxa" w:w="1740"/>
            <w:tcMar>
              <w:top w:type="dxa" w:w="60"/>
              <w:left w:type="dxa" w:w="100"/>
              <w:bottom w:type="dxa" w:w="60"/>
              <w:right w:type="dxa" w:w="100"/>
            </w:tcMar>
            <w:vAlign w:val="center"/>
          </w:tcPr>
          <w:p>
            <w:pPr>
              <w:jc w:val="left"/>
            </w:pPr>
            <w:r>
              <w:rPr>
                <w:b w:val="false"/>
                <w:bCs w:val="false"/>
                <w:color w:val="212121"/>
                <w:sz w:val="19"/>
                <w:szCs w:val="19"/>
              </w:rPr>
              <w:t xml:space="preserve">30 m</w:t>
            </w:r>
          </w:p>
        </w:tc>
        <w:tc>
          <w:tcPr>
            <w:tcW w:type="dxa" w:w="2437"/>
            <w:tcMar>
              <w:top w:type="dxa" w:w="60"/>
              <w:left w:type="dxa" w:w="100"/>
              <w:bottom w:type="dxa" w:w="60"/>
              <w:right w:type="dxa" w:w="100"/>
            </w:tcMar>
            <w:vAlign w:val="center"/>
          </w:tcPr>
          <w:p>
            <w:pPr>
              <w:jc w:val="left"/>
            </w:pPr>
            <w:r>
              <w:rPr>
                <w:b w:val="false"/>
                <w:bCs w:val="false"/>
                <w:color w:val="212121"/>
                <w:sz w:val="19"/>
                <w:szCs w:val="19"/>
              </w:rPr>
              <w:t xml:space="preserve">JAXA / Earth Engine public catalog</w:t>
            </w:r>
          </w:p>
        </w:tc>
        <w:tc>
          <w:tcPr>
            <w:tcW w:type="dxa" w:w="2785"/>
            <w:tcMar>
              <w:top w:type="dxa" w:w="60"/>
              <w:left w:type="dxa" w:w="100"/>
              <w:bottom w:type="dxa" w:w="60"/>
              <w:right w:type="dxa" w:w="100"/>
            </w:tcMar>
            <w:vAlign w:val="center"/>
          </w:tcPr>
          <w:p>
            <w:pPr>
              <w:jc w:val="left"/>
            </w:pPr>
            <w:r>
              <w:rPr>
                <w:b w:val="false"/>
                <w:bCs w:val="false"/>
                <w:color w:val="212121"/>
                <w:sz w:val="19"/>
                <w:szCs w:val="19"/>
              </w:rPr>
              <w:t xml:space="preserve">Elevation, slope (workability, RUSLE-LS)</w:t>
            </w:r>
          </w:p>
        </w:tc>
      </w:tr>
      <w:tr>
        <w:tc>
          <w:tcPr>
            <w:tcW w:type="dxa" w:w="2785"/>
            <w:shd w:fill="E8F5E9" w:val="clear"/>
            <w:tcMar>
              <w:top w:type="dxa" w:w="60"/>
              <w:left w:type="dxa" w:w="100"/>
              <w:bottom w:type="dxa" w:w="60"/>
              <w:right w:type="dxa" w:w="100"/>
            </w:tcMar>
            <w:vAlign w:val="center"/>
          </w:tcPr>
          <w:p>
            <w:pPr>
              <w:jc w:val="left"/>
            </w:pPr>
            <w:r>
              <w:rPr>
                <w:b w:val="false"/>
                <w:bCs w:val="false"/>
                <w:color w:val="212121"/>
                <w:sz w:val="19"/>
                <w:szCs w:val="19"/>
              </w:rPr>
              <w:t xml:space="preserve">ESA WorldCover v200</w:t>
            </w:r>
          </w:p>
        </w:tc>
        <w:tc>
          <w:tcPr>
            <w:tcW w:type="dxa" w:w="1740"/>
            <w:shd w:fill="E8F5E9" w:val="clear"/>
            <w:tcMar>
              <w:top w:type="dxa" w:w="60"/>
              <w:left w:type="dxa" w:w="100"/>
              <w:bottom w:type="dxa" w:w="60"/>
              <w:right w:type="dxa" w:w="100"/>
            </w:tcMar>
            <w:vAlign w:val="center"/>
          </w:tcPr>
          <w:p>
            <w:pPr>
              <w:jc w:val="left"/>
            </w:pPr>
            <w:r>
              <w:rPr>
                <w:b w:val="false"/>
                <w:bCs w:val="false"/>
                <w:color w:val="212121"/>
                <w:sz w:val="19"/>
                <w:szCs w:val="19"/>
              </w:rPr>
              <w:t xml:space="preserve">10 m</w:t>
            </w:r>
          </w:p>
        </w:tc>
        <w:tc>
          <w:tcPr>
            <w:tcW w:type="dxa" w:w="2437"/>
            <w:shd w:fill="E8F5E9" w:val="clear"/>
            <w:tcMar>
              <w:top w:type="dxa" w:w="60"/>
              <w:left w:type="dxa" w:w="100"/>
              <w:bottom w:type="dxa" w:w="60"/>
              <w:right w:type="dxa" w:w="100"/>
            </w:tcMar>
            <w:vAlign w:val="center"/>
          </w:tcPr>
          <w:p>
            <w:pPr>
              <w:jc w:val="left"/>
            </w:pPr>
            <w:r>
              <w:rPr>
                <w:b w:val="false"/>
                <w:bCs w:val="false"/>
                <w:color w:val="212121"/>
                <w:sz w:val="19"/>
                <w:szCs w:val="19"/>
              </w:rPr>
              <w:t xml:space="preserve">ESA / Earth Engine public catalog</w:t>
            </w:r>
          </w:p>
        </w:tc>
        <w:tc>
          <w:tcPr>
            <w:tcW w:type="dxa" w:w="2785"/>
            <w:shd w:fill="E8F5E9" w:val="clear"/>
            <w:tcMar>
              <w:top w:type="dxa" w:w="60"/>
              <w:left w:type="dxa" w:w="100"/>
              <w:bottom w:type="dxa" w:w="60"/>
              <w:right w:type="dxa" w:w="100"/>
            </w:tcMar>
            <w:vAlign w:val="center"/>
          </w:tcPr>
          <w:p>
            <w:pPr>
              <w:jc w:val="left"/>
            </w:pPr>
            <w:r>
              <w:rPr>
                <w:b w:val="false"/>
                <w:bCs w:val="false"/>
                <w:color w:val="212121"/>
                <w:sz w:val="19"/>
                <w:szCs w:val="19"/>
              </w:rPr>
              <w:t xml:space="preserve">Land-cover mask (excludes cropland/built-up/water)</w:t>
            </w:r>
          </w:p>
        </w:tc>
      </w:tr>
      <w:tr>
        <w:tc>
          <w:tcPr>
            <w:tcW w:type="dxa" w:w="2785"/>
            <w:tcMar>
              <w:top w:type="dxa" w:w="60"/>
              <w:left w:type="dxa" w:w="100"/>
              <w:bottom w:type="dxa" w:w="60"/>
              <w:right w:type="dxa" w:w="100"/>
            </w:tcMar>
            <w:vAlign w:val="center"/>
          </w:tcPr>
          <w:p>
            <w:pPr>
              <w:jc w:val="left"/>
            </w:pPr>
            <w:r>
              <w:rPr>
                <w:b w:val="false"/>
                <w:bCs w:val="false"/>
                <w:color w:val="212121"/>
                <w:sz w:val="19"/>
                <w:szCs w:val="19"/>
              </w:rPr>
              <w:t xml:space="preserve">Hansen Global Forest Change</w:t>
            </w:r>
          </w:p>
        </w:tc>
        <w:tc>
          <w:tcPr>
            <w:tcW w:type="dxa" w:w="1740"/>
            <w:tcMar>
              <w:top w:type="dxa" w:w="60"/>
              <w:left w:type="dxa" w:w="100"/>
              <w:bottom w:type="dxa" w:w="60"/>
              <w:right w:type="dxa" w:w="100"/>
            </w:tcMar>
            <w:vAlign w:val="center"/>
          </w:tcPr>
          <w:p>
            <w:pPr>
              <w:jc w:val="left"/>
            </w:pPr>
            <w:r>
              <w:rPr>
                <w:b w:val="false"/>
                <w:bCs w:val="false"/>
                <w:color w:val="212121"/>
                <w:sz w:val="19"/>
                <w:szCs w:val="19"/>
              </w:rPr>
              <w:t xml:space="preserve">30 m</w:t>
            </w:r>
          </w:p>
        </w:tc>
        <w:tc>
          <w:tcPr>
            <w:tcW w:type="dxa" w:w="2437"/>
            <w:tcMar>
              <w:top w:type="dxa" w:w="60"/>
              <w:left w:type="dxa" w:w="100"/>
              <w:bottom w:type="dxa" w:w="60"/>
              <w:right w:type="dxa" w:w="100"/>
            </w:tcMar>
            <w:vAlign w:val="center"/>
          </w:tcPr>
          <w:p>
            <w:pPr>
              <w:jc w:val="left"/>
            </w:pPr>
            <w:r>
              <w:rPr>
                <w:b w:val="false"/>
                <w:bCs w:val="false"/>
                <w:color w:val="212121"/>
                <w:sz w:val="19"/>
                <w:szCs w:val="19"/>
              </w:rPr>
              <w:t xml:space="preserve">UMD / Earth Engine public catalog</w:t>
            </w:r>
          </w:p>
        </w:tc>
        <w:tc>
          <w:tcPr>
            <w:tcW w:type="dxa" w:w="2785"/>
            <w:tcMar>
              <w:top w:type="dxa" w:w="60"/>
              <w:left w:type="dxa" w:w="100"/>
              <w:bottom w:type="dxa" w:w="60"/>
              <w:right w:type="dxa" w:w="100"/>
            </w:tcMar>
            <w:vAlign w:val="center"/>
          </w:tcPr>
          <w:p>
            <w:pPr>
              <w:jc w:val="left"/>
            </w:pPr>
            <w:r>
              <w:rPr>
                <w:b w:val="false"/>
                <w:bCs w:val="false"/>
                <w:color w:val="212121"/>
                <w:sz w:val="19"/>
                <w:szCs w:val="19"/>
              </w:rPr>
              <w:t xml:space="preserve">Canopy density -&gt; degradation / treatment eligibility</w:t>
            </w:r>
          </w:p>
        </w:tc>
      </w:tr>
      <w:tr>
        <w:tc>
          <w:tcPr>
            <w:tcW w:type="dxa" w:w="2785"/>
            <w:shd w:fill="E8F5E9" w:val="clear"/>
            <w:tcMar>
              <w:top w:type="dxa" w:w="60"/>
              <w:left w:type="dxa" w:w="100"/>
              <w:bottom w:type="dxa" w:w="60"/>
              <w:right w:type="dxa" w:w="100"/>
            </w:tcMar>
            <w:vAlign w:val="center"/>
          </w:tcPr>
          <w:p>
            <w:pPr>
              <w:jc w:val="left"/>
            </w:pPr>
            <w:r>
              <w:rPr>
                <w:b w:val="false"/>
                <w:bCs w:val="false"/>
                <w:color w:val="212121"/>
                <w:sz w:val="19"/>
                <w:szCs w:val="19"/>
              </w:rPr>
              <w:t xml:space="preserve">CHIRPS Daily</w:t>
            </w:r>
          </w:p>
        </w:tc>
        <w:tc>
          <w:tcPr>
            <w:tcW w:type="dxa" w:w="1740"/>
            <w:shd w:fill="E8F5E9" w:val="clear"/>
            <w:tcMar>
              <w:top w:type="dxa" w:w="60"/>
              <w:left w:type="dxa" w:w="100"/>
              <w:bottom w:type="dxa" w:w="60"/>
              <w:right w:type="dxa" w:w="100"/>
            </w:tcMar>
            <w:vAlign w:val="center"/>
          </w:tcPr>
          <w:p>
            <w:pPr>
              <w:jc w:val="left"/>
            </w:pPr>
            <w:r>
              <w:rPr>
                <w:b w:val="false"/>
                <w:bCs w:val="false"/>
                <w:color w:val="212121"/>
                <w:sz w:val="19"/>
                <w:szCs w:val="19"/>
              </w:rPr>
              <w:t xml:space="preserve">~5.5 km (resampled)</w:t>
            </w:r>
          </w:p>
        </w:tc>
        <w:tc>
          <w:tcPr>
            <w:tcW w:type="dxa" w:w="2437"/>
            <w:shd w:fill="E8F5E9" w:val="clear"/>
            <w:tcMar>
              <w:top w:type="dxa" w:w="60"/>
              <w:left w:type="dxa" w:w="100"/>
              <w:bottom w:type="dxa" w:w="60"/>
              <w:right w:type="dxa" w:w="100"/>
            </w:tcMar>
            <w:vAlign w:val="center"/>
          </w:tcPr>
          <w:p>
            <w:pPr>
              <w:jc w:val="left"/>
            </w:pPr>
            <w:r>
              <w:rPr>
                <w:b w:val="false"/>
                <w:bCs w:val="false"/>
                <w:color w:val="212121"/>
                <w:sz w:val="19"/>
                <w:szCs w:val="19"/>
              </w:rPr>
              <w:t xml:space="preserve">UCSB CHG / Earth Engine public catalog</w:t>
            </w:r>
          </w:p>
        </w:tc>
        <w:tc>
          <w:tcPr>
            <w:tcW w:type="dxa" w:w="2785"/>
            <w:shd w:fill="E8F5E9" w:val="clear"/>
            <w:tcMar>
              <w:top w:type="dxa" w:w="60"/>
              <w:left w:type="dxa" w:w="100"/>
              <w:bottom w:type="dxa" w:w="60"/>
              <w:right w:type="dxa" w:w="100"/>
            </w:tcMar>
            <w:vAlign w:val="center"/>
          </w:tcPr>
          <w:p>
            <w:pPr>
              <w:jc w:val="left"/>
            </w:pPr>
            <w:r>
              <w:rPr>
                <w:b w:val="false"/>
                <w:bCs w:val="false"/>
                <w:color w:val="212121"/>
                <w:sz w:val="19"/>
                <w:szCs w:val="19"/>
              </w:rPr>
              <w:t xml:space="preserve">Annual rainfall (workability, RUSLE-R)</w:t>
            </w:r>
          </w:p>
        </w:tc>
      </w:tr>
      <w:tr>
        <w:tc>
          <w:tcPr>
            <w:tcW w:type="dxa" w:w="2785"/>
            <w:tcMar>
              <w:top w:type="dxa" w:w="60"/>
              <w:left w:type="dxa" w:w="100"/>
              <w:bottom w:type="dxa" w:w="60"/>
              <w:right w:type="dxa" w:w="100"/>
            </w:tcMar>
            <w:vAlign w:val="center"/>
          </w:tcPr>
          <w:p>
            <w:pPr>
              <w:jc w:val="left"/>
            </w:pPr>
            <w:r>
              <w:rPr>
                <w:b w:val="false"/>
                <w:bCs w:val="false"/>
                <w:color w:val="212121"/>
                <w:sz w:val="19"/>
                <w:szCs w:val="19"/>
              </w:rPr>
              <w:t xml:space="preserve">ESA CCI Biomass (or Sentinel-2 NDVI proxy)</w:t>
            </w:r>
          </w:p>
        </w:tc>
        <w:tc>
          <w:tcPr>
            <w:tcW w:type="dxa" w:w="1740"/>
            <w:tcMar>
              <w:top w:type="dxa" w:w="60"/>
              <w:left w:type="dxa" w:w="100"/>
              <w:bottom w:type="dxa" w:w="60"/>
              <w:right w:type="dxa" w:w="100"/>
            </w:tcMar>
            <w:vAlign w:val="center"/>
          </w:tcPr>
          <w:p>
            <w:pPr>
              <w:jc w:val="left"/>
            </w:pPr>
            <w:r>
              <w:rPr>
                <w:b w:val="false"/>
                <w:bCs w:val="false"/>
                <w:color w:val="212121"/>
                <w:sz w:val="19"/>
                <w:szCs w:val="19"/>
              </w:rPr>
              <w:t xml:space="preserve">~100 m / 10 m</w:t>
            </w:r>
          </w:p>
        </w:tc>
        <w:tc>
          <w:tcPr>
            <w:tcW w:type="dxa" w:w="2437"/>
            <w:tcMar>
              <w:top w:type="dxa" w:w="60"/>
              <w:left w:type="dxa" w:w="100"/>
              <w:bottom w:type="dxa" w:w="60"/>
              <w:right w:type="dxa" w:w="100"/>
            </w:tcMar>
            <w:vAlign w:val="center"/>
          </w:tcPr>
          <w:p>
            <w:pPr>
              <w:jc w:val="left"/>
            </w:pPr>
            <w:r>
              <w:rPr>
                <w:b w:val="false"/>
                <w:bCs w:val="false"/>
                <w:color w:val="212121"/>
                <w:sz w:val="19"/>
                <w:szCs w:val="19"/>
              </w:rPr>
              <w:t xml:space="preserve">ESA CCI / Copernicus</w:t>
            </w:r>
          </w:p>
        </w:tc>
        <w:tc>
          <w:tcPr>
            <w:tcW w:type="dxa" w:w="2785"/>
            <w:tcMar>
              <w:top w:type="dxa" w:w="60"/>
              <w:left w:type="dxa" w:w="100"/>
              <w:bottom w:type="dxa" w:w="60"/>
              <w:right w:type="dxa" w:w="100"/>
            </w:tcMar>
            <w:vAlign w:val="center"/>
          </w:tcPr>
          <w:p>
            <w:pPr>
              <w:jc w:val="left"/>
            </w:pPr>
            <w:r>
              <w:rPr>
                <w:b w:val="false"/>
                <w:bCs w:val="false"/>
                <w:color w:val="212121"/>
                <w:sz w:val="19"/>
                <w:szCs w:val="19"/>
              </w:rPr>
              <w:t xml:space="preserve">Current above-ground biomass (carbon-gain potential)</w:t>
            </w:r>
          </w:p>
        </w:tc>
      </w:tr>
    </w:tbl>
    <w:p>
      <w:pPr>
        <w:spacing w:after="160"/>
      </w:pPr>
    </w:p>
    <w:p>
      <w:pPr>
        <w:pStyle w:val="Heading2"/>
        <w:spacing w:after="120" w:before="260"/>
      </w:pPr>
      <w:r>
        <w:rPr>
          <w:b/>
          <w:bCs/>
          <w:color w:val="2E7D32"/>
          <w:sz w:val="24"/>
          <w:szCs w:val="24"/>
        </w:rPr>
        <w:t xml:space="preserve">4.2  Treatment Eligibility</w:t>
      </w:r>
    </w:p>
    <w:p>
      <w:pPr>
        <w:spacing w:after="160" w:line="300"/>
      </w:pPr>
      <w:r>
        <w:rPr>
          <w:b w:val="false"/>
          <w:bCs w:val="false"/>
          <w:i w:val="false"/>
          <w:iCs w:val="false"/>
          <w:color w:val="212121"/>
          <w:sz w:val="21"/>
          <w:szCs w:val="21"/>
        </w:rPr>
        <w:t xml:space="preserve">Every 10 m pixel is classified by canopy density (Hansen treecover2000), gated by an ESA WorldCover mask that excludes cropland, built-up, and water classes regardless of canopy reading (CAMPA does not fund treatment on these):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42"/>
        <w:gridCol w:w="3602"/>
        <w:gridCol w:w="3602"/>
      </w:tblGrid>
      <w:tr>
        <w:trPr>
          <w:tblHeader/>
        </w:trPr>
        <w:tc>
          <w:tcPr>
            <w:tcW w:type="dxa" w:w="2542"/>
            <w:shd w:fill="1B5E20" w:val="clear"/>
            <w:tcMar>
              <w:top w:type="dxa" w:w="80"/>
              <w:left w:type="dxa" w:w="100"/>
              <w:bottom w:type="dxa" w:w="80"/>
              <w:right w:type="dxa" w:w="100"/>
            </w:tcMar>
            <w:vAlign w:val="center"/>
          </w:tcPr>
          <w:p>
            <w:pPr>
              <w:jc w:val="left"/>
            </w:pPr>
            <w:r>
              <w:rPr>
                <w:b/>
                <w:bCs/>
                <w:color w:val="FFFFFF"/>
                <w:sz w:val="19"/>
                <w:szCs w:val="19"/>
              </w:rPr>
              <w:t xml:space="preserve">Canopy Density</w:t>
            </w:r>
          </w:p>
        </w:tc>
        <w:tc>
          <w:tcPr>
            <w:tcW w:type="dxa" w:w="3602"/>
            <w:shd w:fill="1B5E20" w:val="clear"/>
            <w:tcMar>
              <w:top w:type="dxa" w:w="80"/>
              <w:left w:type="dxa" w:w="100"/>
              <w:bottom w:type="dxa" w:w="80"/>
              <w:right w:type="dxa" w:w="100"/>
            </w:tcMar>
            <w:vAlign w:val="center"/>
          </w:tcPr>
          <w:p>
            <w:pPr>
              <w:jc w:val="left"/>
            </w:pPr>
            <w:r>
              <w:rPr>
                <w:b/>
                <w:bCs/>
                <w:color w:val="FFFFFF"/>
                <w:sz w:val="19"/>
                <w:szCs w:val="19"/>
              </w:rPr>
              <w:t xml:space="preserve">Classification</w:t>
            </w:r>
          </w:p>
        </w:tc>
        <w:tc>
          <w:tcPr>
            <w:tcW w:type="dxa" w:w="3602"/>
            <w:shd w:fill="1B5E20" w:val="clear"/>
            <w:tcMar>
              <w:top w:type="dxa" w:w="80"/>
              <w:left w:type="dxa" w:w="100"/>
              <w:bottom w:type="dxa" w:w="80"/>
              <w:right w:type="dxa" w:w="100"/>
            </w:tcMar>
            <w:vAlign w:val="center"/>
          </w:tcPr>
          <w:p>
            <w:pPr>
              <w:jc w:val="left"/>
            </w:pPr>
            <w:r>
              <w:rPr>
                <w:b/>
                <w:bCs/>
                <w:color w:val="FFFFFF"/>
                <w:sz w:val="19"/>
                <w:szCs w:val="19"/>
              </w:rPr>
              <w:t xml:space="preserve">Rationale</w:t>
            </w:r>
          </w:p>
        </w:tc>
      </w:tr>
      <w:tr>
        <w:tc>
          <w:tcPr>
            <w:tcW w:type="dxa" w:w="2542"/>
            <w:tcMar>
              <w:top w:type="dxa" w:w="60"/>
              <w:left w:type="dxa" w:w="100"/>
              <w:bottom w:type="dxa" w:w="60"/>
              <w:right w:type="dxa" w:w="100"/>
            </w:tcMar>
            <w:vAlign w:val="center"/>
          </w:tcPr>
          <w:p>
            <w:pPr>
              <w:jc w:val="left"/>
            </w:pPr>
            <w:r>
              <w:rPr>
                <w:b w:val="false"/>
                <w:bCs w:val="false"/>
                <w:color w:val="212121"/>
                <w:sz w:val="19"/>
                <w:szCs w:val="19"/>
              </w:rPr>
              <w:t xml:space="preserve">&lt; 10%</w:t>
            </w:r>
          </w:p>
        </w:tc>
        <w:tc>
          <w:tcPr>
            <w:tcW w:type="dxa" w:w="3602"/>
            <w:tcMar>
              <w:top w:type="dxa" w:w="60"/>
              <w:left w:type="dxa" w:w="100"/>
              <w:bottom w:type="dxa" w:w="60"/>
              <w:right w:type="dxa" w:w="100"/>
            </w:tcMar>
            <w:vAlign w:val="center"/>
          </w:tcPr>
          <w:p>
            <w:pPr>
              <w:jc w:val="left"/>
            </w:pPr>
            <w:r>
              <w:rPr>
                <w:b w:val="false"/>
                <w:bCs w:val="false"/>
                <w:color w:val="212121"/>
                <w:sz w:val="19"/>
                <w:szCs w:val="19"/>
              </w:rPr>
              <w:t xml:space="preserve">New Plantation candidate</w:t>
            </w:r>
          </w:p>
        </w:tc>
        <w:tc>
          <w:tcPr>
            <w:tcW w:type="dxa" w:w="3602"/>
            <w:tcMar>
              <w:top w:type="dxa" w:w="60"/>
              <w:left w:type="dxa" w:w="100"/>
              <w:bottom w:type="dxa" w:w="60"/>
              <w:right w:type="dxa" w:w="100"/>
            </w:tcMar>
            <w:vAlign w:val="center"/>
          </w:tcPr>
          <w:p>
            <w:pPr>
              <w:jc w:val="left"/>
            </w:pPr>
            <w:r>
              <w:rPr>
                <w:b w:val="false"/>
                <w:bCs w:val="false"/>
                <w:color w:val="212121"/>
                <w:sz w:val="19"/>
                <w:szCs w:val="19"/>
              </w:rPr>
              <w:t xml:space="preserve">Effectively unstocked; standard threshold for block plantation over regeneration</w:t>
            </w:r>
          </w:p>
        </w:tc>
      </w:tr>
      <w:tr>
        <w:tc>
          <w:tcPr>
            <w:tcW w:type="dxa" w:w="2542"/>
            <w:shd w:fill="E8F5E9" w:val="clear"/>
            <w:tcMar>
              <w:top w:type="dxa" w:w="60"/>
              <w:left w:type="dxa" w:w="100"/>
              <w:bottom w:type="dxa" w:w="60"/>
              <w:right w:type="dxa" w:w="100"/>
            </w:tcMar>
            <w:vAlign w:val="center"/>
          </w:tcPr>
          <w:p>
            <w:pPr>
              <w:jc w:val="left"/>
            </w:pPr>
            <w:r>
              <w:rPr>
                <w:b w:val="false"/>
                <w:bCs w:val="false"/>
                <w:color w:val="212121"/>
                <w:sz w:val="19"/>
                <w:szCs w:val="19"/>
              </w:rPr>
              <w:t xml:space="preserve">10% - 40%</w:t>
            </w:r>
          </w:p>
        </w:tc>
        <w:tc>
          <w:tcPr>
            <w:tcW w:type="dxa" w:w="3602"/>
            <w:shd w:fill="E8F5E9" w:val="clear"/>
            <w:tcMar>
              <w:top w:type="dxa" w:w="60"/>
              <w:left w:type="dxa" w:w="100"/>
              <w:bottom w:type="dxa" w:w="60"/>
              <w:right w:type="dxa" w:w="100"/>
            </w:tcMar>
            <w:vAlign w:val="center"/>
          </w:tcPr>
          <w:p>
            <w:pPr>
              <w:jc w:val="left"/>
            </w:pPr>
            <w:r>
              <w:rPr>
                <w:b w:val="false"/>
                <w:bCs w:val="false"/>
                <w:color w:val="212121"/>
                <w:sz w:val="19"/>
                <w:szCs w:val="19"/>
              </w:rPr>
              <w:t xml:space="preserve">Assisted Natural Regeneration (ANR) candidate</w:t>
            </w:r>
          </w:p>
        </w:tc>
        <w:tc>
          <w:tcPr>
            <w:tcW w:type="dxa" w:w="3602"/>
            <w:shd w:fill="E8F5E9" w:val="clear"/>
            <w:tcMar>
              <w:top w:type="dxa" w:w="60"/>
              <w:left w:type="dxa" w:w="100"/>
              <w:bottom w:type="dxa" w:w="60"/>
              <w:right w:type="dxa" w:w="100"/>
            </w:tcMar>
            <w:vAlign w:val="center"/>
          </w:tcPr>
          <w:p>
            <w:pPr>
              <w:jc w:val="left"/>
            </w:pPr>
            <w:r>
              <w:rPr>
                <w:b w:val="false"/>
                <w:bCs w:val="false"/>
                <w:color w:val="212121"/>
                <w:sz w:val="19"/>
                <w:szCs w:val="19"/>
              </w:rPr>
              <w:t xml:space="preserve">Existing root-stock/coppice potential - the standard Indian working-plan threshold favouring regeneration over planting</w:t>
            </w:r>
          </w:p>
        </w:tc>
      </w:tr>
      <w:tr>
        <w:tc>
          <w:tcPr>
            <w:tcW w:type="dxa" w:w="2542"/>
            <w:tcMar>
              <w:top w:type="dxa" w:w="60"/>
              <w:left w:type="dxa" w:w="100"/>
              <w:bottom w:type="dxa" w:w="60"/>
              <w:right w:type="dxa" w:w="100"/>
            </w:tcMar>
            <w:vAlign w:val="center"/>
          </w:tcPr>
          <w:p>
            <w:pPr>
              <w:jc w:val="left"/>
            </w:pPr>
            <w:r>
              <w:rPr>
                <w:b w:val="false"/>
                <w:bCs w:val="false"/>
                <w:color w:val="212121"/>
                <w:sz w:val="19"/>
                <w:szCs w:val="19"/>
              </w:rPr>
              <w:t xml:space="preserve">&gt; 40%</w:t>
            </w:r>
          </w:p>
        </w:tc>
        <w:tc>
          <w:tcPr>
            <w:tcW w:type="dxa" w:w="3602"/>
            <w:tcMar>
              <w:top w:type="dxa" w:w="60"/>
              <w:left w:type="dxa" w:w="100"/>
              <w:bottom w:type="dxa" w:w="60"/>
              <w:right w:type="dxa" w:w="100"/>
            </w:tcMar>
            <w:vAlign w:val="center"/>
          </w:tcPr>
          <w:p>
            <w:pPr>
              <w:jc w:val="left"/>
            </w:pPr>
            <w:r>
              <w:rPr>
                <w:b w:val="false"/>
                <w:bCs w:val="false"/>
                <w:color w:val="212121"/>
                <w:sz w:val="19"/>
                <w:szCs w:val="19"/>
              </w:rPr>
              <w:t xml:space="preserve">Not prioritized</w:t>
            </w:r>
          </w:p>
        </w:tc>
        <w:tc>
          <w:tcPr>
            <w:tcW w:type="dxa" w:w="3602"/>
            <w:tcMar>
              <w:top w:type="dxa" w:w="60"/>
              <w:left w:type="dxa" w:w="100"/>
              <w:bottom w:type="dxa" w:w="60"/>
              <w:right w:type="dxa" w:w="100"/>
            </w:tcMar>
            <w:vAlign w:val="center"/>
          </w:tcPr>
          <w:p>
            <w:pPr>
              <w:jc w:val="left"/>
            </w:pPr>
            <w:r>
              <w:rPr>
                <w:b w:val="false"/>
                <w:bCs w:val="false"/>
                <w:color w:val="212121"/>
                <w:sz w:val="19"/>
                <w:szCs w:val="19"/>
              </w:rPr>
              <w:t xml:space="preserve">Reasonably stocked already; lower marginal benefit from CAMPA treatment</w:t>
            </w:r>
          </w:p>
        </w:tc>
      </w:tr>
    </w:tbl>
    <w:p>
      <w:pPr>
        <w:spacing w:after="160"/>
      </w:pPr>
    </w:p>
    <w:p>
      <w:pPr>
        <w:pStyle w:val="Heading2"/>
        <w:spacing w:after="120" w:before="260"/>
      </w:pPr>
      <w:r>
        <w:rPr>
          <w:b/>
          <w:bCs/>
          <w:color w:val="2E7D32"/>
          <w:sz w:val="24"/>
          <w:szCs w:val="24"/>
        </w:rPr>
        <w:t xml:space="preserve">4.3  Priority Scoring Criteria &amp; Weights</w:t>
      </w:r>
    </w:p>
    <w:p>
      <w:pPr>
        <w:spacing w:after="160" w:line="300"/>
      </w:pPr>
      <w:r>
        <w:rPr>
          <w:b w:val="false"/>
          <w:bCs w:val="false"/>
          <w:i w:val="false"/>
          <w:iCs w:val="false"/>
          <w:color w:val="212121"/>
          <w:sz w:val="21"/>
          <w:szCs w:val="21"/>
        </w:rPr>
        <w:t xml:space="preserve">Eligible pixels are scored 0-1 on four criteria and combined by a weighted overlay. Weights are a defensible starting point set by the BGDSS pilot team and should be reviewed by the Range/DFO with local silvicultural judgment before the ranking is treated as final.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65"/>
        <w:gridCol w:w="1733"/>
        <w:gridCol w:w="4548"/>
      </w:tblGrid>
      <w:tr>
        <w:trPr>
          <w:tblHeader/>
        </w:trPr>
        <w:tc>
          <w:tcPr>
            <w:tcW w:type="dxa" w:w="3465"/>
            <w:shd w:fill="1B5E20" w:val="clear"/>
            <w:tcMar>
              <w:top w:type="dxa" w:w="80"/>
              <w:left w:type="dxa" w:w="100"/>
              <w:bottom w:type="dxa" w:w="80"/>
              <w:right w:type="dxa" w:w="100"/>
            </w:tcMar>
            <w:vAlign w:val="center"/>
          </w:tcPr>
          <w:p>
            <w:pPr>
              <w:jc w:val="left"/>
            </w:pPr>
            <w:r>
              <w:rPr>
                <w:b/>
                <w:bCs/>
                <w:color w:val="FFFFFF"/>
                <w:sz w:val="19"/>
                <w:szCs w:val="19"/>
              </w:rPr>
              <w:t xml:space="preserve">Criterion</w:t>
            </w:r>
          </w:p>
        </w:tc>
        <w:tc>
          <w:tcPr>
            <w:tcW w:type="dxa" w:w="1733"/>
            <w:shd w:fill="1B5E20" w:val="clear"/>
            <w:tcMar>
              <w:top w:type="dxa" w:w="80"/>
              <w:left w:type="dxa" w:w="100"/>
              <w:bottom w:type="dxa" w:w="80"/>
              <w:right w:type="dxa" w:w="100"/>
            </w:tcMar>
            <w:vAlign w:val="center"/>
          </w:tcPr>
          <w:p>
            <w:pPr>
              <w:jc w:val="left"/>
            </w:pPr>
            <w:r>
              <w:rPr>
                <w:b/>
                <w:bCs/>
                <w:color w:val="FFFFFF"/>
                <w:sz w:val="19"/>
                <w:szCs w:val="19"/>
              </w:rPr>
              <w:t xml:space="preserve">Weight</w:t>
            </w:r>
          </w:p>
        </w:tc>
        <w:tc>
          <w:tcPr>
            <w:tcW w:type="dxa" w:w="4548"/>
            <w:shd w:fill="1B5E20" w:val="clear"/>
            <w:tcMar>
              <w:top w:type="dxa" w:w="80"/>
              <w:left w:type="dxa" w:w="100"/>
              <w:bottom w:type="dxa" w:w="80"/>
              <w:right w:type="dxa" w:w="100"/>
            </w:tcMar>
            <w:vAlign w:val="center"/>
          </w:tcPr>
          <w:p>
            <w:pPr>
              <w:jc w:val="left"/>
            </w:pPr>
            <w:r>
              <w:rPr>
                <w:b/>
                <w:bCs/>
                <w:color w:val="FFFFFF"/>
                <w:sz w:val="19"/>
                <w:szCs w:val="19"/>
              </w:rPr>
              <w:t xml:space="preserve">Definition</w:t>
            </w:r>
          </w:p>
        </w:tc>
      </w:tr>
      <w:tr>
        <w:tc>
          <w:tcPr>
            <w:tcW w:type="dxa" w:w="3465"/>
            <w:tcMar>
              <w:top w:type="dxa" w:w="60"/>
              <w:left w:type="dxa" w:w="100"/>
              <w:bottom w:type="dxa" w:w="60"/>
              <w:right w:type="dxa" w:w="100"/>
            </w:tcMar>
            <w:vAlign w:val="center"/>
          </w:tcPr>
          <w:p>
            <w:pPr>
              <w:jc w:val="left"/>
            </w:pPr>
            <w:r>
              <w:rPr>
                <w:b w:val="false"/>
                <w:bCs w:val="false"/>
                <w:color w:val="212121"/>
                <w:sz w:val="19"/>
                <w:szCs w:val="19"/>
              </w:rPr>
              <w:t xml:space="preserve">Degradation severity</w:t>
            </w:r>
          </w:p>
        </w:tc>
        <w:tc>
          <w:tcPr>
            <w:tcW w:type="dxa" w:w="1733"/>
            <w:tcMar>
              <w:top w:type="dxa" w:w="60"/>
              <w:left w:type="dxa" w:w="100"/>
              <w:bottom w:type="dxa" w:w="60"/>
              <w:right w:type="dxa" w:w="100"/>
            </w:tcMar>
            <w:vAlign w:val="center"/>
          </w:tcPr>
          <w:p>
            <w:pPr>
              <w:jc w:val="left"/>
            </w:pPr>
            <w:r>
              <w:rPr>
                <w:b w:val="false"/>
                <w:bCs w:val="false"/>
                <w:color w:val="212121"/>
                <w:sz w:val="19"/>
                <w:szCs w:val="19"/>
              </w:rPr>
              <w:t xml:space="preserve">35%</w:t>
            </w:r>
          </w:p>
        </w:tc>
        <w:tc>
          <w:tcPr>
            <w:tcW w:type="dxa" w:w="4548"/>
            <w:tcMar>
              <w:top w:type="dxa" w:w="60"/>
              <w:left w:type="dxa" w:w="100"/>
              <w:bottom w:type="dxa" w:w="60"/>
              <w:right w:type="dxa" w:w="100"/>
            </w:tcMar>
            <w:vAlign w:val="center"/>
          </w:tcPr>
          <w:p>
            <w:pPr>
              <w:jc w:val="left"/>
            </w:pPr>
            <w:r>
              <w:rPr>
                <w:b w:val="false"/>
                <w:bCs w:val="false"/>
                <w:color w:val="212121"/>
                <w:sz w:val="19"/>
                <w:szCs w:val="19"/>
              </w:rPr>
              <w:t xml:space="preserve">Lower canopy density scores higher (more room for gain)</w:t>
            </w:r>
          </w:p>
        </w:tc>
      </w:tr>
      <w:tr>
        <w:tc>
          <w:tcPr>
            <w:tcW w:type="dxa" w:w="3465"/>
            <w:shd w:fill="E8F5E9" w:val="clear"/>
            <w:tcMar>
              <w:top w:type="dxa" w:w="60"/>
              <w:left w:type="dxa" w:w="100"/>
              <w:bottom w:type="dxa" w:w="60"/>
              <w:right w:type="dxa" w:w="100"/>
            </w:tcMar>
            <w:vAlign w:val="center"/>
          </w:tcPr>
          <w:p>
            <w:pPr>
              <w:jc w:val="left"/>
            </w:pPr>
            <w:r>
              <w:rPr>
                <w:b w:val="false"/>
                <w:bCs w:val="false"/>
                <w:color w:val="212121"/>
                <w:sz w:val="19"/>
                <w:szCs w:val="19"/>
              </w:rPr>
              <w:t xml:space="preserve">Soil erosion risk (RUSLE)</w:t>
            </w:r>
          </w:p>
        </w:tc>
        <w:tc>
          <w:tcPr>
            <w:tcW w:type="dxa" w:w="1733"/>
            <w:shd w:fill="E8F5E9" w:val="clear"/>
            <w:tcMar>
              <w:top w:type="dxa" w:w="60"/>
              <w:left w:type="dxa" w:w="100"/>
              <w:bottom w:type="dxa" w:w="60"/>
              <w:right w:type="dxa" w:w="100"/>
            </w:tcMar>
            <w:vAlign w:val="center"/>
          </w:tcPr>
          <w:p>
            <w:pPr>
              <w:jc w:val="left"/>
            </w:pPr>
            <w:r>
              <w:rPr>
                <w:b w:val="false"/>
                <w:bCs w:val="false"/>
                <w:color w:val="212121"/>
                <w:sz w:val="19"/>
                <w:szCs w:val="19"/>
              </w:rPr>
              <w:t xml:space="preserve">30%</w:t>
            </w:r>
          </w:p>
        </w:tc>
        <w:tc>
          <w:tcPr>
            <w:tcW w:type="dxa" w:w="4548"/>
            <w:shd w:fill="E8F5E9" w:val="clear"/>
            <w:tcMar>
              <w:top w:type="dxa" w:w="60"/>
              <w:left w:type="dxa" w:w="100"/>
              <w:bottom w:type="dxa" w:w="60"/>
              <w:right w:type="dxa" w:w="100"/>
            </w:tcMar>
            <w:vAlign w:val="center"/>
          </w:tcPr>
          <w:p>
            <w:pPr>
              <w:jc w:val="left"/>
            </w:pPr>
            <w:r>
              <w:rPr>
                <w:b w:val="false"/>
                <w:bCs w:val="false"/>
                <w:color w:val="212121"/>
                <w:sz w:val="19"/>
                <w:szCs w:val="19"/>
              </w:rPr>
              <w:t xml:space="preserve">Higher modelled soil loss (t/ha/yr) scores higher (Soil &amp; Water Conservation co-benefit)</w:t>
            </w:r>
          </w:p>
        </w:tc>
      </w:tr>
      <w:tr>
        <w:tc>
          <w:tcPr>
            <w:tcW w:type="dxa" w:w="3465"/>
            <w:tcMar>
              <w:top w:type="dxa" w:w="60"/>
              <w:left w:type="dxa" w:w="100"/>
              <w:bottom w:type="dxa" w:w="60"/>
              <w:right w:type="dxa" w:w="100"/>
            </w:tcMar>
            <w:vAlign w:val="center"/>
          </w:tcPr>
          <w:p>
            <w:pPr>
              <w:jc w:val="left"/>
            </w:pPr>
            <w:r>
              <w:rPr>
                <w:b w:val="false"/>
                <w:bCs w:val="false"/>
                <w:color w:val="212121"/>
                <w:sz w:val="19"/>
                <w:szCs w:val="19"/>
              </w:rPr>
              <w:t xml:space="preserve">Carbon-gain potential</w:t>
            </w:r>
          </w:p>
        </w:tc>
        <w:tc>
          <w:tcPr>
            <w:tcW w:type="dxa" w:w="1733"/>
            <w:tcMar>
              <w:top w:type="dxa" w:w="60"/>
              <w:left w:type="dxa" w:w="100"/>
              <w:bottom w:type="dxa" w:w="60"/>
              <w:right w:type="dxa" w:w="100"/>
            </w:tcMar>
            <w:vAlign w:val="center"/>
          </w:tcPr>
          <w:p>
            <w:pPr>
              <w:jc w:val="left"/>
            </w:pPr>
            <w:r>
              <w:rPr>
                <w:b w:val="false"/>
                <w:bCs w:val="false"/>
                <w:color w:val="212121"/>
                <w:sz w:val="19"/>
                <w:szCs w:val="19"/>
              </w:rPr>
              <w:t xml:space="preserve">20%</w:t>
            </w:r>
          </w:p>
        </w:tc>
        <w:tc>
          <w:tcPr>
            <w:tcW w:type="dxa" w:w="4548"/>
            <w:tcMar>
              <w:top w:type="dxa" w:w="60"/>
              <w:left w:type="dxa" w:w="100"/>
              <w:bottom w:type="dxa" w:w="60"/>
              <w:right w:type="dxa" w:w="100"/>
            </w:tcMar>
            <w:vAlign w:val="center"/>
          </w:tcPr>
          <w:p>
            <w:pPr>
              <w:jc w:val="left"/>
            </w:pPr>
            <w:r>
              <w:rPr>
                <w:b w:val="false"/>
                <w:bCs w:val="false"/>
                <w:color w:val="212121"/>
                <w:sz w:val="19"/>
                <w:szCs w:val="19"/>
              </w:rPr>
              <w:t xml:space="preserve">Deficit between current biomass and a reference dry-deciduous AGB benchmark</w:t>
            </w:r>
          </w:p>
        </w:tc>
      </w:tr>
      <w:tr>
        <w:tc>
          <w:tcPr>
            <w:tcW w:type="dxa" w:w="3465"/>
            <w:shd w:fill="E8F5E9" w:val="clear"/>
            <w:tcMar>
              <w:top w:type="dxa" w:w="60"/>
              <w:left w:type="dxa" w:w="100"/>
              <w:bottom w:type="dxa" w:w="60"/>
              <w:right w:type="dxa" w:w="100"/>
            </w:tcMar>
            <w:vAlign w:val="center"/>
          </w:tcPr>
          <w:p>
            <w:pPr>
              <w:jc w:val="left"/>
            </w:pPr>
            <w:r>
              <w:rPr>
                <w:b w:val="false"/>
                <w:bCs w:val="false"/>
                <w:color w:val="212121"/>
                <w:sz w:val="19"/>
                <w:szCs w:val="19"/>
              </w:rPr>
              <w:t xml:space="preserve">Site workability</w:t>
            </w:r>
          </w:p>
        </w:tc>
        <w:tc>
          <w:tcPr>
            <w:tcW w:type="dxa" w:w="1733"/>
            <w:shd w:fill="E8F5E9" w:val="clear"/>
            <w:tcMar>
              <w:top w:type="dxa" w:w="60"/>
              <w:left w:type="dxa" w:w="100"/>
              <w:bottom w:type="dxa" w:w="60"/>
              <w:right w:type="dxa" w:w="100"/>
            </w:tcMar>
            <w:vAlign w:val="center"/>
          </w:tcPr>
          <w:p>
            <w:pPr>
              <w:jc w:val="left"/>
            </w:pPr>
            <w:r>
              <w:rPr>
                <w:b w:val="false"/>
                <w:bCs w:val="false"/>
                <w:color w:val="212121"/>
                <w:sz w:val="19"/>
                <w:szCs w:val="19"/>
              </w:rPr>
              <w:t xml:space="preserve">15%</w:t>
            </w:r>
          </w:p>
        </w:tc>
        <w:tc>
          <w:tcPr>
            <w:tcW w:type="dxa" w:w="4548"/>
            <w:shd w:fill="E8F5E9" w:val="clear"/>
            <w:tcMar>
              <w:top w:type="dxa" w:w="60"/>
              <w:left w:type="dxa" w:w="100"/>
              <w:bottom w:type="dxa" w:w="60"/>
              <w:right w:type="dxa" w:w="100"/>
            </w:tcMar>
            <w:vAlign w:val="center"/>
          </w:tcPr>
          <w:p>
            <w:pPr>
              <w:jc w:val="left"/>
            </w:pPr>
            <w:r>
              <w:rPr>
                <w:b w:val="false"/>
                <w:bCs w:val="false"/>
                <w:color w:val="212121"/>
                <w:sz w:val="19"/>
                <w:szCs w:val="19"/>
              </w:rPr>
              <w:t xml:space="preserve">Gentler slope and adequate rainfall score higher (establishment feasibility)</w:t>
            </w:r>
          </w:p>
        </w:tc>
      </w:tr>
    </w:tbl>
    <w:p>
      <w:pPr>
        <w:spacing w:after="160"/>
      </w:pPr>
    </w:p>
    <w:p>
      <w:pPr>
        <w:pStyle w:val="Heading2"/>
        <w:spacing w:after="120" w:before="260"/>
      </w:pPr>
      <w:r>
        <w:rPr>
          <w:b/>
          <w:bCs/>
          <w:color w:val="2E7D32"/>
          <w:sz w:val="24"/>
          <w:szCs w:val="24"/>
        </w:rPr>
        <w:t xml:space="preserve">4.4  Block-Level Aggregation &amp; Ranking</w:t>
      </w:r>
    </w:p>
    <w:p>
      <w:pPr>
        <w:spacing w:after="160" w:line="300"/>
      </w:pPr>
      <w:r>
        <w:rPr>
          <w:b w:val="false"/>
          <w:bCs w:val="false"/>
          <w:i w:val="false"/>
          <w:iCs w:val="false"/>
          <w:color w:val="212121"/>
          <w:sz w:val="21"/>
          <w:szCs w:val="21"/>
        </w:rPr>
        <w:t xml:space="preserve">Pixel-level scores are aggregated into ~9 ha planning blocks (a practical fencing/protection unit size, not a single pixel) using a regular grid over the beat boundary. Each block is assigned its mean priority score, dominant treatment type, mean soil loss, and mean carbon deficit. Blocks are then ranked highest-priority first, and selected by cumulative area until the Range’s funded target area is reached - so the proposal contains exactly as many hectares as are actually fundable this cycle, drawn from the best-ranked ground first.</w:t>
      </w:r>
    </w:p>
    <w:p>
      <w:pPr>
        <w:pStyle w:val="Heading2"/>
        <w:spacing w:after="120" w:before="260"/>
      </w:pPr>
      <w:r>
        <w:rPr>
          <w:b/>
          <w:bCs/>
          <w:color w:val="2E7D32"/>
          <w:sz w:val="24"/>
          <w:szCs w:val="24"/>
        </w:rPr>
        <w:t xml:space="preserve">4.5  Reproducibility</w:t>
      </w:r>
    </w:p>
    <w:p>
      <w:pPr>
        <w:spacing w:after="160" w:line="300"/>
      </w:pPr>
      <w:r>
        <w:rPr>
          <w:b w:val="false"/>
          <w:bCs w:val="false"/>
          <w:i w:val="false"/>
          <w:iCs w:val="false"/>
          <w:color w:val="212121"/>
          <w:sz w:val="21"/>
          <w:szCs w:val="21"/>
        </w:rPr>
        <w:t xml:space="preserve">The full scoring and ranking pipeline is implemented in a single, auditable Google Earth Engine script (BGDSS_Module2_CAMPASitePrioritization.js) using only publicly available satellite datasets. Any reviewer with Earth Engine access can re-run it against the same beat boundary and reproduce this ranking exactly, or re-run it against a different beat by changing one configuration line - the same pipeline scales to Range- or Division-wide site selection.</w:t>
      </w:r>
    </w:p>
    <w:p>
      <w:r>
        <w:br w:type="page"/>
      </w:r>
    </w:p>
    <w:p>
      <w:pPr>
        <w:pStyle w:val="Heading1"/>
        <w:pBdr>
          <w:bottom w:val="single" w:color="1B5E20" w:sz="8" w:space="4"/>
        </w:pBdr>
        <w:spacing w:after="160" w:before="360"/>
      </w:pPr>
      <w:r>
        <w:rPr>
          <w:b/>
          <w:bCs/>
          <w:color w:val="1B5E20"/>
          <w:sz w:val="30"/>
          <w:szCs w:val="30"/>
        </w:rPr>
        <w:t xml:space="preserve">5.  Site Selection Results</w:t>
      </w:r>
    </w:p>
    <w:p>
      <w:pPr>
        <w:pBdr>
          <w:left w:val="single" w:color="B26A00" w:sz="18" w:space="6"/>
        </w:pBdr>
        <w:shd w:fill="FFF8E1" w:val="clear"/>
        <w:spacing w:after="160"/>
        <w:ind w:left="120"/>
      </w:pPr>
      <w:r>
        <w:rPr>
          <w:b/>
          <w:bCs/>
          <w:color w:val="B26A00"/>
          <w:sz w:val="20"/>
          <w:szCs w:val="20"/>
        </w:rPr>
        <w:t xml:space="preserve">ASSUMPTION - VERIFY: </w:t>
      </w:r>
      <w:r>
        <w:rPr>
          <w:i/>
          <w:iCs/>
          <w:color w:val="212121"/>
          <w:sz w:val="20"/>
          <w:szCs w:val="20"/>
        </w:rPr>
        <w:t xml:space="preserve">The table below is a TEMPLATE. Run BGDSS_Module2_CAMPASitePrioritization.js with CONFIG.targetTreatmentAreaHa set to the Range’s confirmed APO figure, then paste the printed summary and the top rows of BGDSS_CAMPA_RankedBlocks.csv here.</w:t>
      </w:r>
    </w:p>
    <w:p>
      <w:pPr>
        <w:pStyle w:val="Heading2"/>
        <w:spacing w:after="120" w:before="260"/>
      </w:pPr>
      <w:r>
        <w:rPr>
          <w:b/>
          <w:bCs/>
          <w:color w:val="2E7D32"/>
          <w:sz w:val="24"/>
          <w:szCs w:val="24"/>
        </w:rPr>
        <w:t xml:space="preserve">5.1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981"/>
        <w:gridCol w:w="4765"/>
      </w:tblGrid>
      <w:tr>
        <w:trPr>
          <w:tblHeader/>
        </w:trPr>
        <w:tc>
          <w:tcPr>
            <w:tcW w:type="dxa" w:w="4981"/>
            <w:shd w:fill="1B5E20" w:val="clear"/>
            <w:tcMar>
              <w:top w:type="dxa" w:w="80"/>
              <w:left w:type="dxa" w:w="100"/>
              <w:bottom w:type="dxa" w:w="80"/>
              <w:right w:type="dxa" w:w="100"/>
            </w:tcMar>
            <w:vAlign w:val="center"/>
          </w:tcPr>
          <w:p>
            <w:pPr>
              <w:jc w:val="left"/>
            </w:pPr>
            <w:r>
              <w:rPr>
                <w:b/>
                <w:bCs/>
                <w:color w:val="FFFFFF"/>
                <w:sz w:val="19"/>
                <w:szCs w:val="19"/>
              </w:rPr>
              <w:t xml:space="preserve">Metric</w:t>
            </w:r>
          </w:p>
        </w:tc>
        <w:tc>
          <w:tcPr>
            <w:tcW w:type="dxa" w:w="4765"/>
            <w:shd w:fill="1B5E20" w:val="clear"/>
            <w:tcMar>
              <w:top w:type="dxa" w:w="80"/>
              <w:left w:type="dxa" w:w="100"/>
              <w:bottom w:type="dxa" w:w="80"/>
              <w:right w:type="dxa" w:w="100"/>
            </w:tcMar>
            <w:vAlign w:val="center"/>
          </w:tcPr>
          <w:p>
            <w:pPr>
              <w:jc w:val="left"/>
            </w:pPr>
            <w:r>
              <w:rPr>
                <w:b/>
                <w:bCs/>
                <w:color w:val="FFFFFF"/>
                <w:sz w:val="19"/>
                <w:szCs w:val="19"/>
              </w:rPr>
              <w:t xml:space="preserve">Value</w:t>
            </w:r>
          </w:p>
        </w:tc>
      </w:tr>
      <w:tr>
        <w:tc>
          <w:tcPr>
            <w:tcW w:type="dxa" w:w="4981"/>
            <w:tcMar>
              <w:top w:type="dxa" w:w="60"/>
              <w:left w:type="dxa" w:w="100"/>
              <w:bottom w:type="dxa" w:w="60"/>
              <w:right w:type="dxa" w:w="100"/>
            </w:tcMar>
            <w:vAlign w:val="center"/>
          </w:tcPr>
          <w:p>
            <w:pPr>
              <w:jc w:val="left"/>
            </w:pPr>
            <w:r>
              <w:rPr>
                <w:b w:val="false"/>
                <w:bCs w:val="false"/>
                <w:color w:val="212121"/>
                <w:sz w:val="19"/>
                <w:szCs w:val="19"/>
              </w:rPr>
              <w:t xml:space="preserve">Total eligible area (beat-wide)</w:t>
            </w:r>
          </w:p>
        </w:tc>
        <w:tc>
          <w:tcPr>
            <w:tcW w:type="dxa" w:w="4765"/>
            <w:tcMar>
              <w:top w:type="dxa" w:w="60"/>
              <w:left w:type="dxa" w:w="100"/>
              <w:bottom w:type="dxa" w:w="60"/>
              <w:right w:type="dxa" w:w="100"/>
            </w:tcMar>
            <w:vAlign w:val="center"/>
          </w:tcPr>
          <w:p>
            <w:pPr>
              <w:jc w:val="left"/>
            </w:pPr>
            <w:r>
              <w:rPr>
                <w:b w:val="false"/>
                <w:bCs w:val="false"/>
                <w:color w:val="212121"/>
                <w:sz w:val="19"/>
                <w:szCs w:val="19"/>
              </w:rPr>
              <w:t xml:space="preserve">[from Console: "X ha total eligible"]</w:t>
            </w:r>
          </w:p>
        </w:tc>
      </w:tr>
      <w:tr>
        <w:tc>
          <w:tcPr>
            <w:tcW w:type="dxa" w:w="4981"/>
            <w:shd w:fill="E8F5E9" w:val="clear"/>
            <w:tcMar>
              <w:top w:type="dxa" w:w="60"/>
              <w:left w:type="dxa" w:w="100"/>
              <w:bottom w:type="dxa" w:w="60"/>
              <w:right w:type="dxa" w:w="100"/>
            </w:tcMar>
            <w:vAlign w:val="center"/>
          </w:tcPr>
          <w:p>
            <w:pPr>
              <w:jc w:val="left"/>
            </w:pPr>
            <w:r>
              <w:rPr>
                <w:b w:val="false"/>
                <w:bCs w:val="false"/>
                <w:color w:val="212121"/>
                <w:sz w:val="19"/>
                <w:szCs w:val="19"/>
              </w:rPr>
              <w:t xml:space="preserve">Target treatment area (this cycle)</w:t>
            </w:r>
          </w:p>
        </w:tc>
        <w:tc>
          <w:tcPr>
            <w:tcW w:type="dxa" w:w="4765"/>
            <w:shd w:fill="E8F5E9" w:val="clear"/>
            <w:tcMar>
              <w:top w:type="dxa" w:w="60"/>
              <w:left w:type="dxa" w:w="100"/>
              <w:bottom w:type="dxa" w:w="60"/>
              <w:right w:type="dxa" w:w="100"/>
            </w:tcMar>
            <w:vAlign w:val="center"/>
          </w:tcPr>
          <w:p>
            <w:pPr>
              <w:jc w:val="left"/>
            </w:pPr>
            <w:r>
              <w:rPr>
                <w:b w:val="false"/>
                <w:bCs w:val="false"/>
                <w:color w:val="212121"/>
                <w:sz w:val="19"/>
                <w:szCs w:val="19"/>
              </w:rPr>
              <w:t xml:space="preserve">[CONFIG.targetTreatmentAreaHa, ha]</w:t>
            </w:r>
          </w:p>
        </w:tc>
      </w:tr>
      <w:tr>
        <w:tc>
          <w:tcPr>
            <w:tcW w:type="dxa" w:w="4981"/>
            <w:tcMar>
              <w:top w:type="dxa" w:w="60"/>
              <w:left w:type="dxa" w:w="100"/>
              <w:bottom w:type="dxa" w:w="60"/>
              <w:right w:type="dxa" w:w="100"/>
            </w:tcMar>
            <w:vAlign w:val="center"/>
          </w:tcPr>
          <w:p>
            <w:pPr>
              <w:jc w:val="left"/>
            </w:pPr>
            <w:r>
              <w:rPr>
                <w:b w:val="false"/>
                <w:bCs w:val="false"/>
                <w:color w:val="212121"/>
                <w:sz w:val="19"/>
                <w:szCs w:val="19"/>
              </w:rPr>
              <w:t xml:space="preserve">Selected area (actual, best-ranked)</w:t>
            </w:r>
          </w:p>
        </w:tc>
        <w:tc>
          <w:tcPr>
            <w:tcW w:type="dxa" w:w="4765"/>
            <w:tcMar>
              <w:top w:type="dxa" w:w="60"/>
              <w:left w:type="dxa" w:w="100"/>
              <w:bottom w:type="dxa" w:w="60"/>
              <w:right w:type="dxa" w:w="100"/>
            </w:tcMar>
            <w:vAlign w:val="center"/>
          </w:tcPr>
          <w:p>
            <w:pPr>
              <w:jc w:val="left"/>
            </w:pPr>
            <w:r>
              <w:rPr>
                <w:b w:val="false"/>
                <w:bCs w:val="false"/>
                <w:color w:val="212121"/>
                <w:sz w:val="19"/>
                <w:szCs w:val="19"/>
              </w:rPr>
              <w:t xml:space="preserve">[from Console: selected ha]</w:t>
            </w:r>
          </w:p>
        </w:tc>
      </w:tr>
      <w:tr>
        <w:tc>
          <w:tcPr>
            <w:tcW w:type="dxa" w:w="4981"/>
            <w:shd w:fill="E8F5E9" w:val="clear"/>
            <w:tcMar>
              <w:top w:type="dxa" w:w="60"/>
              <w:left w:type="dxa" w:w="100"/>
              <w:bottom w:type="dxa" w:w="60"/>
              <w:right w:type="dxa" w:w="100"/>
            </w:tcMar>
            <w:vAlign w:val="center"/>
          </w:tcPr>
          <w:p>
            <w:pPr>
              <w:jc w:val="left"/>
            </w:pPr>
            <w:r>
              <w:rPr>
                <w:b w:val="false"/>
                <w:bCs w:val="false"/>
                <w:color w:val="212121"/>
                <w:sz w:val="19"/>
                <w:szCs w:val="19"/>
              </w:rPr>
              <w:t xml:space="preserve">New Plantation area</w:t>
            </w:r>
          </w:p>
        </w:tc>
        <w:tc>
          <w:tcPr>
            <w:tcW w:type="dxa" w:w="4765"/>
            <w:shd w:fill="E8F5E9" w:val="clear"/>
            <w:tcMar>
              <w:top w:type="dxa" w:w="60"/>
              <w:left w:type="dxa" w:w="100"/>
              <w:bottom w:type="dxa" w:w="60"/>
              <w:right w:type="dxa" w:w="100"/>
            </w:tcMar>
            <w:vAlign w:val="center"/>
          </w:tcPr>
          <w:p>
            <w:pPr>
              <w:jc w:val="left"/>
            </w:pPr>
            <w:r>
              <w:rPr>
                <w:b w:val="false"/>
                <w:bCs w:val="false"/>
                <w:color w:val="212121"/>
                <w:sz w:val="19"/>
                <w:szCs w:val="19"/>
              </w:rPr>
              <w:t xml:space="preserve">[sum of selected blocks where Recommended Treatment = New Plantation]</w:t>
            </w:r>
          </w:p>
        </w:tc>
      </w:tr>
      <w:tr>
        <w:tc>
          <w:tcPr>
            <w:tcW w:type="dxa" w:w="4981"/>
            <w:tcMar>
              <w:top w:type="dxa" w:w="60"/>
              <w:left w:type="dxa" w:w="100"/>
              <w:bottom w:type="dxa" w:w="60"/>
              <w:right w:type="dxa" w:w="100"/>
            </w:tcMar>
            <w:vAlign w:val="center"/>
          </w:tcPr>
          <w:p>
            <w:pPr>
              <w:jc w:val="left"/>
            </w:pPr>
            <w:r>
              <w:rPr>
                <w:b w:val="false"/>
                <w:bCs w:val="false"/>
                <w:color w:val="212121"/>
                <w:sz w:val="19"/>
                <w:szCs w:val="19"/>
              </w:rPr>
              <w:t xml:space="preserve">ANR area</w:t>
            </w:r>
          </w:p>
        </w:tc>
        <w:tc>
          <w:tcPr>
            <w:tcW w:type="dxa" w:w="4765"/>
            <w:tcMar>
              <w:top w:type="dxa" w:w="60"/>
              <w:left w:type="dxa" w:w="100"/>
              <w:bottom w:type="dxa" w:w="60"/>
              <w:right w:type="dxa" w:w="100"/>
            </w:tcMar>
            <w:vAlign w:val="center"/>
          </w:tcPr>
          <w:p>
            <w:pPr>
              <w:jc w:val="left"/>
            </w:pPr>
            <w:r>
              <w:rPr>
                <w:b w:val="false"/>
                <w:bCs w:val="false"/>
                <w:color w:val="212121"/>
                <w:sz w:val="19"/>
                <w:szCs w:val="19"/>
              </w:rPr>
              <w:t xml:space="preserve">[sum of selected blocks where Recommended Treatment = ANR]</w:t>
            </w:r>
          </w:p>
        </w:tc>
      </w:tr>
      <w:tr>
        <w:tc>
          <w:tcPr>
            <w:tcW w:type="dxa" w:w="4981"/>
            <w:shd w:fill="E8F5E9" w:val="clear"/>
            <w:tcMar>
              <w:top w:type="dxa" w:w="60"/>
              <w:left w:type="dxa" w:w="100"/>
              <w:bottom w:type="dxa" w:w="60"/>
              <w:right w:type="dxa" w:w="100"/>
            </w:tcMar>
            <w:vAlign w:val="center"/>
          </w:tcPr>
          <w:p>
            <w:pPr>
              <w:jc w:val="left"/>
            </w:pPr>
            <w:r>
              <w:rPr>
                <w:b w:val="false"/>
                <w:bCs w:val="false"/>
                <w:color w:val="212121"/>
                <w:sz w:val="19"/>
                <w:szCs w:val="19"/>
              </w:rPr>
              <w:t xml:space="preserve">Estimated cost (placeholder rates)</w:t>
            </w:r>
          </w:p>
        </w:tc>
        <w:tc>
          <w:tcPr>
            <w:tcW w:type="dxa" w:w="4765"/>
            <w:shd w:fill="E8F5E9" w:val="clear"/>
            <w:tcMar>
              <w:top w:type="dxa" w:w="60"/>
              <w:left w:type="dxa" w:w="100"/>
              <w:bottom w:type="dxa" w:w="60"/>
              <w:right w:type="dxa" w:w="100"/>
            </w:tcMar>
            <w:vAlign w:val="center"/>
          </w:tcPr>
          <w:p>
            <w:pPr>
              <w:jc w:val="left"/>
            </w:pPr>
            <w:r>
              <w:rPr>
                <w:b w:val="false"/>
                <w:bCs w:val="false"/>
                <w:color w:val="212121"/>
                <w:sz w:val="19"/>
                <w:szCs w:val="19"/>
              </w:rPr>
              <w:t xml:space="preserve">[from Console, flag as ASSUMPTION]</w:t>
            </w:r>
          </w:p>
        </w:tc>
      </w:tr>
      <w:tr>
        <w:tc>
          <w:tcPr>
            <w:tcW w:type="dxa" w:w="4981"/>
            <w:tcMar>
              <w:top w:type="dxa" w:w="60"/>
              <w:left w:type="dxa" w:w="100"/>
              <w:bottom w:type="dxa" w:w="60"/>
              <w:right w:type="dxa" w:w="100"/>
            </w:tcMar>
            <w:vAlign w:val="center"/>
          </w:tcPr>
          <w:p>
            <w:pPr>
              <w:jc w:val="left"/>
            </w:pPr>
            <w:r>
              <w:rPr>
                <w:b w:val="false"/>
                <w:bCs w:val="false"/>
                <w:color w:val="212121"/>
                <w:sz w:val="19"/>
                <w:szCs w:val="19"/>
              </w:rPr>
              <w:t xml:space="preserve">Estimated carbon gain (10-yr horizon)</w:t>
            </w:r>
          </w:p>
        </w:tc>
        <w:tc>
          <w:tcPr>
            <w:tcW w:type="dxa" w:w="4765"/>
            <w:tcMar>
              <w:top w:type="dxa" w:w="60"/>
              <w:left w:type="dxa" w:w="100"/>
              <w:bottom w:type="dxa" w:w="60"/>
              <w:right w:type="dxa" w:w="100"/>
            </w:tcMar>
            <w:vAlign w:val="center"/>
          </w:tcPr>
          <w:p>
            <w:pPr>
              <w:jc w:val="left"/>
            </w:pPr>
            <w:r>
              <w:rPr>
                <w:b w:val="false"/>
                <w:bCs w:val="false"/>
                <w:color w:val="212121"/>
                <w:sz w:val="19"/>
                <w:szCs w:val="19"/>
              </w:rPr>
              <w:t xml:space="preserve">[from Console, tonnes C / tonnes CO2e]</w:t>
            </w:r>
          </w:p>
        </w:tc>
      </w:tr>
    </w:tbl>
    <w:p>
      <w:pPr>
        <w:spacing w:after="160"/>
      </w:pPr>
    </w:p>
    <w:p>
      <w:pPr>
        <w:pStyle w:val="Heading2"/>
        <w:spacing w:after="120" w:before="260"/>
      </w:pPr>
      <w:r>
        <w:rPr>
          <w:b/>
          <w:bCs/>
          <w:color w:val="2E7D32"/>
          <w:sz w:val="24"/>
          <w:szCs w:val="24"/>
        </w:rPr>
        <w:t xml:space="preserve">5.2  Top-Ranked Blocks (populate from BGDSS_CAMPA_RankedBlocks.csv)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70"/>
        <w:gridCol w:w="1559"/>
        <w:gridCol w:w="1559"/>
        <w:gridCol w:w="1852"/>
        <w:gridCol w:w="1852"/>
        <w:gridCol w:w="1754"/>
      </w:tblGrid>
      <w:tr>
        <w:trPr>
          <w:tblHeader/>
        </w:trPr>
        <w:tc>
          <w:tcPr>
            <w:tcW w:type="dxa" w:w="1170"/>
            <w:shd w:fill="1B5E20" w:val="clear"/>
            <w:tcMar>
              <w:top w:type="dxa" w:w="80"/>
              <w:left w:type="dxa" w:w="100"/>
              <w:bottom w:type="dxa" w:w="80"/>
              <w:right w:type="dxa" w:w="100"/>
            </w:tcMar>
            <w:vAlign w:val="center"/>
          </w:tcPr>
          <w:p>
            <w:pPr>
              <w:jc w:val="left"/>
            </w:pPr>
            <w:r>
              <w:rPr>
                <w:b/>
                <w:bCs/>
                <w:color w:val="FFFFFF"/>
                <w:sz w:val="19"/>
                <w:szCs w:val="19"/>
              </w:rPr>
              <w:t xml:space="preserve">Rank</w:t>
            </w:r>
          </w:p>
        </w:tc>
        <w:tc>
          <w:tcPr>
            <w:tcW w:type="dxa" w:w="1559"/>
            <w:shd w:fill="1B5E20" w:val="clear"/>
            <w:tcMar>
              <w:top w:type="dxa" w:w="80"/>
              <w:left w:type="dxa" w:w="100"/>
              <w:bottom w:type="dxa" w:w="80"/>
              <w:right w:type="dxa" w:w="100"/>
            </w:tcMar>
            <w:vAlign w:val="center"/>
          </w:tcPr>
          <w:p>
            <w:pPr>
              <w:jc w:val="left"/>
            </w:pPr>
            <w:r>
              <w:rPr>
                <w:b/>
                <w:bCs/>
                <w:color w:val="FFFFFF"/>
                <w:sz w:val="19"/>
                <w:szCs w:val="19"/>
              </w:rPr>
              <w:t xml:space="preserve">Block ID</w:t>
            </w:r>
          </w:p>
        </w:tc>
        <w:tc>
          <w:tcPr>
            <w:tcW w:type="dxa" w:w="1559"/>
            <w:shd w:fill="1B5E20" w:val="clear"/>
            <w:tcMar>
              <w:top w:type="dxa" w:w="80"/>
              <w:left w:type="dxa" w:w="100"/>
              <w:bottom w:type="dxa" w:w="80"/>
              <w:right w:type="dxa" w:w="100"/>
            </w:tcMar>
            <w:vAlign w:val="center"/>
          </w:tcPr>
          <w:p>
            <w:pPr>
              <w:jc w:val="left"/>
            </w:pPr>
            <w:r>
              <w:rPr>
                <w:b/>
                <w:bCs/>
                <w:color w:val="FFFFFF"/>
                <w:sz w:val="19"/>
                <w:szCs w:val="19"/>
              </w:rPr>
              <w:t xml:space="preserve">Area (ha)</w:t>
            </w:r>
          </w:p>
        </w:tc>
        <w:tc>
          <w:tcPr>
            <w:tcW w:type="dxa" w:w="1852"/>
            <w:shd w:fill="1B5E20" w:val="clear"/>
            <w:tcMar>
              <w:top w:type="dxa" w:w="80"/>
              <w:left w:type="dxa" w:w="100"/>
              <w:bottom w:type="dxa" w:w="80"/>
              <w:right w:type="dxa" w:w="100"/>
            </w:tcMar>
            <w:vAlign w:val="center"/>
          </w:tcPr>
          <w:p>
            <w:pPr>
              <w:jc w:val="left"/>
            </w:pPr>
            <w:r>
              <w:rPr>
                <w:b/>
                <w:bCs/>
                <w:color w:val="FFFFFF"/>
                <w:sz w:val="19"/>
                <w:szCs w:val="19"/>
              </w:rPr>
              <w:t xml:space="preserve">Priority Score</w:t>
            </w:r>
          </w:p>
        </w:tc>
        <w:tc>
          <w:tcPr>
            <w:tcW w:type="dxa" w:w="1852"/>
            <w:shd w:fill="1B5E20" w:val="clear"/>
            <w:tcMar>
              <w:top w:type="dxa" w:w="80"/>
              <w:left w:type="dxa" w:w="100"/>
              <w:bottom w:type="dxa" w:w="80"/>
              <w:right w:type="dxa" w:w="100"/>
            </w:tcMar>
            <w:vAlign w:val="center"/>
          </w:tcPr>
          <w:p>
            <w:pPr>
              <w:jc w:val="left"/>
            </w:pPr>
            <w:r>
              <w:rPr>
                <w:b/>
                <w:bCs/>
                <w:color w:val="FFFFFF"/>
                <w:sz w:val="19"/>
                <w:szCs w:val="19"/>
              </w:rPr>
              <w:t xml:space="preserve">Treatment</w:t>
            </w:r>
          </w:p>
        </w:tc>
        <w:tc>
          <w:tcPr>
            <w:tcW w:type="dxa" w:w="1754"/>
            <w:shd w:fill="1B5E20" w:val="clear"/>
            <w:tcMar>
              <w:top w:type="dxa" w:w="80"/>
              <w:left w:type="dxa" w:w="100"/>
              <w:bottom w:type="dxa" w:w="80"/>
              <w:right w:type="dxa" w:w="100"/>
            </w:tcMar>
            <w:vAlign w:val="center"/>
          </w:tcPr>
          <w:p>
            <w:pPr>
              <w:jc w:val="left"/>
            </w:pPr>
            <w:r>
              <w:rPr>
                <w:b/>
                <w:bCs/>
                <w:color w:val="FFFFFF"/>
                <w:sz w:val="19"/>
                <w:szCs w:val="19"/>
              </w:rPr>
              <w:t xml:space="preserve">Soil Loss (t/ha/yr)</w:t>
            </w:r>
          </w:p>
        </w:tc>
      </w:tr>
      <w:tr>
        <w:tc>
          <w:tcPr>
            <w:tcW w:type="dxa" w:w="1170"/>
            <w:tcMar>
              <w:top w:type="dxa" w:w="60"/>
              <w:left w:type="dxa" w:w="100"/>
              <w:bottom w:type="dxa" w:w="60"/>
              <w:right w:type="dxa" w:w="100"/>
            </w:tcMar>
            <w:vAlign w:val="center"/>
          </w:tcPr>
          <w:p>
            <w:pPr>
              <w:jc w:val="left"/>
            </w:pPr>
            <w:r>
              <w:rPr>
                <w:b w:val="false"/>
                <w:bCs w:val="false"/>
                <w:color w:val="212121"/>
                <w:sz w:val="19"/>
                <w:szCs w:val="19"/>
              </w:rPr>
              <w:t xml:space="preserve">1</w:t>
            </w:r>
          </w:p>
        </w:tc>
        <w:tc>
          <w:tcPr>
            <w:tcW w:type="dxa" w:w="1559"/>
            <w:tcMar>
              <w:top w:type="dxa" w:w="60"/>
              <w:left w:type="dxa" w:w="100"/>
              <w:bottom w:type="dxa" w:w="60"/>
              <w:right w:type="dxa" w:w="100"/>
            </w:tcMar>
            <w:vAlign w:val="center"/>
          </w:tcPr>
          <w:p>
            <w:pPr>
              <w:jc w:val="left"/>
            </w:pPr>
            <w:r>
              <w:rPr>
                <w:b w:val="false"/>
                <w:bCs w:val="false"/>
                <w:color w:val="212121"/>
                <w:sz w:val="19"/>
                <w:szCs w:val="19"/>
              </w:rPr>
              <w:t xml:space="preserve">[ ]</w:t>
            </w:r>
          </w:p>
        </w:tc>
        <w:tc>
          <w:tcPr>
            <w:tcW w:type="dxa" w:w="1559"/>
            <w:tcMar>
              <w:top w:type="dxa" w:w="60"/>
              <w:left w:type="dxa" w:w="100"/>
              <w:bottom w:type="dxa" w:w="60"/>
              <w:right w:type="dxa" w:w="100"/>
            </w:tcMar>
            <w:vAlign w:val="center"/>
          </w:tcPr>
          <w:p>
            <w:pPr>
              <w:jc w:val="left"/>
            </w:pPr>
            <w:r>
              <w:rPr>
                <w:b w:val="false"/>
                <w:bCs w:val="false"/>
                <w:color w:val="212121"/>
                <w:sz w:val="19"/>
                <w:szCs w:val="19"/>
              </w:rPr>
              <w:t xml:space="preserve">[ ]</w:t>
            </w:r>
          </w:p>
        </w:tc>
        <w:tc>
          <w:tcPr>
            <w:tcW w:type="dxa" w:w="1852"/>
            <w:tcMar>
              <w:top w:type="dxa" w:w="60"/>
              <w:left w:type="dxa" w:w="100"/>
              <w:bottom w:type="dxa" w:w="60"/>
              <w:right w:type="dxa" w:w="100"/>
            </w:tcMar>
            <w:vAlign w:val="center"/>
          </w:tcPr>
          <w:p>
            <w:pPr>
              <w:jc w:val="left"/>
            </w:pPr>
            <w:r>
              <w:rPr>
                <w:b w:val="false"/>
                <w:bCs w:val="false"/>
                <w:color w:val="212121"/>
                <w:sz w:val="19"/>
                <w:szCs w:val="19"/>
              </w:rPr>
              <w:t xml:space="preserve">[ ]</w:t>
            </w:r>
          </w:p>
        </w:tc>
        <w:tc>
          <w:tcPr>
            <w:tcW w:type="dxa" w:w="1852"/>
            <w:tcMar>
              <w:top w:type="dxa" w:w="60"/>
              <w:left w:type="dxa" w:w="100"/>
              <w:bottom w:type="dxa" w:w="60"/>
              <w:right w:type="dxa" w:w="100"/>
            </w:tcMar>
            <w:vAlign w:val="center"/>
          </w:tcPr>
          <w:p>
            <w:pPr>
              <w:jc w:val="left"/>
            </w:pPr>
            <w:r>
              <w:rPr>
                <w:b w:val="false"/>
                <w:bCs w:val="false"/>
                <w:color w:val="212121"/>
                <w:sz w:val="19"/>
                <w:szCs w:val="19"/>
              </w:rPr>
              <w:t xml:space="preserve">[ ]</w:t>
            </w:r>
          </w:p>
        </w:tc>
        <w:tc>
          <w:tcPr>
            <w:tcW w:type="dxa" w:w="1754"/>
            <w:tcMar>
              <w:top w:type="dxa" w:w="60"/>
              <w:left w:type="dxa" w:w="100"/>
              <w:bottom w:type="dxa" w:w="60"/>
              <w:right w:type="dxa" w:w="100"/>
            </w:tcMar>
            <w:vAlign w:val="center"/>
          </w:tcPr>
          <w:p>
            <w:pPr>
              <w:jc w:val="left"/>
            </w:pPr>
            <w:r>
              <w:rPr>
                <w:b w:val="false"/>
                <w:bCs w:val="false"/>
                <w:color w:val="212121"/>
                <w:sz w:val="19"/>
                <w:szCs w:val="19"/>
              </w:rPr>
              <w:t xml:space="preserve">[ ]</w:t>
            </w:r>
          </w:p>
        </w:tc>
      </w:tr>
      <w:tr>
        <w:tc>
          <w:tcPr>
            <w:tcW w:type="dxa" w:w="1170"/>
            <w:shd w:fill="E8F5E9" w:val="clear"/>
            <w:tcMar>
              <w:top w:type="dxa" w:w="60"/>
              <w:left w:type="dxa" w:w="100"/>
              <w:bottom w:type="dxa" w:w="60"/>
              <w:right w:type="dxa" w:w="100"/>
            </w:tcMar>
            <w:vAlign w:val="center"/>
          </w:tcPr>
          <w:p>
            <w:pPr>
              <w:jc w:val="left"/>
            </w:pPr>
            <w:r>
              <w:rPr>
                <w:b w:val="false"/>
                <w:bCs w:val="false"/>
                <w:color w:val="212121"/>
                <w:sz w:val="19"/>
                <w:szCs w:val="19"/>
              </w:rPr>
              <w:t xml:space="preserve">2</w:t>
            </w:r>
          </w:p>
        </w:tc>
        <w:tc>
          <w:tcPr>
            <w:tcW w:type="dxa" w:w="1559"/>
            <w:shd w:fill="E8F5E9" w:val="clear"/>
            <w:tcMar>
              <w:top w:type="dxa" w:w="60"/>
              <w:left w:type="dxa" w:w="100"/>
              <w:bottom w:type="dxa" w:w="60"/>
              <w:right w:type="dxa" w:w="100"/>
            </w:tcMar>
            <w:vAlign w:val="center"/>
          </w:tcPr>
          <w:p>
            <w:pPr>
              <w:jc w:val="left"/>
            </w:pPr>
            <w:r>
              <w:rPr>
                <w:b w:val="false"/>
                <w:bCs w:val="false"/>
                <w:color w:val="212121"/>
                <w:sz w:val="19"/>
                <w:szCs w:val="19"/>
              </w:rPr>
              <w:t xml:space="preserve">[ ]</w:t>
            </w:r>
          </w:p>
        </w:tc>
        <w:tc>
          <w:tcPr>
            <w:tcW w:type="dxa" w:w="1559"/>
            <w:shd w:fill="E8F5E9" w:val="clear"/>
            <w:tcMar>
              <w:top w:type="dxa" w:w="60"/>
              <w:left w:type="dxa" w:w="100"/>
              <w:bottom w:type="dxa" w:w="60"/>
              <w:right w:type="dxa" w:w="100"/>
            </w:tcMar>
            <w:vAlign w:val="center"/>
          </w:tcPr>
          <w:p>
            <w:pPr>
              <w:jc w:val="left"/>
            </w:pPr>
            <w:r>
              <w:rPr>
                <w:b w:val="false"/>
                <w:bCs w:val="false"/>
                <w:color w:val="212121"/>
                <w:sz w:val="19"/>
                <w:szCs w:val="19"/>
              </w:rPr>
              <w:t xml:space="preserve">[ ]</w:t>
            </w:r>
          </w:p>
        </w:tc>
        <w:tc>
          <w:tcPr>
            <w:tcW w:type="dxa" w:w="1852"/>
            <w:shd w:fill="E8F5E9" w:val="clear"/>
            <w:tcMar>
              <w:top w:type="dxa" w:w="60"/>
              <w:left w:type="dxa" w:w="100"/>
              <w:bottom w:type="dxa" w:w="60"/>
              <w:right w:type="dxa" w:w="100"/>
            </w:tcMar>
            <w:vAlign w:val="center"/>
          </w:tcPr>
          <w:p>
            <w:pPr>
              <w:jc w:val="left"/>
            </w:pPr>
            <w:r>
              <w:rPr>
                <w:b w:val="false"/>
                <w:bCs w:val="false"/>
                <w:color w:val="212121"/>
                <w:sz w:val="19"/>
                <w:szCs w:val="19"/>
              </w:rPr>
              <w:t xml:space="preserve">[ ]</w:t>
            </w:r>
          </w:p>
        </w:tc>
        <w:tc>
          <w:tcPr>
            <w:tcW w:type="dxa" w:w="1852"/>
            <w:shd w:fill="E8F5E9" w:val="clear"/>
            <w:tcMar>
              <w:top w:type="dxa" w:w="60"/>
              <w:left w:type="dxa" w:w="100"/>
              <w:bottom w:type="dxa" w:w="60"/>
              <w:right w:type="dxa" w:w="100"/>
            </w:tcMar>
            <w:vAlign w:val="center"/>
          </w:tcPr>
          <w:p>
            <w:pPr>
              <w:jc w:val="left"/>
            </w:pPr>
            <w:r>
              <w:rPr>
                <w:b w:val="false"/>
                <w:bCs w:val="false"/>
                <w:color w:val="212121"/>
                <w:sz w:val="19"/>
                <w:szCs w:val="19"/>
              </w:rPr>
              <w:t xml:space="preserve">[ ]</w:t>
            </w:r>
          </w:p>
        </w:tc>
        <w:tc>
          <w:tcPr>
            <w:tcW w:type="dxa" w:w="1754"/>
            <w:shd w:fill="E8F5E9" w:val="clear"/>
            <w:tcMar>
              <w:top w:type="dxa" w:w="60"/>
              <w:left w:type="dxa" w:w="100"/>
              <w:bottom w:type="dxa" w:w="60"/>
              <w:right w:type="dxa" w:w="100"/>
            </w:tcMar>
            <w:vAlign w:val="center"/>
          </w:tcPr>
          <w:p>
            <w:pPr>
              <w:jc w:val="left"/>
            </w:pPr>
            <w:r>
              <w:rPr>
                <w:b w:val="false"/>
                <w:bCs w:val="false"/>
                <w:color w:val="212121"/>
                <w:sz w:val="19"/>
                <w:szCs w:val="19"/>
              </w:rPr>
              <w:t xml:space="preserve">[ ]</w:t>
            </w:r>
          </w:p>
        </w:tc>
      </w:tr>
      <w:tr>
        <w:tc>
          <w:tcPr>
            <w:tcW w:type="dxa" w:w="1170"/>
            <w:tcMar>
              <w:top w:type="dxa" w:w="60"/>
              <w:left w:type="dxa" w:w="100"/>
              <w:bottom w:type="dxa" w:w="60"/>
              <w:right w:type="dxa" w:w="100"/>
            </w:tcMar>
            <w:vAlign w:val="center"/>
          </w:tcPr>
          <w:p>
            <w:pPr>
              <w:jc w:val="left"/>
            </w:pPr>
            <w:r>
              <w:rPr>
                <w:b w:val="false"/>
                <w:bCs w:val="false"/>
                <w:color w:val="212121"/>
                <w:sz w:val="19"/>
                <w:szCs w:val="19"/>
              </w:rPr>
              <w:t xml:space="preserve">3</w:t>
            </w:r>
          </w:p>
        </w:tc>
        <w:tc>
          <w:tcPr>
            <w:tcW w:type="dxa" w:w="1559"/>
            <w:tcMar>
              <w:top w:type="dxa" w:w="60"/>
              <w:left w:type="dxa" w:w="100"/>
              <w:bottom w:type="dxa" w:w="60"/>
              <w:right w:type="dxa" w:w="100"/>
            </w:tcMar>
            <w:vAlign w:val="center"/>
          </w:tcPr>
          <w:p>
            <w:pPr>
              <w:jc w:val="left"/>
            </w:pPr>
            <w:r>
              <w:rPr>
                <w:b w:val="false"/>
                <w:bCs w:val="false"/>
                <w:color w:val="212121"/>
                <w:sz w:val="19"/>
                <w:szCs w:val="19"/>
              </w:rPr>
              <w:t xml:space="preserve">[ ]</w:t>
            </w:r>
          </w:p>
        </w:tc>
        <w:tc>
          <w:tcPr>
            <w:tcW w:type="dxa" w:w="1559"/>
            <w:tcMar>
              <w:top w:type="dxa" w:w="60"/>
              <w:left w:type="dxa" w:w="100"/>
              <w:bottom w:type="dxa" w:w="60"/>
              <w:right w:type="dxa" w:w="100"/>
            </w:tcMar>
            <w:vAlign w:val="center"/>
          </w:tcPr>
          <w:p>
            <w:pPr>
              <w:jc w:val="left"/>
            </w:pPr>
            <w:r>
              <w:rPr>
                <w:b w:val="false"/>
                <w:bCs w:val="false"/>
                <w:color w:val="212121"/>
                <w:sz w:val="19"/>
                <w:szCs w:val="19"/>
              </w:rPr>
              <w:t xml:space="preserve">[ ]</w:t>
            </w:r>
          </w:p>
        </w:tc>
        <w:tc>
          <w:tcPr>
            <w:tcW w:type="dxa" w:w="1852"/>
            <w:tcMar>
              <w:top w:type="dxa" w:w="60"/>
              <w:left w:type="dxa" w:w="100"/>
              <w:bottom w:type="dxa" w:w="60"/>
              <w:right w:type="dxa" w:w="100"/>
            </w:tcMar>
            <w:vAlign w:val="center"/>
          </w:tcPr>
          <w:p>
            <w:pPr>
              <w:jc w:val="left"/>
            </w:pPr>
            <w:r>
              <w:rPr>
                <w:b w:val="false"/>
                <w:bCs w:val="false"/>
                <w:color w:val="212121"/>
                <w:sz w:val="19"/>
                <w:szCs w:val="19"/>
              </w:rPr>
              <w:t xml:space="preserve">[ ]</w:t>
            </w:r>
          </w:p>
        </w:tc>
        <w:tc>
          <w:tcPr>
            <w:tcW w:type="dxa" w:w="1852"/>
            <w:tcMar>
              <w:top w:type="dxa" w:w="60"/>
              <w:left w:type="dxa" w:w="100"/>
              <w:bottom w:type="dxa" w:w="60"/>
              <w:right w:type="dxa" w:w="100"/>
            </w:tcMar>
            <w:vAlign w:val="center"/>
          </w:tcPr>
          <w:p>
            <w:pPr>
              <w:jc w:val="left"/>
            </w:pPr>
            <w:r>
              <w:rPr>
                <w:b w:val="false"/>
                <w:bCs w:val="false"/>
                <w:color w:val="212121"/>
                <w:sz w:val="19"/>
                <w:szCs w:val="19"/>
              </w:rPr>
              <w:t xml:space="preserve">[ ]</w:t>
            </w:r>
          </w:p>
        </w:tc>
        <w:tc>
          <w:tcPr>
            <w:tcW w:type="dxa" w:w="1754"/>
            <w:tcMar>
              <w:top w:type="dxa" w:w="60"/>
              <w:left w:type="dxa" w:w="100"/>
              <w:bottom w:type="dxa" w:w="60"/>
              <w:right w:type="dxa" w:w="100"/>
            </w:tcMar>
            <w:vAlign w:val="center"/>
          </w:tcPr>
          <w:p>
            <w:pPr>
              <w:jc w:val="left"/>
            </w:pPr>
            <w:r>
              <w:rPr>
                <w:b w:val="false"/>
                <w:bCs w:val="false"/>
                <w:color w:val="212121"/>
                <w:sz w:val="19"/>
                <w:szCs w:val="19"/>
              </w:rPr>
              <w:t xml:space="preserve">[ ]</w:t>
            </w:r>
          </w:p>
        </w:tc>
      </w:tr>
      <w:tr>
        <w:tc>
          <w:tcPr>
            <w:tcW w:type="dxa" w:w="1170"/>
            <w:shd w:fill="E8F5E9" w:val="clear"/>
            <w:tcMar>
              <w:top w:type="dxa" w:w="60"/>
              <w:left w:type="dxa" w:w="100"/>
              <w:bottom w:type="dxa" w:w="60"/>
              <w:right w:type="dxa" w:w="100"/>
            </w:tcMar>
            <w:vAlign w:val="center"/>
          </w:tcPr>
          <w:p>
            <w:pPr>
              <w:jc w:val="left"/>
            </w:pPr>
            <w:r>
              <w:rPr>
                <w:b w:val="false"/>
                <w:bCs w:val="false"/>
                <w:color w:val="212121"/>
                <w:sz w:val="19"/>
                <w:szCs w:val="19"/>
              </w:rPr>
              <w:t xml:space="preserve">4</w:t>
            </w:r>
          </w:p>
        </w:tc>
        <w:tc>
          <w:tcPr>
            <w:tcW w:type="dxa" w:w="1559"/>
            <w:shd w:fill="E8F5E9" w:val="clear"/>
            <w:tcMar>
              <w:top w:type="dxa" w:w="60"/>
              <w:left w:type="dxa" w:w="100"/>
              <w:bottom w:type="dxa" w:w="60"/>
              <w:right w:type="dxa" w:w="100"/>
            </w:tcMar>
            <w:vAlign w:val="center"/>
          </w:tcPr>
          <w:p>
            <w:pPr>
              <w:jc w:val="left"/>
            </w:pPr>
            <w:r>
              <w:rPr>
                <w:b w:val="false"/>
                <w:bCs w:val="false"/>
                <w:color w:val="212121"/>
                <w:sz w:val="19"/>
                <w:szCs w:val="19"/>
              </w:rPr>
              <w:t xml:space="preserve">[ ]</w:t>
            </w:r>
          </w:p>
        </w:tc>
        <w:tc>
          <w:tcPr>
            <w:tcW w:type="dxa" w:w="1559"/>
            <w:shd w:fill="E8F5E9" w:val="clear"/>
            <w:tcMar>
              <w:top w:type="dxa" w:w="60"/>
              <w:left w:type="dxa" w:w="100"/>
              <w:bottom w:type="dxa" w:w="60"/>
              <w:right w:type="dxa" w:w="100"/>
            </w:tcMar>
            <w:vAlign w:val="center"/>
          </w:tcPr>
          <w:p>
            <w:pPr>
              <w:jc w:val="left"/>
            </w:pPr>
            <w:r>
              <w:rPr>
                <w:b w:val="false"/>
                <w:bCs w:val="false"/>
                <w:color w:val="212121"/>
                <w:sz w:val="19"/>
                <w:szCs w:val="19"/>
              </w:rPr>
              <w:t xml:space="preserve">[ ]</w:t>
            </w:r>
          </w:p>
        </w:tc>
        <w:tc>
          <w:tcPr>
            <w:tcW w:type="dxa" w:w="1852"/>
            <w:shd w:fill="E8F5E9" w:val="clear"/>
            <w:tcMar>
              <w:top w:type="dxa" w:w="60"/>
              <w:left w:type="dxa" w:w="100"/>
              <w:bottom w:type="dxa" w:w="60"/>
              <w:right w:type="dxa" w:w="100"/>
            </w:tcMar>
            <w:vAlign w:val="center"/>
          </w:tcPr>
          <w:p>
            <w:pPr>
              <w:jc w:val="left"/>
            </w:pPr>
            <w:r>
              <w:rPr>
                <w:b w:val="false"/>
                <w:bCs w:val="false"/>
                <w:color w:val="212121"/>
                <w:sz w:val="19"/>
                <w:szCs w:val="19"/>
              </w:rPr>
              <w:t xml:space="preserve">[ ]</w:t>
            </w:r>
          </w:p>
        </w:tc>
        <w:tc>
          <w:tcPr>
            <w:tcW w:type="dxa" w:w="1852"/>
            <w:shd w:fill="E8F5E9" w:val="clear"/>
            <w:tcMar>
              <w:top w:type="dxa" w:w="60"/>
              <w:left w:type="dxa" w:w="100"/>
              <w:bottom w:type="dxa" w:w="60"/>
              <w:right w:type="dxa" w:w="100"/>
            </w:tcMar>
            <w:vAlign w:val="center"/>
          </w:tcPr>
          <w:p>
            <w:pPr>
              <w:jc w:val="left"/>
            </w:pPr>
            <w:r>
              <w:rPr>
                <w:b w:val="false"/>
                <w:bCs w:val="false"/>
                <w:color w:val="212121"/>
                <w:sz w:val="19"/>
                <w:szCs w:val="19"/>
              </w:rPr>
              <w:t xml:space="preserve">[ ]</w:t>
            </w:r>
          </w:p>
        </w:tc>
        <w:tc>
          <w:tcPr>
            <w:tcW w:type="dxa" w:w="1754"/>
            <w:shd w:fill="E8F5E9" w:val="clear"/>
            <w:tcMar>
              <w:top w:type="dxa" w:w="60"/>
              <w:left w:type="dxa" w:w="100"/>
              <w:bottom w:type="dxa" w:w="60"/>
              <w:right w:type="dxa" w:w="100"/>
            </w:tcMar>
            <w:vAlign w:val="center"/>
          </w:tcPr>
          <w:p>
            <w:pPr>
              <w:jc w:val="left"/>
            </w:pPr>
            <w:r>
              <w:rPr>
                <w:b w:val="false"/>
                <w:bCs w:val="false"/>
                <w:color w:val="212121"/>
                <w:sz w:val="19"/>
                <w:szCs w:val="19"/>
              </w:rPr>
              <w:t xml:space="preserve">[ ]</w:t>
            </w:r>
          </w:p>
        </w:tc>
      </w:tr>
      <w:tr>
        <w:tc>
          <w:tcPr>
            <w:tcW w:type="dxa" w:w="1170"/>
            <w:tcMar>
              <w:top w:type="dxa" w:w="60"/>
              <w:left w:type="dxa" w:w="100"/>
              <w:bottom w:type="dxa" w:w="60"/>
              <w:right w:type="dxa" w:w="100"/>
            </w:tcMar>
            <w:vAlign w:val="center"/>
          </w:tcPr>
          <w:p>
            <w:pPr>
              <w:jc w:val="left"/>
            </w:pPr>
            <w:r>
              <w:rPr>
                <w:b w:val="false"/>
                <w:bCs w:val="false"/>
                <w:color w:val="212121"/>
                <w:sz w:val="19"/>
                <w:szCs w:val="19"/>
              </w:rPr>
              <w:t xml:space="preserve">5</w:t>
            </w:r>
          </w:p>
        </w:tc>
        <w:tc>
          <w:tcPr>
            <w:tcW w:type="dxa" w:w="1559"/>
            <w:tcMar>
              <w:top w:type="dxa" w:w="60"/>
              <w:left w:type="dxa" w:w="100"/>
              <w:bottom w:type="dxa" w:w="60"/>
              <w:right w:type="dxa" w:w="100"/>
            </w:tcMar>
            <w:vAlign w:val="center"/>
          </w:tcPr>
          <w:p>
            <w:pPr>
              <w:jc w:val="left"/>
            </w:pPr>
            <w:r>
              <w:rPr>
                <w:b w:val="false"/>
                <w:bCs w:val="false"/>
                <w:color w:val="212121"/>
                <w:sz w:val="19"/>
                <w:szCs w:val="19"/>
              </w:rPr>
              <w:t xml:space="preserve">[ ]</w:t>
            </w:r>
          </w:p>
        </w:tc>
        <w:tc>
          <w:tcPr>
            <w:tcW w:type="dxa" w:w="1559"/>
            <w:tcMar>
              <w:top w:type="dxa" w:w="60"/>
              <w:left w:type="dxa" w:w="100"/>
              <w:bottom w:type="dxa" w:w="60"/>
              <w:right w:type="dxa" w:w="100"/>
            </w:tcMar>
            <w:vAlign w:val="center"/>
          </w:tcPr>
          <w:p>
            <w:pPr>
              <w:jc w:val="left"/>
            </w:pPr>
            <w:r>
              <w:rPr>
                <w:b w:val="false"/>
                <w:bCs w:val="false"/>
                <w:color w:val="212121"/>
                <w:sz w:val="19"/>
                <w:szCs w:val="19"/>
              </w:rPr>
              <w:t xml:space="preserve">[ ]</w:t>
            </w:r>
          </w:p>
        </w:tc>
        <w:tc>
          <w:tcPr>
            <w:tcW w:type="dxa" w:w="1852"/>
            <w:tcMar>
              <w:top w:type="dxa" w:w="60"/>
              <w:left w:type="dxa" w:w="100"/>
              <w:bottom w:type="dxa" w:w="60"/>
              <w:right w:type="dxa" w:w="100"/>
            </w:tcMar>
            <w:vAlign w:val="center"/>
          </w:tcPr>
          <w:p>
            <w:pPr>
              <w:jc w:val="left"/>
            </w:pPr>
            <w:r>
              <w:rPr>
                <w:b w:val="false"/>
                <w:bCs w:val="false"/>
                <w:color w:val="212121"/>
                <w:sz w:val="19"/>
                <w:szCs w:val="19"/>
              </w:rPr>
              <w:t xml:space="preserve">[ ]</w:t>
            </w:r>
          </w:p>
        </w:tc>
        <w:tc>
          <w:tcPr>
            <w:tcW w:type="dxa" w:w="1852"/>
            <w:tcMar>
              <w:top w:type="dxa" w:w="60"/>
              <w:left w:type="dxa" w:w="100"/>
              <w:bottom w:type="dxa" w:w="60"/>
              <w:right w:type="dxa" w:w="100"/>
            </w:tcMar>
            <w:vAlign w:val="center"/>
          </w:tcPr>
          <w:p>
            <w:pPr>
              <w:jc w:val="left"/>
            </w:pPr>
            <w:r>
              <w:rPr>
                <w:b w:val="false"/>
                <w:bCs w:val="false"/>
                <w:color w:val="212121"/>
                <w:sz w:val="19"/>
                <w:szCs w:val="19"/>
              </w:rPr>
              <w:t xml:space="preserve">[ ]</w:t>
            </w:r>
          </w:p>
        </w:tc>
        <w:tc>
          <w:tcPr>
            <w:tcW w:type="dxa" w:w="1754"/>
            <w:tcMar>
              <w:top w:type="dxa" w:w="60"/>
              <w:left w:type="dxa" w:w="100"/>
              <w:bottom w:type="dxa" w:w="60"/>
              <w:right w:type="dxa" w:w="100"/>
            </w:tcMar>
            <w:vAlign w:val="center"/>
          </w:tcPr>
          <w:p>
            <w:pPr>
              <w:jc w:val="left"/>
            </w:pPr>
            <w:r>
              <w:rPr>
                <w:b w:val="false"/>
                <w:bCs w:val="false"/>
                <w:color w:val="212121"/>
                <w:sz w:val="19"/>
                <w:szCs w:val="19"/>
              </w:rPr>
              <w:t xml:space="preserve">[ ]</w:t>
            </w:r>
          </w:p>
        </w:tc>
      </w:tr>
    </w:tbl>
    <w:p>
      <w:pPr>
        <w:spacing w:after="160"/>
      </w:pPr>
    </w:p>
    <w:p>
      <w:pPr>
        <w:spacing w:after="160" w:line="300"/>
      </w:pPr>
      <w:r>
        <w:rPr>
          <w:b w:val="false"/>
          <w:bCs w:val="false"/>
          <w:i w:val="false"/>
          <w:iCs w:val="false"/>
          <w:color w:val="212121"/>
          <w:sz w:val="21"/>
          <w:szCs w:val="21"/>
        </w:rPr>
        <w:t xml:space="preserve">Supporting maps (attach as figures): CAMPA Priority Score raster, Recommended Treatment Type raster, and the Planning Blocks boundary vector - all exported by Module 2 in EPSG:32643 for direct ArcGIS overlay.</w:t>
      </w:r>
    </w:p>
    <w:p>
      <w:r>
        <w:br w:type="page"/>
      </w:r>
    </w:p>
    <w:p>
      <w:pPr>
        <w:pStyle w:val="Heading1"/>
        <w:pBdr>
          <w:bottom w:val="single" w:color="1B5E20" w:sz="8" w:space="4"/>
        </w:pBdr>
        <w:spacing w:after="160" w:before="360"/>
      </w:pPr>
      <w:r>
        <w:rPr>
          <w:b/>
          <w:bCs/>
          <w:color w:val="1B5E20"/>
          <w:sz w:val="30"/>
          <w:szCs w:val="30"/>
        </w:rPr>
        <w:t xml:space="preserve">6.  Proposed Treatment Package</w:t>
      </w:r>
    </w:p>
    <w:p>
      <w:pPr>
        <w:pStyle w:val="Heading2"/>
        <w:spacing w:after="120" w:before="260"/>
      </w:pPr>
      <w:r>
        <w:rPr>
          <w:b/>
          <w:bCs/>
          <w:color w:val="2E7D32"/>
          <w:sz w:val="24"/>
          <w:szCs w:val="24"/>
        </w:rPr>
        <w:t xml:space="preserve">6.1  New Plantation</w:t>
      </w:r>
    </w:p>
    <w:p>
      <w:pPr>
        <w:spacing w:after="160" w:line="300"/>
      </w:pPr>
      <w:r>
        <w:rPr>
          <w:b w:val="false"/>
          <w:bCs w:val="false"/>
          <w:i w:val="false"/>
          <w:iCs w:val="false"/>
          <w:color w:val="212121"/>
          <w:sz w:val="21"/>
          <w:szCs w:val="21"/>
        </w:rPr>
        <w:t xml:space="preserve">Indicative species palette for Northern Dry Deciduous conditions (Champion &amp; Seth Group 5B), pending confirmation against the Range’s current Working Plan species prescription: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25"/>
        <w:gridCol w:w="2903"/>
        <w:gridCol w:w="3318"/>
      </w:tblGrid>
      <w:tr>
        <w:trPr>
          <w:tblHeader/>
        </w:trPr>
        <w:tc>
          <w:tcPr>
            <w:tcW w:type="dxa" w:w="3525"/>
            <w:shd w:fill="1B5E20" w:val="clear"/>
            <w:tcMar>
              <w:top w:type="dxa" w:w="80"/>
              <w:left w:type="dxa" w:w="100"/>
              <w:bottom w:type="dxa" w:w="80"/>
              <w:right w:type="dxa" w:w="100"/>
            </w:tcMar>
            <w:vAlign w:val="center"/>
          </w:tcPr>
          <w:p>
            <w:pPr>
              <w:jc w:val="left"/>
            </w:pPr>
            <w:r>
              <w:rPr>
                <w:b/>
                <w:bCs/>
                <w:color w:val="FFFFFF"/>
                <w:sz w:val="19"/>
                <w:szCs w:val="19"/>
              </w:rPr>
              <w:t xml:space="preserve">Species</w:t>
            </w:r>
          </w:p>
        </w:tc>
        <w:tc>
          <w:tcPr>
            <w:tcW w:type="dxa" w:w="2903"/>
            <w:shd w:fill="1B5E20" w:val="clear"/>
            <w:tcMar>
              <w:top w:type="dxa" w:w="80"/>
              <w:left w:type="dxa" w:w="100"/>
              <w:bottom w:type="dxa" w:w="80"/>
              <w:right w:type="dxa" w:w="100"/>
            </w:tcMar>
            <w:vAlign w:val="center"/>
          </w:tcPr>
          <w:p>
            <w:pPr>
              <w:jc w:val="left"/>
            </w:pPr>
            <w:r>
              <w:rPr>
                <w:b/>
                <w:bCs/>
                <w:color w:val="FFFFFF"/>
                <w:sz w:val="19"/>
                <w:szCs w:val="19"/>
              </w:rPr>
              <w:t xml:space="preserve">Rainfall Range (mm)</w:t>
            </w:r>
          </w:p>
        </w:tc>
        <w:tc>
          <w:tcPr>
            <w:tcW w:type="dxa" w:w="3318"/>
            <w:shd w:fill="1B5E20"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3525"/>
            <w:tcMar>
              <w:top w:type="dxa" w:w="60"/>
              <w:left w:type="dxa" w:w="100"/>
              <w:bottom w:type="dxa" w:w="60"/>
              <w:right w:type="dxa" w:w="100"/>
            </w:tcMar>
            <w:vAlign w:val="center"/>
          </w:tcPr>
          <w:p>
            <w:pPr>
              <w:jc w:val="left"/>
            </w:pPr>
            <w:r>
              <w:rPr>
                <w:b w:val="false"/>
                <w:bCs w:val="false"/>
                <w:color w:val="212121"/>
                <w:sz w:val="19"/>
                <w:szCs w:val="19"/>
              </w:rPr>
              <w:t xml:space="preserve">Tectona grandis (Teak)</w:t>
            </w:r>
          </w:p>
        </w:tc>
        <w:tc>
          <w:tcPr>
            <w:tcW w:type="dxa" w:w="2903"/>
            <w:tcMar>
              <w:top w:type="dxa" w:w="60"/>
              <w:left w:type="dxa" w:w="100"/>
              <w:bottom w:type="dxa" w:w="60"/>
              <w:right w:type="dxa" w:w="100"/>
            </w:tcMar>
            <w:vAlign w:val="center"/>
          </w:tcPr>
          <w:p>
            <w:pPr>
              <w:jc w:val="left"/>
            </w:pPr>
            <w:r>
              <w:rPr>
                <w:b w:val="false"/>
                <w:bCs w:val="false"/>
                <w:color w:val="212121"/>
                <w:sz w:val="19"/>
                <w:szCs w:val="19"/>
              </w:rPr>
              <w:t xml:space="preserve">900 - 2,500</w:t>
            </w:r>
          </w:p>
        </w:tc>
        <w:tc>
          <w:tcPr>
            <w:tcW w:type="dxa" w:w="3318"/>
            <w:tcMar>
              <w:top w:type="dxa" w:w="60"/>
              <w:left w:type="dxa" w:w="100"/>
              <w:bottom w:type="dxa" w:w="60"/>
              <w:right w:type="dxa" w:w="100"/>
            </w:tcMar>
            <w:vAlign w:val="center"/>
          </w:tcPr>
          <w:p>
            <w:pPr>
              <w:jc w:val="left"/>
            </w:pPr>
            <w:r>
              <w:rPr>
                <w:b w:val="false"/>
                <w:bCs w:val="false"/>
                <w:color w:val="212121"/>
                <w:sz w:val="19"/>
                <w:szCs w:val="19"/>
              </w:rPr>
              <w:t xml:space="preserve">Primary Working Plan species for this forest type where soil depth permits</w:t>
            </w:r>
          </w:p>
        </w:tc>
      </w:tr>
      <w:tr>
        <w:tc>
          <w:tcPr>
            <w:tcW w:type="dxa" w:w="3525"/>
            <w:shd w:fill="E8F5E9" w:val="clear"/>
            <w:tcMar>
              <w:top w:type="dxa" w:w="60"/>
              <w:left w:type="dxa" w:w="100"/>
              <w:bottom w:type="dxa" w:w="60"/>
              <w:right w:type="dxa" w:w="100"/>
            </w:tcMar>
            <w:vAlign w:val="center"/>
          </w:tcPr>
          <w:p>
            <w:pPr>
              <w:jc w:val="left"/>
            </w:pPr>
            <w:r>
              <w:rPr>
                <w:b w:val="false"/>
                <w:bCs w:val="false"/>
                <w:color w:val="212121"/>
                <w:sz w:val="19"/>
                <w:szCs w:val="19"/>
              </w:rPr>
              <w:t xml:space="preserve">Azadirachta indica (Neem)</w:t>
            </w:r>
          </w:p>
        </w:tc>
        <w:tc>
          <w:tcPr>
            <w:tcW w:type="dxa" w:w="2903"/>
            <w:shd w:fill="E8F5E9" w:val="clear"/>
            <w:tcMar>
              <w:top w:type="dxa" w:w="60"/>
              <w:left w:type="dxa" w:w="100"/>
              <w:bottom w:type="dxa" w:w="60"/>
              <w:right w:type="dxa" w:w="100"/>
            </w:tcMar>
            <w:vAlign w:val="center"/>
          </w:tcPr>
          <w:p>
            <w:pPr>
              <w:jc w:val="left"/>
            </w:pPr>
            <w:r>
              <w:rPr>
                <w:b w:val="false"/>
                <w:bCs w:val="false"/>
                <w:color w:val="212121"/>
                <w:sz w:val="19"/>
                <w:szCs w:val="19"/>
              </w:rPr>
              <w:t xml:space="preserve">400 - 1,200</w:t>
            </w:r>
          </w:p>
        </w:tc>
        <w:tc>
          <w:tcPr>
            <w:tcW w:type="dxa" w:w="3318"/>
            <w:shd w:fill="E8F5E9" w:val="clear"/>
            <w:tcMar>
              <w:top w:type="dxa" w:w="60"/>
              <w:left w:type="dxa" w:w="100"/>
              <w:bottom w:type="dxa" w:w="60"/>
              <w:right w:type="dxa" w:w="100"/>
            </w:tcMar>
            <w:vAlign w:val="center"/>
          </w:tcPr>
          <w:p>
            <w:pPr>
              <w:jc w:val="left"/>
            </w:pPr>
            <w:r>
              <w:rPr>
                <w:b w:val="false"/>
                <w:bCs w:val="false"/>
                <w:color w:val="212121"/>
                <w:sz w:val="19"/>
                <w:szCs w:val="19"/>
              </w:rPr>
              <w:t xml:space="preserve">Hardy, drought-tolerant; suitable for drier/shallower sites</w:t>
            </w:r>
          </w:p>
        </w:tc>
      </w:tr>
      <w:tr>
        <w:tc>
          <w:tcPr>
            <w:tcW w:type="dxa" w:w="3525"/>
            <w:tcMar>
              <w:top w:type="dxa" w:w="60"/>
              <w:left w:type="dxa" w:w="100"/>
              <w:bottom w:type="dxa" w:w="60"/>
              <w:right w:type="dxa" w:w="100"/>
            </w:tcMar>
            <w:vAlign w:val="center"/>
          </w:tcPr>
          <w:p>
            <w:pPr>
              <w:jc w:val="left"/>
            </w:pPr>
            <w:r>
              <w:rPr>
                <w:b w:val="false"/>
                <w:bCs w:val="false"/>
                <w:color w:val="212121"/>
                <w:sz w:val="19"/>
                <w:szCs w:val="19"/>
              </w:rPr>
              <w:t xml:space="preserve">Acacia nilotica (Babul)</w:t>
            </w:r>
          </w:p>
        </w:tc>
        <w:tc>
          <w:tcPr>
            <w:tcW w:type="dxa" w:w="2903"/>
            <w:tcMar>
              <w:top w:type="dxa" w:w="60"/>
              <w:left w:type="dxa" w:w="100"/>
              <w:bottom w:type="dxa" w:w="60"/>
              <w:right w:type="dxa" w:w="100"/>
            </w:tcMar>
            <w:vAlign w:val="center"/>
          </w:tcPr>
          <w:p>
            <w:pPr>
              <w:jc w:val="left"/>
            </w:pPr>
            <w:r>
              <w:rPr>
                <w:b w:val="false"/>
                <w:bCs w:val="false"/>
                <w:color w:val="212121"/>
                <w:sz w:val="19"/>
                <w:szCs w:val="19"/>
              </w:rPr>
              <w:t xml:space="preserve">300 - 1,200</w:t>
            </w:r>
          </w:p>
        </w:tc>
        <w:tc>
          <w:tcPr>
            <w:tcW w:type="dxa" w:w="3318"/>
            <w:tcMar>
              <w:top w:type="dxa" w:w="60"/>
              <w:left w:type="dxa" w:w="100"/>
              <w:bottom w:type="dxa" w:w="60"/>
              <w:right w:type="dxa" w:w="100"/>
            </w:tcMar>
            <w:vAlign w:val="center"/>
          </w:tcPr>
          <w:p>
            <w:pPr>
              <w:jc w:val="left"/>
            </w:pPr>
            <w:r>
              <w:rPr>
                <w:b w:val="false"/>
                <w:bCs w:val="false"/>
                <w:color w:val="212121"/>
                <w:sz w:val="19"/>
                <w:szCs w:val="19"/>
              </w:rPr>
              <w:t xml:space="preserve">Suitable for degraded/saline-prone patches</w:t>
            </w:r>
          </w:p>
        </w:tc>
      </w:tr>
      <w:tr>
        <w:tc>
          <w:tcPr>
            <w:tcW w:type="dxa" w:w="3525"/>
            <w:shd w:fill="E8F5E9" w:val="clear"/>
            <w:tcMar>
              <w:top w:type="dxa" w:w="60"/>
              <w:left w:type="dxa" w:w="100"/>
              <w:bottom w:type="dxa" w:w="60"/>
              <w:right w:type="dxa" w:w="100"/>
            </w:tcMar>
            <w:vAlign w:val="center"/>
          </w:tcPr>
          <w:p>
            <w:pPr>
              <w:jc w:val="left"/>
            </w:pPr>
            <w:r>
              <w:rPr>
                <w:b w:val="false"/>
                <w:bCs w:val="false"/>
                <w:color w:val="212121"/>
                <w:sz w:val="19"/>
                <w:szCs w:val="19"/>
              </w:rPr>
              <w:t xml:space="preserve">Dendrocalamus strictus (Bamboo)</w:t>
            </w:r>
          </w:p>
        </w:tc>
        <w:tc>
          <w:tcPr>
            <w:tcW w:type="dxa" w:w="2903"/>
            <w:shd w:fill="E8F5E9" w:val="clear"/>
            <w:tcMar>
              <w:top w:type="dxa" w:w="60"/>
              <w:left w:type="dxa" w:w="100"/>
              <w:bottom w:type="dxa" w:w="60"/>
              <w:right w:type="dxa" w:w="100"/>
            </w:tcMar>
            <w:vAlign w:val="center"/>
          </w:tcPr>
          <w:p>
            <w:pPr>
              <w:jc w:val="left"/>
            </w:pPr>
            <w:r>
              <w:rPr>
                <w:b w:val="false"/>
                <w:bCs w:val="false"/>
                <w:color w:val="212121"/>
                <w:sz w:val="19"/>
                <w:szCs w:val="19"/>
              </w:rPr>
              <w:t xml:space="preserve">750 - 2,000</w:t>
            </w:r>
          </w:p>
        </w:tc>
        <w:tc>
          <w:tcPr>
            <w:tcW w:type="dxa" w:w="3318"/>
            <w:shd w:fill="E8F5E9" w:val="clear"/>
            <w:tcMar>
              <w:top w:type="dxa" w:w="60"/>
              <w:left w:type="dxa" w:w="100"/>
              <w:bottom w:type="dxa" w:w="60"/>
              <w:right w:type="dxa" w:w="100"/>
            </w:tcMar>
            <w:vAlign w:val="center"/>
          </w:tcPr>
          <w:p>
            <w:pPr>
              <w:jc w:val="left"/>
            </w:pPr>
            <w:r>
              <w:rPr>
                <w:b w:val="false"/>
                <w:bCs w:val="false"/>
                <w:color w:val="212121"/>
                <w:sz w:val="19"/>
                <w:szCs w:val="19"/>
              </w:rPr>
              <w:t xml:space="preserve">Fast establishment; soil-binding value on erosion-prone blocks</w:t>
            </w:r>
          </w:p>
        </w:tc>
      </w:tr>
    </w:tbl>
    <w:p>
      <w:pPr>
        <w:spacing w:after="160"/>
      </w:pPr>
    </w:p>
    <w:p>
      <w:pPr>
        <w:spacing w:after="160" w:line="300"/>
      </w:pPr>
      <w:r>
        <w:rPr>
          <w:b w:val="false"/>
          <w:bCs w:val="false"/>
          <w:i w:val="false"/>
          <w:iCs w:val="false"/>
          <w:color w:val="212121"/>
          <w:sz w:val="21"/>
          <w:szCs w:val="21"/>
        </w:rPr>
        <w:t xml:space="preserve">Standard practice: pit size 45x45x45 cm, spacing per species/Working Plan norm (typically 2x2 m to 3x3 m for block plantation), pre-monsoon pitting, monsoon-onset planting, and fencing/trenching for protection from grazing.</w:t>
      </w:r>
    </w:p>
    <w:p>
      <w:pPr>
        <w:pStyle w:val="Heading2"/>
        <w:spacing w:after="120" w:before="260"/>
      </w:pPr>
      <w:r>
        <w:rPr>
          <w:b/>
          <w:bCs/>
          <w:color w:val="2E7D32"/>
          <w:sz w:val="24"/>
          <w:szCs w:val="24"/>
        </w:rPr>
        <w:t xml:space="preserve">6.2  Assisted Natural Regeneration (ANR)</w:t>
      </w:r>
    </w:p>
    <w:p>
      <w:pPr>
        <w:spacing w:after="160" w:line="300"/>
      </w:pPr>
      <w:r>
        <w:rPr>
          <w:b w:val="false"/>
          <w:bCs w:val="false"/>
          <w:i w:val="false"/>
          <w:iCs w:val="false"/>
          <w:color w:val="212121"/>
          <w:sz w:val="21"/>
          <w:szCs w:val="21"/>
        </w:rPr>
        <w:t xml:space="preserve">For blocks with existing root-stock/coppice potential (10-40% canopy): soil working around existing stumps/seedlings, climber cutting, protection from grazing and fire, and gap-filling planting only where natural regeneration density is insufficient. ANR is markedly lower-cost than new plantation and is the CAMPA-preferred treatment wherever ecologically justified.</w:t>
      </w:r>
    </w:p>
    <w:p>
      <w:pPr>
        <w:pStyle w:val="Heading2"/>
        <w:spacing w:after="120" w:before="260"/>
      </w:pPr>
      <w:r>
        <w:rPr>
          <w:b/>
          <w:bCs/>
          <w:color w:val="2E7D32"/>
          <w:sz w:val="24"/>
          <w:szCs w:val="24"/>
        </w:rPr>
        <w:t xml:space="preserve">6.3  Soil &amp; Water Conservation Works</w:t>
      </w:r>
    </w:p>
    <w:p>
      <w:pPr>
        <w:spacing w:after="160" w:line="300"/>
      </w:pPr>
      <w:r>
        <w:rPr>
          <w:b w:val="false"/>
          <w:bCs w:val="false"/>
          <w:i w:val="false"/>
          <w:iCs w:val="false"/>
          <w:color w:val="212121"/>
          <w:sz w:val="21"/>
          <w:szCs w:val="21"/>
        </w:rPr>
        <w:t xml:space="preserve">For blocks with high RUSLE soil-loss scores: contour trenching, loose boulder/brushwood check structures on drainage lines, and staggered contour trenches on steeper micro-slopes, sized to the block’s modelled soil-loss rate and slope class.</w:t>
      </w:r>
    </w:p>
    <w:p>
      <w:r>
        <w:br w:type="page"/>
      </w:r>
    </w:p>
    <w:p>
      <w:pPr>
        <w:pStyle w:val="Heading1"/>
        <w:pBdr>
          <w:bottom w:val="single" w:color="1B5E20" w:sz="8" w:space="4"/>
        </w:pBdr>
        <w:spacing w:after="160" w:before="360"/>
      </w:pPr>
      <w:r>
        <w:rPr>
          <w:b/>
          <w:bCs/>
          <w:color w:val="1B5E20"/>
          <w:sz w:val="30"/>
          <w:szCs w:val="30"/>
        </w:rPr>
        <w:t xml:space="preserve">7.  Carbon &amp; Ecosystem Service Outcomes</w:t>
      </w:r>
    </w:p>
    <w:p>
      <w:pPr>
        <w:spacing w:after="160" w:line="300"/>
      </w:pPr>
      <w:r>
        <w:rPr>
          <w:b w:val="false"/>
          <w:bCs w:val="false"/>
          <w:i w:val="false"/>
          <w:iCs w:val="false"/>
          <w:color w:val="212121"/>
          <w:sz w:val="21"/>
          <w:szCs w:val="21"/>
        </w:rPr>
        <w:t xml:space="preserve">Carbon-gain potential is estimated as the deficit between each block’s current above-ground biomass (AGB) and a reference AGB benchmark for a well-stocked stand of this forest type, converted to carbon stock using the Forest Survey of India / India State of Forest Report (ISFR) convention.</w:t>
      </w:r>
    </w:p>
    <w:p>
      <w:pPr>
        <w:pStyle w:val="Heading2"/>
        <w:spacing w:after="120" w:before="260"/>
      </w:pPr>
      <w:r>
        <w:rPr>
          <w:b/>
          <w:bCs/>
          <w:color w:val="2E7D32"/>
          <w:sz w:val="24"/>
          <w:szCs w:val="24"/>
        </w:rPr>
        <w:t xml:space="preserve">Method</w:t>
      </w:r>
    </w:p>
    <w:p>
      <w:pPr>
        <w:pStyle w:val="ListParagraph"/>
        <w:numPr>
          <w:ilvl w:val="0"/>
          <w:numId w:val="1"/>
        </w:numPr>
        <w:spacing w:after="100"/>
      </w:pPr>
      <w:r>
        <w:rPr>
          <w:color w:val="212121"/>
          <w:sz w:val="21"/>
          <w:szCs w:val="21"/>
        </w:rPr>
        <w:t xml:space="preserve">AGB deficit (t/ha) = Reference AGB benchmark - Current AGB (from ESA CCI Biomass, or an NDVI-based proxy where unavailable)</w:t>
      </w:r>
    </w:p>
    <w:p>
      <w:pPr>
        <w:pStyle w:val="ListParagraph"/>
        <w:numPr>
          <w:ilvl w:val="0"/>
          <w:numId w:val="1"/>
        </w:numPr>
        <w:spacing w:after="100"/>
      </w:pPr>
      <w:r>
        <w:rPr>
          <w:color w:val="212121"/>
          <w:sz w:val="21"/>
          <w:szCs w:val="21"/>
        </w:rPr>
        <w:t xml:space="preserve">Below-ground biomass = AGB deficit x 0.28 (IPCC 2006 Guidelines for National GHG Inventories, Vol. 4, Table 4.4 - tropical/subtropical dry forest root-shoot ratio, AGB &gt; ~20 t/ha)</w:t>
      </w:r>
    </w:p>
    <w:p>
      <w:pPr>
        <w:pStyle w:val="ListParagraph"/>
        <w:numPr>
          <w:ilvl w:val="0"/>
          <w:numId w:val="1"/>
        </w:numPr>
        <w:spacing w:after="100"/>
      </w:pPr>
      <w:r>
        <w:rPr>
          <w:color w:val="212121"/>
          <w:sz w:val="21"/>
          <w:szCs w:val="21"/>
        </w:rPr>
        <w:t xml:space="preserve">Carbon stock gain = (AGB deficit + below-ground biomass) x 0.5 (carbon fraction; FSI/ISFR convention - set to 0.47 to match the IPCC 2006 Tier-1 international default instead)</w:t>
      </w:r>
    </w:p>
    <w:p>
      <w:pPr>
        <w:pStyle w:val="ListParagraph"/>
        <w:numPr>
          <w:ilvl w:val="0"/>
          <w:numId w:val="1"/>
        </w:numPr>
        <w:spacing w:after="100"/>
      </w:pPr>
      <w:r>
        <w:rPr>
          <w:color w:val="212121"/>
          <w:sz w:val="21"/>
          <w:szCs w:val="21"/>
        </w:rPr>
        <w:t xml:space="preserve">CO2-equivalent = Carbon stock gain x 3.6663 (44/12 molecular weight ratio)</w:t>
      </w:r>
    </w:p>
    <w:p>
      <w:pPr>
        <w:pBdr>
          <w:left w:val="single" w:color="B26A00" w:sz="18" w:space="6"/>
        </w:pBdr>
        <w:shd w:fill="FFF8E1" w:val="clear"/>
        <w:spacing w:after="160"/>
        <w:ind w:left="120"/>
      </w:pPr>
      <w:r>
        <w:rPr>
          <w:b/>
          <w:bCs/>
          <w:color w:val="B26A00"/>
          <w:sz w:val="20"/>
          <w:szCs w:val="20"/>
        </w:rPr>
        <w:t xml:space="preserve">ASSUMPTION - VERIFY: </w:t>
      </w:r>
      <w:r>
        <w:rPr>
          <w:i/>
          <w:iCs/>
          <w:color w:val="212121"/>
          <w:sz w:val="20"/>
          <w:szCs w:val="20"/>
        </w:rPr>
        <w:t xml:space="preserve">The reference AGB benchmark (currently a planning-stage placeholder) should be replaced with the Gujarat-specific figure from the current ISFR or the Division’s Working Plan volume tables. As a cross-check on any allometric biomass estimate derived from field DBH/height data, use the Chave et al. (2014) pantropical model as the primary estimator, with Chave et al. (2005) Model I as a dry-forest sensitivity check.</w:t>
      </w:r>
    </w:p>
    <w:p>
      <w:pPr>
        <w:spacing w:after="160" w:line="300"/>
      </w:pPr>
      <w:r>
        <w:rPr>
          <w:b w:val="false"/>
          <w:bCs w:val="false"/>
          <w:i/>
          <w:iCs/>
          <w:color w:val="212121"/>
          <w:sz w:val="21"/>
          <w:szCs w:val="21"/>
        </w:rPr>
        <w:t xml:space="preserve">The carbon-gain figure quoted in Section 5 is a standing-stock gain over the stated restoration horizon, not an annual sequestration rate - report both consistently in any funding submission to avoid a common reviewer misread.</w:t>
      </w:r>
    </w:p>
    <w:p>
      <w:pPr>
        <w:pStyle w:val="Heading1"/>
        <w:pBdr>
          <w:bottom w:val="single" w:color="1B5E20" w:sz="8" w:space="4"/>
        </w:pBdr>
        <w:spacing w:after="160" w:before="360"/>
      </w:pPr>
      <w:r>
        <w:rPr>
          <w:b/>
          <w:bCs/>
          <w:color w:val="1B5E20"/>
          <w:sz w:val="30"/>
          <w:szCs w:val="30"/>
        </w:rPr>
        <w:t xml:space="preserve">8.  Cost Estimate</w:t>
      </w:r>
    </w:p>
    <w:p>
      <w:pPr>
        <w:pBdr>
          <w:left w:val="single" w:color="B26A00" w:sz="18" w:space="6"/>
        </w:pBdr>
        <w:shd w:fill="FFF8E1" w:val="clear"/>
        <w:spacing w:after="160"/>
        <w:ind w:left="120"/>
      </w:pPr>
      <w:r>
        <w:rPr>
          <w:b/>
          <w:bCs/>
          <w:color w:val="B26A00"/>
          <w:sz w:val="20"/>
          <w:szCs w:val="20"/>
        </w:rPr>
        <w:t xml:space="preserve">ASSUMPTION - VERIFY: </w:t>
      </w:r>
      <w:r>
        <w:rPr>
          <w:i/>
          <w:iCs/>
          <w:color w:val="212121"/>
          <w:sz w:val="20"/>
          <w:szCs w:val="20"/>
        </w:rPr>
        <w:t xml:space="preserve">The rates below are commonly cited Indian CAMPA/afforestation planning figures for a 3-year-maintenance plantation package - they are NOT a Gujarat-specific rate. Replace with the current Gujarat Forest Department / State CAMPA APO Schedule of Rates before this figure is quoted in a funding submission.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36"/>
        <w:gridCol w:w="2437"/>
        <w:gridCol w:w="3374"/>
      </w:tblGrid>
      <w:tr>
        <w:trPr>
          <w:tblHeader/>
        </w:trPr>
        <w:tc>
          <w:tcPr>
            <w:tcW w:type="dxa" w:w="3936"/>
            <w:shd w:fill="1B5E20" w:val="clear"/>
            <w:tcMar>
              <w:top w:type="dxa" w:w="80"/>
              <w:left w:type="dxa" w:w="100"/>
              <w:bottom w:type="dxa" w:w="80"/>
              <w:right w:type="dxa" w:w="100"/>
            </w:tcMar>
            <w:vAlign w:val="center"/>
          </w:tcPr>
          <w:p>
            <w:pPr>
              <w:jc w:val="left"/>
            </w:pPr>
            <w:r>
              <w:rPr>
                <w:b/>
                <w:bCs/>
                <w:color w:val="FFFFFF"/>
                <w:sz w:val="19"/>
                <w:szCs w:val="19"/>
              </w:rPr>
              <w:t xml:space="preserve">Treatment</w:t>
            </w:r>
          </w:p>
        </w:tc>
        <w:tc>
          <w:tcPr>
            <w:tcW w:type="dxa" w:w="2437"/>
            <w:shd w:fill="1B5E20" w:val="clear"/>
            <w:tcMar>
              <w:top w:type="dxa" w:w="80"/>
              <w:left w:type="dxa" w:w="100"/>
              <w:bottom w:type="dxa" w:w="80"/>
              <w:right w:type="dxa" w:w="100"/>
            </w:tcMar>
            <w:vAlign w:val="center"/>
          </w:tcPr>
          <w:p>
            <w:pPr>
              <w:jc w:val="left"/>
            </w:pPr>
            <w:r>
              <w:rPr>
                <w:b/>
                <w:bCs/>
                <w:color w:val="FFFFFF"/>
                <w:sz w:val="19"/>
                <w:szCs w:val="19"/>
              </w:rPr>
              <w:t xml:space="preserve">Indicative Rate (Rs/ha)</w:t>
            </w:r>
          </w:p>
        </w:tc>
        <w:tc>
          <w:tcPr>
            <w:tcW w:type="dxa" w:w="3374"/>
            <w:shd w:fill="1B5E20" w:val="clear"/>
            <w:tcMar>
              <w:top w:type="dxa" w:w="80"/>
              <w:left w:type="dxa" w:w="100"/>
              <w:bottom w:type="dxa" w:w="80"/>
              <w:right w:type="dxa" w:w="100"/>
            </w:tcMar>
            <w:vAlign w:val="center"/>
          </w:tcPr>
          <w:p>
            <w:pPr>
              <w:jc w:val="left"/>
            </w:pPr>
            <w:r>
              <w:rPr>
                <w:b/>
                <w:bCs/>
                <w:color w:val="FFFFFF"/>
                <w:sz w:val="19"/>
                <w:szCs w:val="19"/>
              </w:rPr>
              <w:t xml:space="preserve">Basis</w:t>
            </w:r>
          </w:p>
        </w:tc>
      </w:tr>
      <w:tr>
        <w:tc>
          <w:tcPr>
            <w:tcW w:type="dxa" w:w="3936"/>
            <w:tcMar>
              <w:top w:type="dxa" w:w="60"/>
              <w:left w:type="dxa" w:w="100"/>
              <w:bottom w:type="dxa" w:w="60"/>
              <w:right w:type="dxa" w:w="100"/>
            </w:tcMar>
            <w:vAlign w:val="center"/>
          </w:tcPr>
          <w:p>
            <w:pPr>
              <w:jc w:val="left"/>
            </w:pPr>
            <w:r>
              <w:rPr>
                <w:b w:val="false"/>
                <w:bCs w:val="false"/>
                <w:color w:val="212121"/>
                <w:sz w:val="19"/>
                <w:szCs w:val="19"/>
              </w:rPr>
              <w:t xml:space="preserve">New Plantation (incl. 3-yr maintenance, fencing)</w:t>
            </w:r>
          </w:p>
        </w:tc>
        <w:tc>
          <w:tcPr>
            <w:tcW w:type="dxa" w:w="2437"/>
            <w:tcMar>
              <w:top w:type="dxa" w:w="60"/>
              <w:left w:type="dxa" w:w="100"/>
              <w:bottom w:type="dxa" w:w="60"/>
              <w:right w:type="dxa" w:w="100"/>
            </w:tcMar>
            <w:vAlign w:val="center"/>
          </w:tcPr>
          <w:p>
            <w:pPr>
              <w:jc w:val="left"/>
            </w:pPr>
            <w:r>
              <w:rPr>
                <w:b w:val="false"/>
                <w:bCs w:val="false"/>
                <w:color w:val="212121"/>
                <w:sz w:val="19"/>
                <w:szCs w:val="19"/>
              </w:rPr>
              <w:t xml:space="preserve">65,000 (placeholder)</w:t>
            </w:r>
          </w:p>
        </w:tc>
        <w:tc>
          <w:tcPr>
            <w:tcW w:type="dxa" w:w="3374"/>
            <w:tcMar>
              <w:top w:type="dxa" w:w="60"/>
              <w:left w:type="dxa" w:w="100"/>
              <w:bottom w:type="dxa" w:w="60"/>
              <w:right w:type="dxa" w:w="100"/>
            </w:tcMar>
            <w:vAlign w:val="center"/>
          </w:tcPr>
          <w:p>
            <w:pPr>
              <w:jc w:val="left"/>
            </w:pPr>
            <w:r>
              <w:rPr>
                <w:b w:val="false"/>
                <w:bCs w:val="false"/>
                <w:color w:val="212121"/>
                <w:sz w:val="19"/>
                <w:szCs w:val="19"/>
              </w:rPr>
              <w:t xml:space="preserve">Commonly cited CAMPA block-plantation planning range</w:t>
            </w:r>
          </w:p>
        </w:tc>
      </w:tr>
      <w:tr>
        <w:tc>
          <w:tcPr>
            <w:tcW w:type="dxa" w:w="3936"/>
            <w:shd w:fill="E8F5E9" w:val="clear"/>
            <w:tcMar>
              <w:top w:type="dxa" w:w="60"/>
              <w:left w:type="dxa" w:w="100"/>
              <w:bottom w:type="dxa" w:w="60"/>
              <w:right w:type="dxa" w:w="100"/>
            </w:tcMar>
            <w:vAlign w:val="center"/>
          </w:tcPr>
          <w:p>
            <w:pPr>
              <w:jc w:val="left"/>
            </w:pPr>
            <w:r>
              <w:rPr>
                <w:b w:val="false"/>
                <w:bCs w:val="false"/>
                <w:color w:val="212121"/>
                <w:sz w:val="19"/>
                <w:szCs w:val="19"/>
              </w:rPr>
              <w:t xml:space="preserve">Assisted Natural Regeneration (ANR)</w:t>
            </w:r>
          </w:p>
        </w:tc>
        <w:tc>
          <w:tcPr>
            <w:tcW w:type="dxa" w:w="2437"/>
            <w:shd w:fill="E8F5E9" w:val="clear"/>
            <w:tcMar>
              <w:top w:type="dxa" w:w="60"/>
              <w:left w:type="dxa" w:w="100"/>
              <w:bottom w:type="dxa" w:w="60"/>
              <w:right w:type="dxa" w:w="100"/>
            </w:tcMar>
            <w:vAlign w:val="center"/>
          </w:tcPr>
          <w:p>
            <w:pPr>
              <w:jc w:val="left"/>
            </w:pPr>
            <w:r>
              <w:rPr>
                <w:b w:val="false"/>
                <w:bCs w:val="false"/>
                <w:color w:val="212121"/>
                <w:sz w:val="19"/>
                <w:szCs w:val="19"/>
              </w:rPr>
              <w:t xml:space="preserve">30,000 (placeholder)</w:t>
            </w:r>
          </w:p>
        </w:tc>
        <w:tc>
          <w:tcPr>
            <w:tcW w:type="dxa" w:w="3374"/>
            <w:shd w:fill="E8F5E9" w:val="clear"/>
            <w:tcMar>
              <w:top w:type="dxa" w:w="60"/>
              <w:left w:type="dxa" w:w="100"/>
              <w:bottom w:type="dxa" w:w="60"/>
              <w:right w:type="dxa" w:w="100"/>
            </w:tcMar>
            <w:vAlign w:val="center"/>
          </w:tcPr>
          <w:p>
            <w:pPr>
              <w:jc w:val="left"/>
            </w:pPr>
            <w:r>
              <w:rPr>
                <w:b w:val="false"/>
                <w:bCs w:val="false"/>
                <w:color w:val="212121"/>
                <w:sz w:val="19"/>
                <w:szCs w:val="19"/>
              </w:rPr>
              <w:t xml:space="preserve">Lower cost - no nursery stock, lighter site preparation</w:t>
            </w:r>
          </w:p>
        </w:tc>
      </w:tr>
      <w:tr>
        <w:tc>
          <w:tcPr>
            <w:tcW w:type="dxa" w:w="3936"/>
            <w:tcMar>
              <w:top w:type="dxa" w:w="60"/>
              <w:left w:type="dxa" w:w="100"/>
              <w:bottom w:type="dxa" w:w="60"/>
              <w:right w:type="dxa" w:w="100"/>
            </w:tcMar>
            <w:vAlign w:val="center"/>
          </w:tcPr>
          <w:p>
            <w:pPr>
              <w:jc w:val="left"/>
            </w:pPr>
            <w:r>
              <w:rPr>
                <w:b w:val="false"/>
                <w:bCs w:val="false"/>
                <w:color w:val="212121"/>
                <w:sz w:val="19"/>
                <w:szCs w:val="19"/>
              </w:rPr>
              <w:t xml:space="preserve">Soil &amp; Water Conservation works</w:t>
            </w:r>
          </w:p>
        </w:tc>
        <w:tc>
          <w:tcPr>
            <w:tcW w:type="dxa" w:w="2437"/>
            <w:tcMar>
              <w:top w:type="dxa" w:w="60"/>
              <w:left w:type="dxa" w:w="100"/>
              <w:bottom w:type="dxa" w:w="60"/>
              <w:right w:type="dxa" w:w="100"/>
            </w:tcMar>
            <w:vAlign w:val="center"/>
          </w:tcPr>
          <w:p>
            <w:pPr>
              <w:jc w:val="left"/>
            </w:pPr>
            <w:r>
              <w:rPr>
                <w:b w:val="false"/>
                <w:bCs w:val="false"/>
                <w:color w:val="212121"/>
                <w:sz w:val="19"/>
                <w:szCs w:val="19"/>
              </w:rPr>
              <w:t xml:space="preserve">45,000 (placeholder)</w:t>
            </w:r>
          </w:p>
        </w:tc>
        <w:tc>
          <w:tcPr>
            <w:tcW w:type="dxa" w:w="3374"/>
            <w:tcMar>
              <w:top w:type="dxa" w:w="60"/>
              <w:left w:type="dxa" w:w="100"/>
              <w:bottom w:type="dxa" w:w="60"/>
              <w:right w:type="dxa" w:w="100"/>
            </w:tcMar>
            <w:vAlign w:val="center"/>
          </w:tcPr>
          <w:p>
            <w:pPr>
              <w:jc w:val="left"/>
            </w:pPr>
            <w:r>
              <w:rPr>
                <w:b w:val="false"/>
                <w:bCs w:val="false"/>
                <w:color w:val="212121"/>
                <w:sz w:val="19"/>
                <w:szCs w:val="19"/>
              </w:rPr>
              <w:t xml:space="preserve">Contour trenching / check-structure planning range</w:t>
            </w:r>
          </w:p>
        </w:tc>
      </w:tr>
    </w:tbl>
    <w:p>
      <w:pPr>
        <w:spacing w:after="160"/>
      </w:pPr>
    </w:p>
    <w:p>
      <w:pPr>
        <w:spacing w:after="160" w:line="300"/>
      </w:pPr>
      <w:r>
        <w:rPr>
          <w:b w:val="false"/>
          <w:bCs w:val="false"/>
          <w:i w:val="false"/>
          <w:iCs w:val="false"/>
          <w:color w:val="212121"/>
          <w:sz w:val="21"/>
          <w:szCs w:val="21"/>
        </w:rPr>
        <w:t xml:space="preserve">Total scheme cost = sum over selected blocks of (block area x rate for that block’s recommended treatment) - computed automatically by Module 2 and printed to Console once run. Tie the final figure to the current Gujarat SoR / CPWD DSR analysis-of-rates build-up for the APO submission rather than the placeholder above.</w:t>
      </w:r>
    </w:p>
    <w:p>
      <w:r>
        <w:br w:type="page"/>
      </w:r>
    </w:p>
    <w:p>
      <w:pPr>
        <w:pStyle w:val="Heading1"/>
        <w:pBdr>
          <w:bottom w:val="single" w:color="1B5E20" w:sz="8" w:space="4"/>
        </w:pBdr>
        <w:spacing w:after="160" w:before="360"/>
      </w:pPr>
      <w:r>
        <w:rPr>
          <w:b/>
          <w:bCs/>
          <w:color w:val="1B5E20"/>
          <w:sz w:val="30"/>
          <w:szCs w:val="30"/>
        </w:rPr>
        <w:t xml:space="preserve">9.  Implementation Phasing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16"/>
        <w:gridCol w:w="6930"/>
      </w:tblGrid>
      <w:tr>
        <w:trPr>
          <w:tblHeader/>
        </w:trPr>
        <w:tc>
          <w:tcPr>
            <w:tcW w:type="dxa" w:w="2816"/>
            <w:shd w:fill="1B5E20" w:val="clear"/>
            <w:tcMar>
              <w:top w:type="dxa" w:w="80"/>
              <w:left w:type="dxa" w:w="100"/>
              <w:bottom w:type="dxa" w:w="80"/>
              <w:right w:type="dxa" w:w="100"/>
            </w:tcMar>
            <w:vAlign w:val="center"/>
          </w:tcPr>
          <w:p>
            <w:pPr>
              <w:jc w:val="left"/>
            </w:pPr>
            <w:r>
              <w:rPr>
                <w:b/>
                <w:bCs/>
                <w:color w:val="FFFFFF"/>
                <w:sz w:val="19"/>
                <w:szCs w:val="19"/>
              </w:rPr>
              <w:t xml:space="preserve">Year</w:t>
            </w:r>
          </w:p>
        </w:tc>
        <w:tc>
          <w:tcPr>
            <w:tcW w:type="dxa" w:w="6930"/>
            <w:shd w:fill="1B5E20" w:val="clear"/>
            <w:tcMar>
              <w:top w:type="dxa" w:w="80"/>
              <w:left w:type="dxa" w:w="100"/>
              <w:bottom w:type="dxa" w:w="80"/>
              <w:right w:type="dxa" w:w="100"/>
            </w:tcMar>
            <w:vAlign w:val="center"/>
          </w:tcPr>
          <w:p>
            <w:pPr>
              <w:jc w:val="left"/>
            </w:pPr>
            <w:r>
              <w:rPr>
                <w:b/>
                <w:bCs/>
                <w:color w:val="FFFFFF"/>
                <w:sz w:val="19"/>
                <w:szCs w:val="19"/>
              </w:rPr>
              <w:t xml:space="preserve">Activity</w:t>
            </w:r>
          </w:p>
        </w:tc>
      </w:tr>
      <w:tr>
        <w:tc>
          <w:tcPr>
            <w:tcW w:type="dxa" w:w="2816"/>
            <w:tcMar>
              <w:top w:type="dxa" w:w="60"/>
              <w:left w:type="dxa" w:w="100"/>
              <w:bottom w:type="dxa" w:w="60"/>
              <w:right w:type="dxa" w:w="100"/>
            </w:tcMar>
            <w:vAlign w:val="center"/>
          </w:tcPr>
          <w:p>
            <w:pPr>
              <w:jc w:val="left"/>
            </w:pPr>
            <w:r>
              <w:rPr>
                <w:b w:val="false"/>
                <w:bCs w:val="false"/>
                <w:color w:val="212121"/>
                <w:sz w:val="19"/>
                <w:szCs w:val="19"/>
              </w:rPr>
              <w:t xml:space="preserve">Year 1 (pre-monsoon)</w:t>
            </w:r>
          </w:p>
        </w:tc>
        <w:tc>
          <w:tcPr>
            <w:tcW w:type="dxa" w:w="6930"/>
            <w:tcMar>
              <w:top w:type="dxa" w:w="60"/>
              <w:left w:type="dxa" w:w="100"/>
              <w:bottom w:type="dxa" w:w="60"/>
              <w:right w:type="dxa" w:w="100"/>
            </w:tcMar>
            <w:vAlign w:val="center"/>
          </w:tcPr>
          <w:p>
            <w:pPr>
              <w:jc w:val="left"/>
            </w:pPr>
            <w:r>
              <w:rPr>
                <w:b w:val="false"/>
                <w:bCs w:val="false"/>
                <w:color w:val="212121"/>
                <w:sz w:val="19"/>
                <w:szCs w:val="19"/>
              </w:rPr>
              <w:t xml:space="preserve">Site demarcation, fencing/trenching, pitting for New Plantation blocks; ANR site preparation</w:t>
            </w:r>
          </w:p>
        </w:tc>
      </w:tr>
      <w:tr>
        <w:tc>
          <w:tcPr>
            <w:tcW w:type="dxa" w:w="2816"/>
            <w:shd w:fill="E8F5E9" w:val="clear"/>
            <w:tcMar>
              <w:top w:type="dxa" w:w="60"/>
              <w:left w:type="dxa" w:w="100"/>
              <w:bottom w:type="dxa" w:w="60"/>
              <w:right w:type="dxa" w:w="100"/>
            </w:tcMar>
            <w:vAlign w:val="center"/>
          </w:tcPr>
          <w:p>
            <w:pPr>
              <w:jc w:val="left"/>
            </w:pPr>
            <w:r>
              <w:rPr>
                <w:b w:val="false"/>
                <w:bCs w:val="false"/>
                <w:color w:val="212121"/>
                <w:sz w:val="19"/>
                <w:szCs w:val="19"/>
              </w:rPr>
              <w:t xml:space="preserve">Year 1 (monsoon)</w:t>
            </w:r>
          </w:p>
        </w:tc>
        <w:tc>
          <w:tcPr>
            <w:tcW w:type="dxa" w:w="6930"/>
            <w:shd w:fill="E8F5E9" w:val="clear"/>
            <w:tcMar>
              <w:top w:type="dxa" w:w="60"/>
              <w:left w:type="dxa" w:w="100"/>
              <w:bottom w:type="dxa" w:w="60"/>
              <w:right w:type="dxa" w:w="100"/>
            </w:tcMar>
            <w:vAlign w:val="center"/>
          </w:tcPr>
          <w:p>
            <w:pPr>
              <w:jc w:val="left"/>
            </w:pPr>
            <w:r>
              <w:rPr>
                <w:b w:val="false"/>
                <w:bCs w:val="false"/>
                <w:color w:val="212121"/>
                <w:sz w:val="19"/>
                <w:szCs w:val="19"/>
              </w:rPr>
              <w:t xml:space="preserve">Planting; ANR gap-filling and climber cutting</w:t>
            </w:r>
          </w:p>
        </w:tc>
      </w:tr>
      <w:tr>
        <w:tc>
          <w:tcPr>
            <w:tcW w:type="dxa" w:w="2816"/>
            <w:tcMar>
              <w:top w:type="dxa" w:w="60"/>
              <w:left w:type="dxa" w:w="100"/>
              <w:bottom w:type="dxa" w:w="60"/>
              <w:right w:type="dxa" w:w="100"/>
            </w:tcMar>
            <w:vAlign w:val="center"/>
          </w:tcPr>
          <w:p>
            <w:pPr>
              <w:jc w:val="left"/>
            </w:pPr>
            <w:r>
              <w:rPr>
                <w:b w:val="false"/>
                <w:bCs w:val="false"/>
                <w:color w:val="212121"/>
                <w:sz w:val="19"/>
                <w:szCs w:val="19"/>
              </w:rPr>
              <w:t xml:space="preserve">Year 2</w:t>
            </w:r>
          </w:p>
        </w:tc>
        <w:tc>
          <w:tcPr>
            <w:tcW w:type="dxa" w:w="6930"/>
            <w:tcMar>
              <w:top w:type="dxa" w:w="60"/>
              <w:left w:type="dxa" w:w="100"/>
              <w:bottom w:type="dxa" w:w="60"/>
              <w:right w:type="dxa" w:w="100"/>
            </w:tcMar>
            <w:vAlign w:val="center"/>
          </w:tcPr>
          <w:p>
            <w:pPr>
              <w:jc w:val="left"/>
            </w:pPr>
            <w:r>
              <w:rPr>
                <w:b w:val="false"/>
                <w:bCs w:val="false"/>
                <w:color w:val="212121"/>
                <w:sz w:val="19"/>
                <w:szCs w:val="19"/>
              </w:rPr>
              <w:t xml:space="preserve">Casualty replacement, weeding, soil-moisture conservation works execution</w:t>
            </w:r>
          </w:p>
        </w:tc>
      </w:tr>
      <w:tr>
        <w:tc>
          <w:tcPr>
            <w:tcW w:type="dxa" w:w="2816"/>
            <w:shd w:fill="E8F5E9" w:val="clear"/>
            <w:tcMar>
              <w:top w:type="dxa" w:w="60"/>
              <w:left w:type="dxa" w:w="100"/>
              <w:bottom w:type="dxa" w:w="60"/>
              <w:right w:type="dxa" w:w="100"/>
            </w:tcMar>
            <w:vAlign w:val="center"/>
          </w:tcPr>
          <w:p>
            <w:pPr>
              <w:jc w:val="left"/>
            </w:pPr>
            <w:r>
              <w:rPr>
                <w:b w:val="false"/>
                <w:bCs w:val="false"/>
                <w:color w:val="212121"/>
                <w:sz w:val="19"/>
                <w:szCs w:val="19"/>
              </w:rPr>
              <w:t xml:space="preserve">Year 3</w:t>
            </w:r>
          </w:p>
        </w:tc>
        <w:tc>
          <w:tcPr>
            <w:tcW w:type="dxa" w:w="6930"/>
            <w:shd w:fill="E8F5E9" w:val="clear"/>
            <w:tcMar>
              <w:top w:type="dxa" w:w="60"/>
              <w:left w:type="dxa" w:w="100"/>
              <w:bottom w:type="dxa" w:w="60"/>
              <w:right w:type="dxa" w:w="100"/>
            </w:tcMar>
            <w:vAlign w:val="center"/>
          </w:tcPr>
          <w:p>
            <w:pPr>
              <w:jc w:val="left"/>
            </w:pPr>
            <w:r>
              <w:rPr>
                <w:b w:val="false"/>
                <w:bCs w:val="false"/>
                <w:color w:val="212121"/>
                <w:sz w:val="19"/>
                <w:szCs w:val="19"/>
              </w:rPr>
              <w:t xml:space="preserve">Continued maintenance, protection, and first survival census</w:t>
            </w:r>
          </w:p>
        </w:tc>
      </w:tr>
      <w:tr>
        <w:tc>
          <w:tcPr>
            <w:tcW w:type="dxa" w:w="2816"/>
            <w:tcMar>
              <w:top w:type="dxa" w:w="60"/>
              <w:left w:type="dxa" w:w="100"/>
              <w:bottom w:type="dxa" w:w="60"/>
              <w:right w:type="dxa" w:w="100"/>
            </w:tcMar>
            <w:vAlign w:val="center"/>
          </w:tcPr>
          <w:p>
            <w:pPr>
              <w:jc w:val="left"/>
            </w:pPr>
            <w:r>
              <w:rPr>
                <w:b w:val="false"/>
                <w:bCs w:val="false"/>
                <w:color w:val="212121"/>
                <w:sz w:val="19"/>
                <w:szCs w:val="19"/>
              </w:rPr>
              <w:t xml:space="preserve">Year 4+</w:t>
            </w:r>
          </w:p>
        </w:tc>
        <w:tc>
          <w:tcPr>
            <w:tcW w:type="dxa" w:w="6930"/>
            <w:tcMar>
              <w:top w:type="dxa" w:w="60"/>
              <w:left w:type="dxa" w:w="100"/>
              <w:bottom w:type="dxa" w:w="60"/>
              <w:right w:type="dxa" w:w="100"/>
            </w:tcMar>
            <w:vAlign w:val="center"/>
          </w:tcPr>
          <w:p>
            <w:pPr>
              <w:jc w:val="left"/>
            </w:pPr>
            <w:r>
              <w:rPr>
                <w:b w:val="false"/>
                <w:bCs w:val="false"/>
                <w:color w:val="212121"/>
                <w:sz w:val="19"/>
                <w:szCs w:val="19"/>
              </w:rPr>
              <w:t xml:space="preserve">Handover to regular protection regime; satellite-based MRV monitoring continues (Section 11)</w:t>
            </w:r>
          </w:p>
        </w:tc>
      </w:tr>
    </w:tbl>
    <w:p>
      <w:pPr>
        <w:pStyle w:val="Heading1"/>
        <w:pBdr>
          <w:bottom w:val="single" w:color="1B5E20" w:sz="8" w:space="4"/>
        </w:pBdr>
        <w:spacing w:after="160" w:before="360"/>
      </w:pPr>
      <w:r>
        <w:rPr>
          <w:b/>
          <w:bCs/>
          <w:color w:val="1B5E20"/>
          <w:sz w:val="30"/>
          <w:szCs w:val="30"/>
        </w:rPr>
        <w:t xml:space="preserve">10.  Risk Assessment &amp; Mitigation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16"/>
        <w:gridCol w:w="3032"/>
        <w:gridCol w:w="3898"/>
      </w:tblGrid>
      <w:tr>
        <w:trPr>
          <w:tblHeader/>
        </w:trPr>
        <w:tc>
          <w:tcPr>
            <w:tcW w:type="dxa" w:w="2816"/>
            <w:shd w:fill="1B5E20" w:val="clear"/>
            <w:tcMar>
              <w:top w:type="dxa" w:w="80"/>
              <w:left w:type="dxa" w:w="100"/>
              <w:bottom w:type="dxa" w:w="80"/>
              <w:right w:type="dxa" w:w="100"/>
            </w:tcMar>
            <w:vAlign w:val="center"/>
          </w:tcPr>
          <w:p>
            <w:pPr>
              <w:jc w:val="left"/>
            </w:pPr>
            <w:r>
              <w:rPr>
                <w:b/>
                <w:bCs/>
                <w:color w:val="FFFFFF"/>
                <w:sz w:val="19"/>
                <w:szCs w:val="19"/>
              </w:rPr>
              <w:t xml:space="preserve">Risk</w:t>
            </w:r>
          </w:p>
        </w:tc>
        <w:tc>
          <w:tcPr>
            <w:tcW w:type="dxa" w:w="3032"/>
            <w:shd w:fill="1B5E20" w:val="clear"/>
            <w:tcMar>
              <w:top w:type="dxa" w:w="80"/>
              <w:left w:type="dxa" w:w="100"/>
              <w:bottom w:type="dxa" w:w="80"/>
              <w:right w:type="dxa" w:w="100"/>
            </w:tcMar>
            <w:vAlign w:val="center"/>
          </w:tcPr>
          <w:p>
            <w:pPr>
              <w:jc w:val="left"/>
            </w:pPr>
            <w:r>
              <w:rPr>
                <w:b/>
                <w:bCs/>
                <w:color w:val="FFFFFF"/>
                <w:sz w:val="19"/>
                <w:szCs w:val="19"/>
              </w:rPr>
              <w:t xml:space="preserve">Likelihood</w:t>
            </w:r>
          </w:p>
        </w:tc>
        <w:tc>
          <w:tcPr>
            <w:tcW w:type="dxa" w:w="3898"/>
            <w:shd w:fill="1B5E20" w:val="clear"/>
            <w:tcMar>
              <w:top w:type="dxa" w:w="80"/>
              <w:left w:type="dxa" w:w="100"/>
              <w:bottom w:type="dxa" w:w="80"/>
              <w:right w:type="dxa" w:w="100"/>
            </w:tcMar>
            <w:vAlign w:val="center"/>
          </w:tcPr>
          <w:p>
            <w:pPr>
              <w:jc w:val="left"/>
            </w:pPr>
            <w:r>
              <w:rPr>
                <w:b/>
                <w:bCs/>
                <w:color w:val="FFFFFF"/>
                <w:sz w:val="19"/>
                <w:szCs w:val="19"/>
              </w:rPr>
              <w:t xml:space="preserve">Mitigation</w:t>
            </w:r>
          </w:p>
        </w:tc>
      </w:tr>
      <w:tr>
        <w:tc>
          <w:tcPr>
            <w:tcW w:type="dxa" w:w="2816"/>
            <w:tcMar>
              <w:top w:type="dxa" w:w="60"/>
              <w:left w:type="dxa" w:w="100"/>
              <w:bottom w:type="dxa" w:w="60"/>
              <w:right w:type="dxa" w:w="100"/>
            </w:tcMar>
            <w:vAlign w:val="center"/>
          </w:tcPr>
          <w:p>
            <w:pPr>
              <w:jc w:val="left"/>
            </w:pPr>
            <w:r>
              <w:rPr>
                <w:b w:val="false"/>
                <w:bCs w:val="false"/>
                <w:color w:val="212121"/>
                <w:sz w:val="19"/>
                <w:szCs w:val="19"/>
              </w:rPr>
              <w:t xml:space="preserve">Fire damage to new plantation/ANR blocks</w:t>
            </w:r>
          </w:p>
        </w:tc>
        <w:tc>
          <w:tcPr>
            <w:tcW w:type="dxa" w:w="3032"/>
            <w:tcMar>
              <w:top w:type="dxa" w:w="60"/>
              <w:left w:type="dxa" w:w="100"/>
              <w:bottom w:type="dxa" w:w="60"/>
              <w:right w:type="dxa" w:w="100"/>
            </w:tcMar>
            <w:vAlign w:val="center"/>
          </w:tcPr>
          <w:p>
            <w:pPr>
              <w:jc w:val="left"/>
            </w:pPr>
            <w:r>
              <w:rPr>
                <w:b w:val="false"/>
                <w:bCs w:val="false"/>
                <w:color w:val="212121"/>
                <w:sz w:val="19"/>
                <w:szCs w:val="19"/>
              </w:rPr>
              <w:t xml:space="preserve">Moderate-High (Sabarkantha is Champion &amp; Seth Group 5B, a fire-prone dry-deciduous type)</w:t>
            </w:r>
          </w:p>
        </w:tc>
        <w:tc>
          <w:tcPr>
            <w:tcW w:type="dxa" w:w="3898"/>
            <w:tcMar>
              <w:top w:type="dxa" w:w="60"/>
              <w:left w:type="dxa" w:w="100"/>
              <w:bottom w:type="dxa" w:w="60"/>
              <w:right w:type="dxa" w:w="100"/>
            </w:tcMar>
            <w:vAlign w:val="center"/>
          </w:tcPr>
          <w:p>
            <w:pPr>
              <w:jc w:val="left"/>
            </w:pPr>
            <w:r>
              <w:rPr>
                <w:b w:val="false"/>
                <w:bCs w:val="false"/>
                <w:color w:val="212121"/>
                <w:sz w:val="19"/>
                <w:szCs w:val="19"/>
              </w:rPr>
              <w:t xml:space="preserve">Cross-reference selected blocks against the BGDSS Fire Risk Zonation module (Module 1, Jaiswal et al. 2002 AHP); prioritize fire-line clearance and pre-monsoon patrol around any selected block falling in a High/Very High fire-risk zone</w:t>
            </w:r>
          </w:p>
        </w:tc>
      </w:tr>
      <w:tr>
        <w:tc>
          <w:tcPr>
            <w:tcW w:type="dxa" w:w="2816"/>
            <w:shd w:fill="E8F5E9" w:val="clear"/>
            <w:tcMar>
              <w:top w:type="dxa" w:w="60"/>
              <w:left w:type="dxa" w:w="100"/>
              <w:bottom w:type="dxa" w:w="60"/>
              <w:right w:type="dxa" w:w="100"/>
            </w:tcMar>
            <w:vAlign w:val="center"/>
          </w:tcPr>
          <w:p>
            <w:pPr>
              <w:jc w:val="left"/>
            </w:pPr>
            <w:r>
              <w:rPr>
                <w:b w:val="false"/>
                <w:bCs w:val="false"/>
                <w:color w:val="212121"/>
                <w:sz w:val="19"/>
                <w:szCs w:val="19"/>
              </w:rPr>
              <w:t xml:space="preserve">Grazing pressure / browsing damage</w:t>
            </w:r>
          </w:p>
        </w:tc>
        <w:tc>
          <w:tcPr>
            <w:tcW w:type="dxa" w:w="3032"/>
            <w:shd w:fill="E8F5E9" w:val="clear"/>
            <w:tcMar>
              <w:top w:type="dxa" w:w="60"/>
              <w:left w:type="dxa" w:w="100"/>
              <w:bottom w:type="dxa" w:w="60"/>
              <w:right w:type="dxa" w:w="100"/>
            </w:tcMar>
            <w:vAlign w:val="center"/>
          </w:tcPr>
          <w:p>
            <w:pPr>
              <w:jc w:val="left"/>
            </w:pPr>
            <w:r>
              <w:rPr>
                <w:b w:val="false"/>
                <w:bCs w:val="false"/>
                <w:color w:val="212121"/>
                <w:sz w:val="19"/>
                <w:szCs w:val="19"/>
              </w:rPr>
              <w:t xml:space="preserve">Moderate</w:t>
            </w:r>
          </w:p>
        </w:tc>
        <w:tc>
          <w:tcPr>
            <w:tcW w:type="dxa" w:w="3898"/>
            <w:shd w:fill="E8F5E9" w:val="clear"/>
            <w:tcMar>
              <w:top w:type="dxa" w:w="60"/>
              <w:left w:type="dxa" w:w="100"/>
              <w:bottom w:type="dxa" w:w="60"/>
              <w:right w:type="dxa" w:w="100"/>
            </w:tcMar>
            <w:vAlign w:val="center"/>
          </w:tcPr>
          <w:p>
            <w:pPr>
              <w:jc w:val="left"/>
            </w:pPr>
            <w:r>
              <w:rPr>
                <w:b w:val="false"/>
                <w:bCs w:val="false"/>
                <w:color w:val="212121"/>
                <w:sz w:val="19"/>
                <w:szCs w:val="19"/>
              </w:rPr>
              <w:t xml:space="preserve">Fencing/trenching per standard practice; community engagement where village proximity is high</w:t>
            </w:r>
          </w:p>
        </w:tc>
      </w:tr>
      <w:tr>
        <w:tc>
          <w:tcPr>
            <w:tcW w:type="dxa" w:w="2816"/>
            <w:tcMar>
              <w:top w:type="dxa" w:w="60"/>
              <w:left w:type="dxa" w:w="100"/>
              <w:bottom w:type="dxa" w:w="60"/>
              <w:right w:type="dxa" w:w="100"/>
            </w:tcMar>
            <w:vAlign w:val="center"/>
          </w:tcPr>
          <w:p>
            <w:pPr>
              <w:jc w:val="left"/>
            </w:pPr>
            <w:r>
              <w:rPr>
                <w:b w:val="false"/>
                <w:bCs w:val="false"/>
                <w:color w:val="212121"/>
                <w:sz w:val="19"/>
                <w:szCs w:val="19"/>
              </w:rPr>
              <w:t xml:space="preserve">Drought-related establishment mortality</w:t>
            </w:r>
          </w:p>
        </w:tc>
        <w:tc>
          <w:tcPr>
            <w:tcW w:type="dxa" w:w="3032"/>
            <w:tcMar>
              <w:top w:type="dxa" w:w="60"/>
              <w:left w:type="dxa" w:w="100"/>
              <w:bottom w:type="dxa" w:w="60"/>
              <w:right w:type="dxa" w:w="100"/>
            </w:tcMar>
            <w:vAlign w:val="center"/>
          </w:tcPr>
          <w:p>
            <w:pPr>
              <w:jc w:val="left"/>
            </w:pPr>
            <w:r>
              <w:rPr>
                <w:b w:val="false"/>
                <w:bCs w:val="false"/>
                <w:color w:val="212121"/>
                <w:sz w:val="19"/>
                <w:szCs w:val="19"/>
              </w:rPr>
              <w:t xml:space="preserve">Moderate (semi-arid rainfall regime)</w:t>
            </w:r>
          </w:p>
        </w:tc>
        <w:tc>
          <w:tcPr>
            <w:tcW w:type="dxa" w:w="3898"/>
            <w:tcMar>
              <w:top w:type="dxa" w:w="60"/>
              <w:left w:type="dxa" w:w="100"/>
              <w:bottom w:type="dxa" w:w="60"/>
              <w:right w:type="dxa" w:w="100"/>
            </w:tcMar>
            <w:vAlign w:val="center"/>
          </w:tcPr>
          <w:p>
            <w:pPr>
              <w:jc w:val="left"/>
            </w:pPr>
            <w:r>
              <w:rPr>
                <w:b w:val="false"/>
                <w:bCs w:val="false"/>
                <w:color w:val="212121"/>
                <w:sz w:val="19"/>
                <w:szCs w:val="19"/>
              </w:rPr>
              <w:t xml:space="preserve">Species selection weighted to site rainfall (Section 6.1); irrigation/watering in first dry season where feasible</w:t>
            </w:r>
          </w:p>
        </w:tc>
      </w:tr>
      <w:tr>
        <w:tc>
          <w:tcPr>
            <w:tcW w:type="dxa" w:w="2816"/>
            <w:shd w:fill="E8F5E9" w:val="clear"/>
            <w:tcMar>
              <w:top w:type="dxa" w:w="60"/>
              <w:left w:type="dxa" w:w="100"/>
              <w:bottom w:type="dxa" w:w="60"/>
              <w:right w:type="dxa" w:w="100"/>
            </w:tcMar>
            <w:vAlign w:val="center"/>
          </w:tcPr>
          <w:p>
            <w:pPr>
              <w:jc w:val="left"/>
            </w:pPr>
            <w:r>
              <w:rPr>
                <w:b w:val="false"/>
                <w:bCs w:val="false"/>
                <w:color w:val="212121"/>
                <w:sz w:val="19"/>
                <w:szCs w:val="19"/>
              </w:rPr>
              <w:t xml:space="preserve">Encroachment / land-use conflict</w:t>
            </w:r>
          </w:p>
        </w:tc>
        <w:tc>
          <w:tcPr>
            <w:tcW w:type="dxa" w:w="3032"/>
            <w:shd w:fill="E8F5E9" w:val="clear"/>
            <w:tcMar>
              <w:top w:type="dxa" w:w="60"/>
              <w:left w:type="dxa" w:w="100"/>
              <w:bottom w:type="dxa" w:w="60"/>
              <w:right w:type="dxa" w:w="100"/>
            </w:tcMar>
            <w:vAlign w:val="center"/>
          </w:tcPr>
          <w:p>
            <w:pPr>
              <w:jc w:val="left"/>
            </w:pPr>
            <w:r>
              <w:rPr>
                <w:b w:val="false"/>
                <w:bCs w:val="false"/>
                <w:color w:val="212121"/>
                <w:sz w:val="19"/>
                <w:szCs w:val="19"/>
              </w:rPr>
              <w:t xml:space="preserve">Low-Moderate</w:t>
            </w:r>
          </w:p>
        </w:tc>
        <w:tc>
          <w:tcPr>
            <w:tcW w:type="dxa" w:w="3898"/>
            <w:shd w:fill="E8F5E9" w:val="clear"/>
            <w:tcMar>
              <w:top w:type="dxa" w:w="60"/>
              <w:left w:type="dxa" w:w="100"/>
              <w:bottom w:type="dxa" w:w="60"/>
              <w:right w:type="dxa" w:w="100"/>
            </w:tcMar>
            <w:vAlign w:val="center"/>
          </w:tcPr>
          <w:p>
            <w:pPr>
              <w:jc w:val="left"/>
            </w:pPr>
            <w:r>
              <w:rPr>
                <w:b w:val="false"/>
                <w:bCs w:val="false"/>
                <w:color w:val="212121"/>
                <w:sz w:val="19"/>
                <w:szCs w:val="19"/>
              </w:rPr>
              <w:t xml:space="preserve">Confirm land-record status (notified forest vs. revenue land handed over for CA) before finalizing block boundaries</w:t>
            </w:r>
          </w:p>
        </w:tc>
      </w:tr>
    </w:tbl>
    <w:p>
      <w:r>
        <w:br w:type="page"/>
      </w:r>
    </w:p>
    <w:p>
      <w:pPr>
        <w:pStyle w:val="Heading1"/>
        <w:pBdr>
          <w:bottom w:val="single" w:color="1B5E20" w:sz="8" w:space="4"/>
        </w:pBdr>
        <w:spacing w:after="160" w:before="360"/>
      </w:pPr>
      <w:r>
        <w:rPr>
          <w:b/>
          <w:bCs/>
          <w:color w:val="1B5E20"/>
          <w:sz w:val="30"/>
          <w:szCs w:val="30"/>
        </w:rPr>
        <w:t xml:space="preserve">11.  Monitoring, Reporting &amp; Verification (MRV)</w:t>
      </w:r>
    </w:p>
    <w:p>
      <w:pPr>
        <w:spacing w:after="160" w:line="300"/>
      </w:pPr>
      <w:r>
        <w:rPr>
          <w:b w:val="false"/>
          <w:bCs w:val="false"/>
          <w:i w:val="false"/>
          <w:iCs w:val="false"/>
          <w:color w:val="212121"/>
          <w:sz w:val="21"/>
          <w:szCs w:val="21"/>
        </w:rPr>
        <w:t xml:space="preserve">Because the site-selection pipeline is built entirely on satellite data, the same BGDSS scripts can be re-run annually against the treated blocks to track progress without additional field survey cost:</w:t>
      </w:r>
    </w:p>
    <w:p>
      <w:pPr>
        <w:pStyle w:val="ListParagraph"/>
        <w:numPr>
          <w:ilvl w:val="0"/>
          <w:numId w:val="1"/>
        </w:numPr>
        <w:spacing w:after="100"/>
      </w:pPr>
      <w:r>
        <w:rPr>
          <w:color w:val="212121"/>
          <w:sz w:val="21"/>
          <w:szCs w:val="21"/>
        </w:rPr>
        <w:t xml:space="preserve">Canopy/NDVI trend on New Plantation and ANR blocks, year-over-year, as a survival/establishment proxy</w:t>
      </w:r>
    </w:p>
    <w:p>
      <w:pPr>
        <w:pStyle w:val="ListParagraph"/>
        <w:numPr>
          <w:ilvl w:val="0"/>
          <w:numId w:val="1"/>
        </w:numPr>
        <w:spacing w:after="100"/>
      </w:pPr>
      <w:r>
        <w:rPr>
          <w:color w:val="212121"/>
          <w:sz w:val="21"/>
          <w:szCs w:val="21"/>
        </w:rPr>
        <w:t xml:space="preserve">Hansen/Sentinel-2-based canopy-gain tracking against the pre-treatment baseline captured in this report</w:t>
      </w:r>
    </w:p>
    <w:p>
      <w:pPr>
        <w:pStyle w:val="ListParagraph"/>
        <w:numPr>
          <w:ilvl w:val="0"/>
          <w:numId w:val="1"/>
        </w:numPr>
        <w:spacing w:after="100"/>
      </w:pPr>
      <w:r>
        <w:rPr>
          <w:color w:val="212121"/>
          <w:sz w:val="21"/>
          <w:szCs w:val="21"/>
        </w:rPr>
        <w:t xml:space="preserve">Re-run of the Soil Erosion (RUSLE) layer post-treatment to quantify erosion-reduction outcomes on Soil &amp; Water Conservation blocks</w:t>
      </w:r>
    </w:p>
    <w:p>
      <w:pPr>
        <w:pStyle w:val="ListParagraph"/>
        <w:numPr>
          <w:ilvl w:val="0"/>
          <w:numId w:val="1"/>
        </w:numPr>
        <w:spacing w:after="100"/>
      </w:pPr>
      <w:r>
        <w:rPr>
          <w:color w:val="212121"/>
          <w:sz w:val="21"/>
          <w:szCs w:val="21"/>
        </w:rPr>
        <w:t xml:space="preserve">Re-run of the Carbon/Biomass layer at the end of the restoration horizon to report actual vs. projected carbon gain</w:t>
      </w:r>
    </w:p>
    <w:p>
      <w:pPr>
        <w:pStyle w:val="Heading1"/>
        <w:pBdr>
          <w:bottom w:val="single" w:color="1B5E20" w:sz="8" w:space="4"/>
        </w:pBdr>
        <w:spacing w:after="160" w:before="360"/>
      </w:pPr>
      <w:r>
        <w:rPr>
          <w:b/>
          <w:bCs/>
          <w:color w:val="1B5E20"/>
          <w:sz w:val="30"/>
          <w:szCs w:val="30"/>
        </w:rPr>
        <w:t xml:space="preserve">12.  Maintenance Strategy</w:t>
      </w:r>
    </w:p>
    <w:p>
      <w:pPr>
        <w:spacing w:after="160" w:line="300"/>
      </w:pPr>
      <w:r>
        <w:rPr>
          <w:b w:val="false"/>
          <w:bCs w:val="false"/>
          <w:i w:val="false"/>
          <w:iCs w:val="false"/>
          <w:color w:val="212121"/>
          <w:sz w:val="21"/>
          <w:szCs w:val="21"/>
        </w:rPr>
        <w:t xml:space="preserve">Standard CAMPA 3-year maintenance regime: casualty replacement in Year 2, continued weeding and fire-line maintenance through Year 3, and beat-guard patrol integrated into the Range’s regular protection duties from Year 4 onward. Maintenance intensity should be sized to the Range’s actual field-staff strength - do not propose a maintenance schedule the beat cannot realistically staff.</w:t>
      </w:r>
    </w:p>
    <w:p>
      <w:pPr>
        <w:pStyle w:val="Heading1"/>
        <w:pBdr>
          <w:bottom w:val="single" w:color="1B5E20" w:sz="8" w:space="4"/>
        </w:pBdr>
        <w:spacing w:after="160" w:before="360"/>
      </w:pPr>
      <w:r>
        <w:rPr>
          <w:b/>
          <w:bCs/>
          <w:color w:val="1B5E20"/>
          <w:sz w:val="30"/>
          <w:szCs w:val="30"/>
        </w:rPr>
        <w:t xml:space="preserve">13.  Innovation &amp; Value Addition</w:t>
      </w:r>
    </w:p>
    <w:p>
      <w:pPr>
        <w:pStyle w:val="ListParagraph"/>
        <w:numPr>
          <w:ilvl w:val="0"/>
          <w:numId w:val="1"/>
        </w:numPr>
        <w:spacing w:after="100"/>
      </w:pPr>
      <w:r>
        <w:rPr>
          <w:color w:val="212121"/>
          <w:sz w:val="21"/>
          <w:szCs w:val="21"/>
        </w:rPr>
        <w:t xml:space="preserve">GIS-ranked, auditable site selection replaces ad hoc nomination - every hectare’s inclusion is traceable to a stated criterion and weight.</w:t>
      </w:r>
    </w:p>
    <w:p>
      <w:pPr>
        <w:pStyle w:val="ListParagraph"/>
        <w:numPr>
          <w:ilvl w:val="0"/>
          <w:numId w:val="1"/>
        </w:numPr>
        <w:spacing w:after="100"/>
      </w:pPr>
      <w:r>
        <w:rPr>
          <w:color w:val="212121"/>
          <w:sz w:val="21"/>
          <w:szCs w:val="21"/>
        </w:rPr>
        <w:t xml:space="preserve">The same pipeline scales directly to Range- or Division-wide site selection by changing one configuration line, with no re-engineering.</w:t>
      </w:r>
    </w:p>
    <w:p>
      <w:pPr>
        <w:pStyle w:val="ListParagraph"/>
        <w:numPr>
          <w:ilvl w:val="0"/>
          <w:numId w:val="1"/>
        </w:numPr>
        <w:spacing w:after="100"/>
      </w:pPr>
      <w:r>
        <w:rPr>
          <w:color w:val="212121"/>
          <w:sz w:val="21"/>
          <w:szCs w:val="21"/>
        </w:rPr>
        <w:t xml:space="preserve">Built entirely on free, publicly available satellite data and open, documented Indian forestry methodology - reproducible by any reviewer with Earth Engine access.</w:t>
      </w:r>
    </w:p>
    <w:p>
      <w:pPr>
        <w:pStyle w:val="ListParagraph"/>
        <w:numPr>
          <w:ilvl w:val="0"/>
          <w:numId w:val="1"/>
        </w:numPr>
        <w:spacing w:after="100"/>
      </w:pPr>
      <w:r>
        <w:rPr>
          <w:color w:val="212121"/>
          <w:sz w:val="21"/>
          <w:szCs w:val="21"/>
        </w:rPr>
        <w:t xml:space="preserve">Establishes a pre-treatment baseline (canopy, biomass, erosion) that makes post-treatment MRV (Section 11) directly comparable, strengthening future funding submissions with demonstrated outcomes rather than projections alone.</w:t>
      </w:r>
    </w:p>
    <w:p>
      <w:r>
        <w:br w:type="page"/>
      </w:r>
    </w:p>
    <w:p>
      <w:pPr>
        <w:pStyle w:val="Heading1"/>
        <w:pBdr>
          <w:bottom w:val="single" w:color="1B5E20" w:sz="8" w:space="4"/>
        </w:pBdr>
        <w:spacing w:after="160" w:before="360"/>
      </w:pPr>
      <w:r>
        <w:rPr>
          <w:b/>
          <w:bCs/>
          <w:color w:val="1B5E20"/>
          <w:sz w:val="30"/>
          <w:szCs w:val="30"/>
        </w:rPr>
        <w:t xml:space="preserve">14.  Annexures</w:t>
      </w:r>
    </w:p>
    <w:p>
      <w:pPr>
        <w:pStyle w:val="Heading2"/>
        <w:spacing w:after="120" w:before="260"/>
      </w:pPr>
      <w:r>
        <w:rPr>
          <w:b/>
          <w:bCs/>
          <w:color w:val="2E7D32"/>
          <w:sz w:val="24"/>
          <w:szCs w:val="24"/>
        </w:rPr>
        <w:t xml:space="preserve">Annexure A: Full Ranked Block List</w:t>
      </w:r>
    </w:p>
    <w:p>
      <w:pPr>
        <w:spacing w:after="160" w:line="300"/>
      </w:pPr>
      <w:r>
        <w:rPr>
          <w:b w:val="false"/>
          <w:bCs w:val="false"/>
          <w:i w:val="false"/>
          <w:iCs w:val="false"/>
          <w:color w:val="212121"/>
          <w:sz w:val="21"/>
          <w:szCs w:val="21"/>
        </w:rPr>
        <w:t xml:space="preserve">See BGDSS_CAMPA_RankedBlocks.csv (exported by Module 2) for every block in the beat, its priority score, recommended treatment, and selection status.</w:t>
      </w:r>
    </w:p>
    <w:p>
      <w:pPr>
        <w:pStyle w:val="Heading2"/>
        <w:spacing w:after="120" w:before="260"/>
      </w:pPr>
      <w:r>
        <w:rPr>
          <w:b/>
          <w:bCs/>
          <w:color w:val="2E7D32"/>
          <w:sz w:val="24"/>
          <w:szCs w:val="24"/>
        </w:rPr>
        <w:t xml:space="preserve">Annexure B: GIS Reproducibility Statement</w:t>
      </w:r>
    </w:p>
    <w:p>
      <w:pPr>
        <w:spacing w:after="160" w:line="300"/>
      </w:pPr>
      <w:r>
        <w:rPr>
          <w:b w:val="false"/>
          <w:bCs w:val="false"/>
          <w:i w:val="false"/>
          <w:iCs w:val="false"/>
          <w:color w:val="212121"/>
          <w:sz w:val="21"/>
          <w:szCs w:val="21"/>
        </w:rPr>
        <w:t xml:space="preserve">Site selection was performed using BGDSS_Module2_CAMPASitePrioritization.js on the Google Earth Engine platform, against publicly available datasets listed in Section 4.1. The script, all weights, and all thresholds are stated in full in this report and in the script’s configuration block; no proprietary or undisclosed data or methodology was used.</w:t>
      </w:r>
    </w:p>
    <w:p>
      <w:pPr>
        <w:pStyle w:val="Heading2"/>
        <w:spacing w:after="120" w:before="260"/>
      </w:pPr>
      <w:r>
        <w:rPr>
          <w:b/>
          <w:bCs/>
          <w:color w:val="2E7D32"/>
          <w:sz w:val="24"/>
          <w:szCs w:val="24"/>
        </w:rPr>
        <w:t xml:space="preserve">Annexure C: Assumptions Register</w:t>
      </w:r>
    </w:p>
    <w:p>
      <w:pPr>
        <w:spacing w:after="160" w:line="300"/>
      </w:pPr>
      <w:r>
        <w:rPr>
          <w:b w:val="false"/>
          <w:bCs w:val="false"/>
          <w:i w:val="false"/>
          <w:iCs w:val="false"/>
          <w:color w:val="212121"/>
          <w:sz w:val="21"/>
          <w:szCs w:val="21"/>
        </w:rPr>
        <w:t xml:space="preserve">Every figure in this draft that requires local verification before submission: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41"/>
        <w:gridCol w:w="4548"/>
        <w:gridCol w:w="4656"/>
      </w:tblGrid>
      <w:tr>
        <w:trPr>
          <w:tblHeader/>
        </w:trPr>
        <w:tc>
          <w:tcPr>
            <w:tcW w:type="dxa" w:w="541"/>
            <w:shd w:fill="1B5E20" w:val="clear"/>
            <w:tcMar>
              <w:top w:type="dxa" w:w="80"/>
              <w:left w:type="dxa" w:w="100"/>
              <w:bottom w:type="dxa" w:w="80"/>
              <w:right w:type="dxa" w:w="100"/>
            </w:tcMar>
            <w:vAlign w:val="center"/>
          </w:tcPr>
          <w:p>
            <w:pPr>
              <w:jc w:val="left"/>
            </w:pPr>
            <w:r>
              <w:rPr>
                <w:b/>
                <w:bCs/>
                <w:color w:val="FFFFFF"/>
                <w:sz w:val="19"/>
                <w:szCs w:val="19"/>
              </w:rPr>
              <w:t xml:space="preserve">#</w:t>
            </w:r>
          </w:p>
        </w:tc>
        <w:tc>
          <w:tcPr>
            <w:tcW w:type="dxa" w:w="4548"/>
            <w:shd w:fill="1B5E20" w:val="clear"/>
            <w:tcMar>
              <w:top w:type="dxa" w:w="80"/>
              <w:left w:type="dxa" w:w="100"/>
              <w:bottom w:type="dxa" w:w="80"/>
              <w:right w:type="dxa" w:w="100"/>
            </w:tcMar>
            <w:vAlign w:val="center"/>
          </w:tcPr>
          <w:p>
            <w:pPr>
              <w:jc w:val="left"/>
            </w:pPr>
            <w:r>
              <w:rPr>
                <w:b/>
                <w:bCs/>
                <w:color w:val="FFFFFF"/>
                <w:sz w:val="19"/>
                <w:szCs w:val="19"/>
              </w:rPr>
              <w:t xml:space="preserve">Assumption</w:t>
            </w:r>
          </w:p>
        </w:tc>
        <w:tc>
          <w:tcPr>
            <w:tcW w:type="dxa" w:w="4656"/>
            <w:shd w:fill="1B5E20" w:val="clear"/>
            <w:tcMar>
              <w:top w:type="dxa" w:w="80"/>
              <w:left w:type="dxa" w:w="100"/>
              <w:bottom w:type="dxa" w:w="80"/>
              <w:right w:type="dxa" w:w="100"/>
            </w:tcMar>
            <w:vAlign w:val="center"/>
          </w:tcPr>
          <w:p>
            <w:pPr>
              <w:jc w:val="left"/>
            </w:pPr>
            <w:r>
              <w:rPr>
                <w:b/>
                <w:bCs/>
                <w:color w:val="FFFFFF"/>
                <w:sz w:val="19"/>
                <w:szCs w:val="19"/>
              </w:rPr>
              <w:t xml:space="preserve">Replace With</w:t>
            </w:r>
          </w:p>
        </w:tc>
      </w:tr>
      <w:tr>
        <w:tc>
          <w:tcPr>
            <w:tcW w:type="dxa" w:w="541"/>
            <w:tcMar>
              <w:top w:type="dxa" w:w="60"/>
              <w:left w:type="dxa" w:w="100"/>
              <w:bottom w:type="dxa" w:w="60"/>
              <w:right w:type="dxa" w:w="100"/>
            </w:tcMar>
            <w:vAlign w:val="center"/>
          </w:tcPr>
          <w:p>
            <w:pPr>
              <w:jc w:val="left"/>
            </w:pPr>
            <w:r>
              <w:rPr>
                <w:b w:val="false"/>
                <w:bCs w:val="false"/>
                <w:color w:val="212121"/>
                <w:sz w:val="19"/>
                <w:szCs w:val="19"/>
              </w:rPr>
              <w:t xml:space="preserve">1</w:t>
            </w:r>
          </w:p>
        </w:tc>
        <w:tc>
          <w:tcPr>
            <w:tcW w:type="dxa" w:w="4548"/>
            <w:tcMar>
              <w:top w:type="dxa" w:w="60"/>
              <w:left w:type="dxa" w:w="100"/>
              <w:bottom w:type="dxa" w:w="60"/>
              <w:right w:type="dxa" w:w="100"/>
            </w:tcMar>
            <w:vAlign w:val="center"/>
          </w:tcPr>
          <w:p>
            <w:pPr>
              <w:jc w:val="left"/>
            </w:pPr>
            <w:r>
              <w:rPr>
                <w:b w:val="false"/>
                <w:bCs w:val="false"/>
                <w:color w:val="212121"/>
                <w:sz w:val="19"/>
                <w:szCs w:val="19"/>
              </w:rPr>
              <w:t xml:space="preserve">Target treatment area: 200 ha (illustrative)</w:t>
            </w:r>
          </w:p>
        </w:tc>
        <w:tc>
          <w:tcPr>
            <w:tcW w:type="dxa" w:w="4656"/>
            <w:tcMar>
              <w:top w:type="dxa" w:w="60"/>
              <w:left w:type="dxa" w:w="100"/>
              <w:bottom w:type="dxa" w:w="60"/>
              <w:right w:type="dxa" w:w="100"/>
            </w:tcMar>
            <w:vAlign w:val="center"/>
          </w:tcPr>
          <w:p>
            <w:pPr>
              <w:jc w:val="left"/>
            </w:pPr>
            <w:r>
              <w:rPr>
                <w:b w:val="false"/>
                <w:bCs w:val="false"/>
                <w:color w:val="212121"/>
                <w:sz w:val="19"/>
                <w:szCs w:val="19"/>
              </w:rPr>
              <w:t xml:space="preserve">Range's confirmed CAMPA APO allocation for this cycle</w:t>
            </w:r>
          </w:p>
        </w:tc>
      </w:tr>
      <w:tr>
        <w:tc>
          <w:tcPr>
            <w:tcW w:type="dxa" w:w="541"/>
            <w:shd w:fill="E8F5E9" w:val="clear"/>
            <w:tcMar>
              <w:top w:type="dxa" w:w="60"/>
              <w:left w:type="dxa" w:w="100"/>
              <w:bottom w:type="dxa" w:w="60"/>
              <w:right w:type="dxa" w:w="100"/>
            </w:tcMar>
            <w:vAlign w:val="center"/>
          </w:tcPr>
          <w:p>
            <w:pPr>
              <w:jc w:val="left"/>
            </w:pPr>
            <w:r>
              <w:rPr>
                <w:b w:val="false"/>
                <w:bCs w:val="false"/>
                <w:color w:val="212121"/>
                <w:sz w:val="19"/>
                <w:szCs w:val="19"/>
              </w:rPr>
              <w:t xml:space="preserve">2</w:t>
            </w:r>
          </w:p>
        </w:tc>
        <w:tc>
          <w:tcPr>
            <w:tcW w:type="dxa" w:w="4548"/>
            <w:shd w:fill="E8F5E9" w:val="clear"/>
            <w:tcMar>
              <w:top w:type="dxa" w:w="60"/>
              <w:left w:type="dxa" w:w="100"/>
              <w:bottom w:type="dxa" w:w="60"/>
              <w:right w:type="dxa" w:w="100"/>
            </w:tcMar>
            <w:vAlign w:val="center"/>
          </w:tcPr>
          <w:p>
            <w:pPr>
              <w:jc w:val="left"/>
            </w:pPr>
            <w:r>
              <w:rPr>
                <w:b w:val="false"/>
                <w:bCs w:val="false"/>
                <w:color w:val="212121"/>
                <w:sz w:val="19"/>
                <w:szCs w:val="19"/>
              </w:rPr>
              <w:t xml:space="preserve">Cost rates: Rs 65,000 / 30,000 / 45,000 per ha (New Plantation / ANR / S&amp;WC)</w:t>
            </w:r>
          </w:p>
        </w:tc>
        <w:tc>
          <w:tcPr>
            <w:tcW w:type="dxa" w:w="4656"/>
            <w:shd w:fill="E8F5E9" w:val="clear"/>
            <w:tcMar>
              <w:top w:type="dxa" w:w="60"/>
              <w:left w:type="dxa" w:w="100"/>
              <w:bottom w:type="dxa" w:w="60"/>
              <w:right w:type="dxa" w:w="100"/>
            </w:tcMar>
            <w:vAlign w:val="center"/>
          </w:tcPr>
          <w:p>
            <w:pPr>
              <w:jc w:val="left"/>
            </w:pPr>
            <w:r>
              <w:rPr>
                <w:b w:val="false"/>
                <w:bCs w:val="false"/>
                <w:color w:val="212121"/>
                <w:sz w:val="19"/>
                <w:szCs w:val="19"/>
              </w:rPr>
              <w:t xml:space="preserve">Current Gujarat Forest Department / State CAMPA APO Schedule of Rates</w:t>
            </w:r>
          </w:p>
        </w:tc>
      </w:tr>
      <w:tr>
        <w:tc>
          <w:tcPr>
            <w:tcW w:type="dxa" w:w="541"/>
            <w:tcMar>
              <w:top w:type="dxa" w:w="60"/>
              <w:left w:type="dxa" w:w="100"/>
              <w:bottom w:type="dxa" w:w="60"/>
              <w:right w:type="dxa" w:w="100"/>
            </w:tcMar>
            <w:vAlign w:val="center"/>
          </w:tcPr>
          <w:p>
            <w:pPr>
              <w:jc w:val="left"/>
            </w:pPr>
            <w:r>
              <w:rPr>
                <w:b w:val="false"/>
                <w:bCs w:val="false"/>
                <w:color w:val="212121"/>
                <w:sz w:val="19"/>
                <w:szCs w:val="19"/>
              </w:rPr>
              <w:t xml:space="preserve">3</w:t>
            </w:r>
          </w:p>
        </w:tc>
        <w:tc>
          <w:tcPr>
            <w:tcW w:type="dxa" w:w="4548"/>
            <w:tcMar>
              <w:top w:type="dxa" w:w="60"/>
              <w:left w:type="dxa" w:w="100"/>
              <w:bottom w:type="dxa" w:w="60"/>
              <w:right w:type="dxa" w:w="100"/>
            </w:tcMar>
            <w:vAlign w:val="center"/>
          </w:tcPr>
          <w:p>
            <w:pPr>
              <w:jc w:val="left"/>
            </w:pPr>
            <w:r>
              <w:rPr>
                <w:b w:val="false"/>
                <w:bCs w:val="false"/>
                <w:color w:val="212121"/>
                <w:sz w:val="19"/>
                <w:szCs w:val="19"/>
              </w:rPr>
              <w:t xml:space="preserve">Reference AGB benchmark: 120 t/ha</w:t>
            </w:r>
          </w:p>
        </w:tc>
        <w:tc>
          <w:tcPr>
            <w:tcW w:type="dxa" w:w="4656"/>
            <w:tcMar>
              <w:top w:type="dxa" w:w="60"/>
              <w:left w:type="dxa" w:w="100"/>
              <w:bottom w:type="dxa" w:w="60"/>
              <w:right w:type="dxa" w:w="100"/>
            </w:tcMar>
            <w:vAlign w:val="center"/>
          </w:tcPr>
          <w:p>
            <w:pPr>
              <w:jc w:val="left"/>
            </w:pPr>
            <w:r>
              <w:rPr>
                <w:b w:val="false"/>
                <w:bCs w:val="false"/>
                <w:color w:val="212121"/>
                <w:sz w:val="19"/>
                <w:szCs w:val="19"/>
              </w:rPr>
              <w:t xml:space="preserve">Gujarat-specific figure from the current ISFR or the Division's Working Plan volume tables</w:t>
            </w:r>
          </w:p>
        </w:tc>
      </w:tr>
      <w:tr>
        <w:tc>
          <w:tcPr>
            <w:tcW w:type="dxa" w:w="541"/>
            <w:shd w:fill="E8F5E9" w:val="clear"/>
            <w:tcMar>
              <w:top w:type="dxa" w:w="60"/>
              <w:left w:type="dxa" w:w="100"/>
              <w:bottom w:type="dxa" w:w="60"/>
              <w:right w:type="dxa" w:w="100"/>
            </w:tcMar>
            <w:vAlign w:val="center"/>
          </w:tcPr>
          <w:p>
            <w:pPr>
              <w:jc w:val="left"/>
            </w:pPr>
            <w:r>
              <w:rPr>
                <w:b w:val="false"/>
                <w:bCs w:val="false"/>
                <w:color w:val="212121"/>
                <w:sz w:val="19"/>
                <w:szCs w:val="19"/>
              </w:rPr>
              <w:t xml:space="preserve">4</w:t>
            </w:r>
          </w:p>
        </w:tc>
        <w:tc>
          <w:tcPr>
            <w:tcW w:type="dxa" w:w="4548"/>
            <w:shd w:fill="E8F5E9" w:val="clear"/>
            <w:tcMar>
              <w:top w:type="dxa" w:w="60"/>
              <w:left w:type="dxa" w:w="100"/>
              <w:bottom w:type="dxa" w:w="60"/>
              <w:right w:type="dxa" w:w="100"/>
            </w:tcMar>
            <w:vAlign w:val="center"/>
          </w:tcPr>
          <w:p>
            <w:pPr>
              <w:jc w:val="left"/>
            </w:pPr>
            <w:r>
              <w:rPr>
                <w:b w:val="false"/>
                <w:bCs w:val="false"/>
                <w:color w:val="212121"/>
                <w:sz w:val="19"/>
                <w:szCs w:val="19"/>
              </w:rPr>
              <w:t xml:space="preserve">Soil erodibility (K-factor): flat constant 0.28 (loam average)</w:t>
            </w:r>
          </w:p>
        </w:tc>
        <w:tc>
          <w:tcPr>
            <w:tcW w:type="dxa" w:w="4656"/>
            <w:shd w:fill="E8F5E9" w:val="clear"/>
            <w:tcMar>
              <w:top w:type="dxa" w:w="60"/>
              <w:left w:type="dxa" w:w="100"/>
              <w:bottom w:type="dxa" w:w="60"/>
              <w:right w:type="dxa" w:w="100"/>
            </w:tcMar>
            <w:vAlign w:val="center"/>
          </w:tcPr>
          <w:p>
            <w:pPr>
              <w:jc w:val="left"/>
            </w:pPr>
            <w:r>
              <w:rPr>
                <w:b w:val="false"/>
                <w:bCs w:val="false"/>
                <w:color w:val="212121"/>
                <w:sz w:val="19"/>
                <w:szCs w:val="19"/>
              </w:rPr>
              <w:t xml:space="preserve">OpenLandMap-derived K-factor for higher precision (see full BGDSS Soil Engine)</w:t>
            </w:r>
          </w:p>
        </w:tc>
      </w:tr>
      <w:tr>
        <w:tc>
          <w:tcPr>
            <w:tcW w:type="dxa" w:w="541"/>
            <w:tcMar>
              <w:top w:type="dxa" w:w="60"/>
              <w:left w:type="dxa" w:w="100"/>
              <w:bottom w:type="dxa" w:w="60"/>
              <w:right w:type="dxa" w:w="100"/>
            </w:tcMar>
            <w:vAlign w:val="center"/>
          </w:tcPr>
          <w:p>
            <w:pPr>
              <w:jc w:val="left"/>
            </w:pPr>
            <w:r>
              <w:rPr>
                <w:b w:val="false"/>
                <w:bCs w:val="false"/>
                <w:color w:val="212121"/>
                <w:sz w:val="19"/>
                <w:szCs w:val="19"/>
              </w:rPr>
              <w:t xml:space="preserve">5</w:t>
            </w:r>
          </w:p>
        </w:tc>
        <w:tc>
          <w:tcPr>
            <w:tcW w:type="dxa" w:w="4548"/>
            <w:tcMar>
              <w:top w:type="dxa" w:w="60"/>
              <w:left w:type="dxa" w:w="100"/>
              <w:bottom w:type="dxa" w:w="60"/>
              <w:right w:type="dxa" w:w="100"/>
            </w:tcMar>
            <w:vAlign w:val="center"/>
          </w:tcPr>
          <w:p>
            <w:pPr>
              <w:jc w:val="left"/>
            </w:pPr>
            <w:r>
              <w:rPr>
                <w:b w:val="false"/>
                <w:bCs w:val="false"/>
                <w:color w:val="212121"/>
                <w:sz w:val="19"/>
                <w:szCs w:val="19"/>
              </w:rPr>
              <w:t xml:space="preserve">Priority-score weights (35/30/20/15%)</w:t>
            </w:r>
          </w:p>
        </w:tc>
        <w:tc>
          <w:tcPr>
            <w:tcW w:type="dxa" w:w="4656"/>
            <w:tcMar>
              <w:top w:type="dxa" w:w="60"/>
              <w:left w:type="dxa" w:w="100"/>
              <w:bottom w:type="dxa" w:w="60"/>
              <w:right w:type="dxa" w:w="100"/>
            </w:tcMar>
            <w:vAlign w:val="center"/>
          </w:tcPr>
          <w:p>
            <w:pPr>
              <w:jc w:val="left"/>
            </w:pPr>
            <w:r>
              <w:rPr>
                <w:b w:val="false"/>
                <w:bCs w:val="false"/>
                <w:color w:val="212121"/>
                <w:sz w:val="19"/>
                <w:szCs w:val="19"/>
              </w:rPr>
              <w:t xml:space="preserve">Range/DFO team's own judgment, ideally via a documented AHP pairwise comparison</w:t>
            </w:r>
          </w:p>
        </w:tc>
      </w:tr>
      <w:tr>
        <w:tc>
          <w:tcPr>
            <w:tcW w:type="dxa" w:w="541"/>
            <w:shd w:fill="E8F5E9" w:val="clear"/>
            <w:tcMar>
              <w:top w:type="dxa" w:w="60"/>
              <w:left w:type="dxa" w:w="100"/>
              <w:bottom w:type="dxa" w:w="60"/>
              <w:right w:type="dxa" w:w="100"/>
            </w:tcMar>
            <w:vAlign w:val="center"/>
          </w:tcPr>
          <w:p>
            <w:pPr>
              <w:jc w:val="left"/>
            </w:pPr>
            <w:r>
              <w:rPr>
                <w:b w:val="false"/>
                <w:bCs w:val="false"/>
                <w:color w:val="212121"/>
                <w:sz w:val="19"/>
                <w:szCs w:val="19"/>
              </w:rPr>
              <w:t xml:space="preserve">6</w:t>
            </w:r>
          </w:p>
        </w:tc>
        <w:tc>
          <w:tcPr>
            <w:tcW w:type="dxa" w:w="4548"/>
            <w:shd w:fill="E8F5E9" w:val="clear"/>
            <w:tcMar>
              <w:top w:type="dxa" w:w="60"/>
              <w:left w:type="dxa" w:w="100"/>
              <w:bottom w:type="dxa" w:w="60"/>
              <w:right w:type="dxa" w:w="100"/>
            </w:tcMar>
            <w:vAlign w:val="center"/>
          </w:tcPr>
          <w:p>
            <w:pPr>
              <w:jc w:val="left"/>
            </w:pPr>
            <w:r>
              <w:rPr>
                <w:b w:val="false"/>
                <w:bCs w:val="false"/>
                <w:color w:val="212121"/>
                <w:sz w:val="19"/>
                <w:szCs w:val="19"/>
              </w:rPr>
              <w:t xml:space="preserve">Species palette (Section 6.1)</w:t>
            </w:r>
          </w:p>
        </w:tc>
        <w:tc>
          <w:tcPr>
            <w:tcW w:type="dxa" w:w="4656"/>
            <w:shd w:fill="E8F5E9" w:val="clear"/>
            <w:tcMar>
              <w:top w:type="dxa" w:w="60"/>
              <w:left w:type="dxa" w:w="100"/>
              <w:bottom w:type="dxa" w:w="60"/>
              <w:right w:type="dxa" w:w="100"/>
            </w:tcMar>
            <w:vAlign w:val="center"/>
          </w:tcPr>
          <w:p>
            <w:pPr>
              <w:jc w:val="left"/>
            </w:pPr>
            <w:r>
              <w:rPr>
                <w:b w:val="false"/>
                <w:bCs w:val="false"/>
                <w:color w:val="212121"/>
                <w:sz w:val="19"/>
                <w:szCs w:val="19"/>
              </w:rPr>
              <w:t xml:space="preserve">Range's current Working Plan prescribed species list</w:t>
            </w:r>
          </w:p>
        </w:tc>
      </w:tr>
      <w:tr>
        <w:tc>
          <w:tcPr>
            <w:tcW w:type="dxa" w:w="541"/>
            <w:tcMar>
              <w:top w:type="dxa" w:w="60"/>
              <w:left w:type="dxa" w:w="100"/>
              <w:bottom w:type="dxa" w:w="60"/>
              <w:right w:type="dxa" w:w="100"/>
            </w:tcMar>
            <w:vAlign w:val="center"/>
          </w:tcPr>
          <w:p>
            <w:pPr>
              <w:jc w:val="left"/>
            </w:pPr>
            <w:r>
              <w:rPr>
                <w:b w:val="false"/>
                <w:bCs w:val="false"/>
                <w:color w:val="212121"/>
                <w:sz w:val="19"/>
                <w:szCs w:val="19"/>
              </w:rPr>
              <w:t xml:space="preserve">7</w:t>
            </w:r>
          </w:p>
        </w:tc>
        <w:tc>
          <w:tcPr>
            <w:tcW w:type="dxa" w:w="4548"/>
            <w:tcMar>
              <w:top w:type="dxa" w:w="60"/>
              <w:left w:type="dxa" w:w="100"/>
              <w:bottom w:type="dxa" w:w="60"/>
              <w:right w:type="dxa" w:w="100"/>
            </w:tcMar>
            <w:vAlign w:val="center"/>
          </w:tcPr>
          <w:p>
            <w:pPr>
              <w:jc w:val="left"/>
            </w:pPr>
            <w:r>
              <w:rPr>
                <w:b w:val="false"/>
                <w:bCs w:val="false"/>
                <w:color w:val="212121"/>
                <w:sz w:val="19"/>
                <w:szCs w:val="19"/>
              </w:rPr>
              <w:t xml:space="preserve">Land-record status of selected blocks</w:t>
            </w:r>
          </w:p>
        </w:tc>
        <w:tc>
          <w:tcPr>
            <w:tcW w:type="dxa" w:w="4656"/>
            <w:tcMar>
              <w:top w:type="dxa" w:w="60"/>
              <w:left w:type="dxa" w:w="100"/>
              <w:bottom w:type="dxa" w:w="60"/>
              <w:right w:type="dxa" w:w="100"/>
            </w:tcMar>
            <w:vAlign w:val="center"/>
          </w:tcPr>
          <w:p>
            <w:pPr>
              <w:jc w:val="left"/>
            </w:pPr>
            <w:r>
              <w:rPr>
                <w:b w:val="false"/>
                <w:bCs w:val="false"/>
                <w:color w:val="212121"/>
                <w:sz w:val="19"/>
                <w:szCs w:val="19"/>
              </w:rPr>
              <w:t xml:space="preserve">Confirm notified-forest vs. handed-over-non-forest status per block before finalizing</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16161"/>
        <w:sz w:val="16"/>
        <w:szCs w:val="16"/>
      </w:rPr>
      <w:t xml:space="preserve">Page </w:t>
    </w:r>
    <w:r>
      <w:rPr>
        <w:color w:val="616161"/>
        <w:sz w:val="16"/>
        <w:szCs w:val="16"/>
      </w:rPr>
      <w:fldChar w:fldCharType="begin"/>
      <w:instrText xml:space="preserve">PAGE</w:instrText>
      <w:fldChar w:fldCharType="separate"/>
      <w:fldChar w:fldCharType="end"/>
    </w:r>
    <w:r>
      <w:rPr>
        <w:color w:val="616161"/>
        <w:sz w:val="16"/>
        <w:szCs w:val="16"/>
      </w:rPr>
      <w:t xml:space="preserve"> of </w:t>
    </w:r>
    <w:r>
      <w:rPr>
        <w:color w:val="61616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616161"/>
        <w:sz w:val="16"/>
        <w:szCs w:val="16"/>
      </w:rPr>
      <w:t xml:space="preserve">BGDSS - CAMPA Site Selection Justification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2026-07-25T13:17:14.158Z</dcterms:created>
  <dcterms:modified xsi:type="dcterms:W3CDTF">2026-07-25T13:17:14.158Z</dcterms:modified>
</cp:coreProperties>
</file>

<file path=docProps/custom.xml><?xml version="1.0" encoding="utf-8"?>
<Properties xmlns="http://schemas.openxmlformats.org/officeDocument/2006/custom-properties" xmlns:vt="http://schemas.openxmlformats.org/officeDocument/2006/docPropsVTypes"/>
</file>