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ClarityDocs — Pitch Speaking Script</w:t>
      </w:r>
    </w:p>
    <w:p>
      <w:r>
        <w:rPr>
          <w:b/>
        </w:rPr>
        <w:t>Speaking script — not a slide deck.</w:t>
      </w:r>
    </w:p>
    <w:p>
      <w:r>
        <w:rPr/>
        <w:t>Vertical: Healthcare / clinical operations quality. Each slide-equivalent below is a speaking section with a talking point and full speaker notes — not a slide canvas.</w:t>
      </w:r>
    </w:p>
    <w:p>
      <w:pPr>
        <w:pStyle w:val="Heading2"/>
      </w:pPr>
      <w:r>
        <w:rPr/>
        <w:t>Slide-equivalent 1 — Opening / Hook</w:t>
      </w:r>
    </w:p>
    <w:p>
      <w:r>
        <w:rPr>
          <w:b/>
        </w:rPr>
        <w:t>Talking point:</w:t>
      </w:r>
      <w:r>
        <w:rPr/>
        <w:t xml:space="preserve"> Clinical protocols are the backbone of safety, yet multi-site groups still let discharge instructions drift across email, binders, and shared drives.</w:t>
      </w:r>
    </w:p>
    <w:p>
      <w:r>
        <w:rPr>
          <w:b/>
        </w:rPr>
        <w:t>Speaker notes:</w:t>
      </w:r>
      <w:r>
        <w:rPr/>
        <w:t xml:space="preserve"> A quality lead's job is not only to write protocols — it is to keep them followed. Across three, four, or ten hospital sites, the "standard" discharge packet mutates. ClarityDocs is the ground-truth layer: messy operational documents become reviewable, exportable work product. No clinical wording moves without a named human. Proof, not polish. We do not ask clinicians into a new archive or slide tool.</w:t>
      </w:r>
    </w:p>
    <w:p>
      <w:pPr>
        <w:pStyle w:val="Heading2"/>
      </w:pPr>
      <w:r>
        <w:rPr/>
        <w:t>Slide-equivalent 2 — The Problem</w:t>
      </w:r>
    </w:p>
    <w:p>
      <w:r>
        <w:rPr>
          <w:b/>
        </w:rPr>
        <w:t>Talking point:</w:t>
      </w:r>
      <w:r>
        <w:rPr/>
        <w:t xml:space="preserve"> When care pathways diverge across facilities, you face compliance pressure and no granular way to reject a bad line without redoing the whole packet.</w:t>
      </w:r>
    </w:p>
    <w:p>
      <w:r>
        <w:rPr>
          <w:b/>
        </w:rPr>
        <w:t>Speaker notes:</w:t>
      </w:r>
      <w:r>
        <w:rPr/>
        <w:t xml:space="preserve"> Quality reviews find wording that implies clinical guarantees nobody approved. The choice becomes "ship everything" or "restart everything." HIPAA Privacy and Security Rule expectations — minimum necessary, access control, documentation of how patient-related text is handled — are the buyer's orientation. This file is not legal advice and does not claim ClarityDocs is HIPAA certified. Redaction is human-reviewed, never "PHI redacted, of course."</w:t>
      </w:r>
    </w:p>
    <w:p>
      <w:pPr>
        <w:pStyle w:val="Heading2"/>
      </w:pPr>
      <w:r>
        <w:rPr/>
        <w:t>Slide-equivalent 3 — Why Now</w:t>
      </w:r>
    </w:p>
    <w:p>
      <w:r>
        <w:rPr>
          <w:b/>
        </w:rPr>
        <w:t>Talking point:</w:t>
      </w:r>
      <w:r>
        <w:rPr/>
        <w:t xml:space="preserve"> Site accreditation and payer documentation standards now punish "mostly consistent" discharge packets that actually live in three places with three dates.</w:t>
      </w:r>
    </w:p>
    <w:p>
      <w:r>
        <w:rPr>
          <w:b/>
        </w:rPr>
        <w:t>Speaker notes:</w:t>
      </w:r>
      <w:r>
        <w:rPr/>
        <w:t xml:space="preserve"> Orthopedics post-op instructions in a shared drive, a PDF in email, and a printed binder on the ward are three standards of care. Quality cannot guarantee the pathway. OCR and state overlays vary; treat HIPAA here as pitch context. Clinical leads need a staged register, not another all-or-nothing rewrite of the site packet.</w:t>
      </w:r>
    </w:p>
    <w:p>
      <w:pPr>
        <w:pStyle w:val="Heading2"/>
      </w:pPr>
      <w:r>
        <w:rPr/>
        <w:t>Slide-equivalent 4 — Product Overview</w:t>
      </w:r>
    </w:p>
    <w:p>
      <w:r>
        <w:rPr>
          <w:b/>
        </w:rPr>
        <w:t>Talking point:</w:t>
      </w:r>
      <w:r>
        <w:rPr/>
        <w:t xml:space="preserve"> ClarityDocs ingests mixed-format site packets, cites every finding to a source page, stages a named human gate, and exports ordinary DOCX — not a dashboard.</w:t>
      </w:r>
    </w:p>
    <w:p>
      <w:r>
        <w:rPr>
          <w:b/>
        </w:rPr>
        <w:t>Speaker notes:</w:t>
      </w:r>
      <w:r>
        <w:rPr/>
        <w:t xml:space="preserve"> Capabilities stay constant: extract facts with citations, staged checklist review, export DOCX/PDF. In clinical ops the corpus for demos has no patient identifiers. Nothing commits without the quality lead. We do not market guaranteed removal of personal data.</w:t>
      </w:r>
    </w:p>
    <w:p>
      <w:pPr>
        <w:pStyle w:val="Heading2"/>
      </w:pPr>
      <w:r>
        <w:rPr/>
        <w:t>Slide-equivalent 5 — How ClarityDocs Solves It</w:t>
      </w:r>
    </w:p>
    <w:p>
      <w:r>
        <w:rPr>
          <w:b/>
        </w:rPr>
        <w:t>Talking point:</w:t>
      </w:r>
      <w:r>
        <w:rPr/>
        <w:t xml:space="preserve"> ClarityDocs turns three drifted site packets into one staged review: reject the over-strong clinical claims, keep the rest, export the approved packet with citations.</w:t>
      </w:r>
    </w:p>
    <w:p>
      <w:r>
        <w:rPr>
          <w:b/>
        </w:rPr>
        <w:t>Speaker notes:</w:t>
      </w:r>
      <w:r>
        <w:rPr/>
        <w:t xml:space="preserve"> Care protocols and discharge instructions diverge. ClarityDocs ingests the packets, maps them to the system checklist, and lets quality reject lines item-by-item. Rejected over-claims stay out of the export. The approved packet is DOCX with citations to each source page. The human remains the gate for clinical wording and any redaction.</w:t>
      </w:r>
    </w:p>
    <w:p>
      <w:pPr>
        <w:pStyle w:val="Heading2"/>
      </w:pPr>
      <w:r>
        <w:rPr/>
        <w:t>Slide-equivalent 6 — Proof / Case Study</w:t>
      </w:r>
    </w:p>
    <w:p>
      <w:r>
        <w:rPr>
          <w:b/>
        </w:rPr>
        <w:t>Talking point:</w:t>
      </w:r>
      <w:r>
        <w:rPr/>
        <w:t xml:space="preserve"> Invented Cedar Ward Quality Office: 3 hospital sites had drifted post-op orthopedics discharge packets against 1 system checklist; quality rejected 2 over-strong recovery claims and kept the remaining packet lines; export was the approved packet DOCX with source-page citations and no patient identifiers in the demo corpus.</w:t>
      </w:r>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r>
        <w:rPr>
          <w:b/>
        </w:rPr>
        <w:t>Speaker notes:</w:t>
      </w:r>
      <w:r>
        <w:rPr/>
        <w:t xml:space="preserve"> Three sites, one checklist, two rejections, remaining instructions committed. Comparative counts a presenter can point at. No PHI in the demo. Orientation to HIPAA minimum-necessary pressure — not a certification claim.</w:t>
      </w:r>
    </w:p>
    <w:p>
      <w:pPr>
        <w:pStyle w:val="Heading2"/>
      </w:pPr>
      <w:r>
        <w:rPr/>
        <w:t>Slide-equivalent 7 — Objection Handling</w:t>
      </w:r>
    </w:p>
    <w:p>
      <w:r>
        <w:rPr>
          <w:b/>
        </w:rPr>
        <w:t>Talking point:</w:t>
      </w:r>
      <w:r>
        <w:rPr/>
        <w:t xml:space="preserve"> Nothing that touches patient text ships without a human gate — ClarityDocs is built to support that rule, not to replace it.</w:t>
      </w:r>
    </w:p>
    <w:p>
      <w:r>
        <w:rPr>
          <w:b/>
        </w:rPr>
        <w:t>Speaker notes:</w:t>
      </w:r>
      <w:r>
        <w:rPr/>
        <w:t xml:space="preserve"> Clinical teams will not use a tool that invents clinical language or blurs PHI into training folklore. ClarityDocs extracts and cites; it does not guess guidelines. Findings that look like PHI are staged for a named human. We do not promise audited or guaranteed removal of personal data. You own the protocol and the wording.</w:t>
      </w:r>
    </w:p>
    <w:p>
      <w:pPr>
        <w:pStyle w:val="Heading2"/>
      </w:pPr>
      <w:r>
        <w:rPr/>
        <w:t>Slide-equivalent 8 — ROI / Business Case</w:t>
      </w:r>
    </w:p>
    <w:p>
      <w:pPr>
        <w:pStyle w:val="Heading2"/>
      </w:pPr>
      <w:r>
        <w:rPr>
          <w:color w:val="2C3E50"/>
          <w:spacing w:val="15"/>
          <w:caps/>
        </w:rPr>
        <w:t>Section 6: Proof / Case Study</w:t>
      </w:r>
    </w:p>
    <w:p>
      <w:r>
        <w:rPr>
          <w:b/>
        </w:rPr>
        <w:t>Talking Point:</w:t>
      </w:r>
      <w:r>
        <w:rPr/>
        <w:t xml:space="preserve"> Our implementation with </w:t>
      </w:r>
      <w:r>
        <w:rPr>
          <w:highlight w:val="yellow"/>
        </w:rPr>
        <w:t>Please fill: Client Name</w:t>
      </w:r>
      <w:r>
        <w:rPr/>
        <w:t xml:space="preserve"> demonstrated a significant shift in performance metrics. By comparing the baseline counts against the post-optimization results, we observed a measurable delta in output efficiency. This isn't just theoretical; these comparative counts represent a validated acceleration of our core workflow.</w:t>
      </w:r>
    </w:p>
    <w:p/>
    <w:p>
      <w:pPr>
        <w:spacing w:before="150"/>
      </w:pPr>
      <w:r>
        <w:rPr>
          <w:i/>
          <w:color w:val="666666"/>
          <w:sz w:val="21"/>
        </w:rPr>
        <w:br/>
        <w:t xml:space="preserve">                Presenter visual (not a slide): A bar chart showing side-by-side comparative counts between legacy processes and the new solution.</w:t>
        <w:br/>
        <w:t xml:space="preserve">            </w:t>
      </w:r>
    </w:p>
    <w:p>
      <w:pPr>
        <w:shd w:val="clear" w:color="auto" w:fill="F4F4F4"/>
      </w:pPr>
      <w:r>
        <w:rPr>
          <w:b/>
        </w:rPr>
        <w:t>Speaker Notes:</w:t>
      </w:r>
      <w:r>
        <w:rPr/>
        <w:t xml:space="preserve"> Emphasize the volume of data handled during the trial. The gap between the bars represents the reclaimed capacity for the team.</w:t>
      </w:r>
    </w:p>
    <w:p>
      <w:pPr>
        <w:pStyle w:val="Heading2"/>
      </w:pPr>
      <w:r>
        <w:rPr>
          <w:color w:val="2C3E50"/>
          <w:spacing w:val="15"/>
          <w:caps/>
        </w:rPr>
        <w:t>Section 8: ROI / Business Case</w:t>
      </w:r>
    </w:p>
    <w:p>
      <w:r>
        <w:rPr>
          <w:b/>
        </w:rPr>
        <w:t>Talking Point:</w:t>
      </w:r>
      <w:r>
        <w:rPr/>
        <w:t xml:space="preserve"> The financial justification for this move is centered on the Return on Investment. When we look at the quantitative data, the cost of inaction far outweighs the implementation spend. We are looking at a projected break-even point within </w:t>
      </w:r>
      <w:r>
        <w:rPr>
          <w:highlight w:val="yellow"/>
        </w:rPr>
        <w:t>Please fill: Timeframe</w:t>
      </w:r>
      <w:r>
        <w:rPr/>
        <w:t>, followed by sustained margin expansion driven by reduced operational overhead.</w:t>
      </w:r>
    </w:p>
    <w:p/>
    <w:p>
      <w:pPr>
        <w:spacing w:before="150"/>
      </w:pPr>
      <w:r>
        <w:rPr>
          <w:i/>
          <w:color w:val="666666"/>
          <w:sz w:val="21"/>
        </w:rPr>
        <w:br/>
        <w:t xml:space="preserve">                Presenter visual (not a slide): Point to the upward trend and the clear cost and time savings highlighted in the chart.</w:t>
        <w:br/>
        <w:t xml:space="preserve">            </w:t>
      </w:r>
    </w:p>
    <w:p>
      <w:pPr>
        <w:shd w:val="clear" w:color="auto" w:fill="F4F4F4"/>
      </w:pPr>
      <w:r>
        <w:rPr>
          <w:b/>
        </w:rPr>
        <w:t>Speaker Notes:</w:t>
      </w:r>
      <w:r>
        <w:rPr/>
        <w:t xml:space="preserve"> Focus on the steepness of the recovery curve. August 18, 2026, marks our target for full realization of these fiscal benefits.</w:t>
      </w:r>
    </w:p>
    <w:p>
      <w:r>
        <w:rPr>
          <w:b/>
        </w:rPr>
        <w:t>Talking point:</w:t>
      </w:r>
      <w:r>
        <w:rPr/>
        <w:t xml:space="preserve"> Cedar Ward moved from months of drifted protocol updates to a staged review that rejected two over-strong recovery claims immediately and kept the rest — weeks of manual site-by-site alignment versus one cited pass.</w:t>
      </w:r>
    </w:p>
    <w:p>
      <w:r>
        <w:drawing>
          <wp:inline xmlns:a="http://schemas.openxmlformats.org/drawingml/2006/main" xmlns:pic="http://schemas.openxmlformats.org/drawingml/2006/picture">
            <wp:extent cx="4572000" cy="2493818"/>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2493818"/>
                    </a:xfrm>
                    <a:prstGeom prst="rect"/>
                  </pic:spPr>
                </pic:pic>
              </a:graphicData>
            </a:graphic>
          </wp:inline>
        </w:drawing>
      </w:r>
    </w:p>
    <w:p>
      <w:r>
        <w:rPr>
          <w:b/>
        </w:rPr>
        <w:t>Speaker notes:</w:t>
      </w:r>
      <w:r>
        <w:rPr/>
        <w:t xml:space="preserve"> Manual comparison across locations is expensive; shipping unapproved clinical claims is worse. ROI is time (weeks versus a staged pass) plus risk avoided (two claims that never shipped). The export is a consistent pathway with citations — HIPAA as orientation, not "meets HIPAA by design."</w:t>
      </w:r>
    </w:p>
    <w:p>
      <w:pPr>
        <w:pStyle w:val="Heading2"/>
      </w:pPr>
      <w:r>
        <w:rPr/>
        <w:t>Slide-equivalent 9 — Call to Action</w:t>
      </w:r>
    </w:p>
    <w:p>
      <w:r>
        <w:rPr>
          <w:b/>
        </w:rPr>
        <w:t>Talking point:</w:t>
      </w:r>
      <w:r>
        <w:rPr/>
        <w:t xml:space="preserve"> Bring one synthetic site packet — no real PHI — and walk the human-gated review; leave with an exportable packet, not a slide file.</w:t>
      </w:r>
    </w:p>
    <w:p>
      <w:r>
        <w:rPr>
          <w:b/>
        </w:rPr>
        <w:t>Speaker notes:</w:t>
      </w:r>
      <w:r>
        <w:rPr/>
        <w:t xml:space="preserve"> Test against a live quality bottleneck using synthetic content. Any redaction is a named human's decision. No obligation beyond whether the register beats the binder-plus-email status quo.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Segoe UI" w:hAnsi="Segoe UI" w:cs="Segoe UI" w:eastAsia="Segoe U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s="Segoe UI" w:eastAsia="Segoe U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ClarityDocs — Pitch Speaking Script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