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5C85" w14:textId="7AFA7635" w:rsidR="003B451D" w:rsidRDefault="00000000" w:rsidP="00D0574E">
      <w:pPr>
        <w:jc w:val="center"/>
        <w:rPr>
          <w:rFonts w:hint="eastAsia"/>
          <w:lang w:eastAsia="zh-CN"/>
        </w:rPr>
      </w:pPr>
      <w:r>
        <w:rPr>
          <w:rFonts w:ascii="Times New Roman" w:eastAsia="Microsoft YaHei" w:hAnsi="Times New Roman"/>
          <w:b/>
          <w:sz w:val="44"/>
          <w:lang w:eastAsia="zh-CN"/>
        </w:rPr>
        <w:t>2025</w:t>
      </w:r>
      <w:r>
        <w:rPr>
          <w:rFonts w:ascii="Times New Roman" w:eastAsia="Microsoft YaHei" w:hAnsi="Times New Roman"/>
          <w:b/>
          <w:sz w:val="44"/>
          <w:lang w:eastAsia="zh-CN"/>
        </w:rPr>
        <w:t>年签约与汇款情况分析报告</w:t>
      </w:r>
    </w:p>
    <w:p w14:paraId="36114BD8" w14:textId="77777777" w:rsidR="003B451D" w:rsidRDefault="00000000">
      <w:pPr>
        <w:spacing w:before="200" w:after="120"/>
      </w:pPr>
      <w:proofErr w:type="spellStart"/>
      <w:r>
        <w:rPr>
          <w:rFonts w:ascii="Times New Roman" w:eastAsia="Microsoft YaHei" w:hAnsi="Times New Roman"/>
          <w:b/>
          <w:sz w:val="32"/>
        </w:rPr>
        <w:t>一、执行摘要</w:t>
      </w:r>
      <w:proofErr w:type="spellEnd"/>
    </w:p>
    <w:p w14:paraId="50977DE7" w14:textId="77777777" w:rsidR="003B451D" w:rsidRDefault="00000000">
      <w:pPr>
        <w:spacing w:line="360" w:lineRule="auto"/>
        <w:ind w:left="170"/>
        <w:rPr>
          <w:lang w:eastAsia="zh-CN"/>
        </w:rPr>
      </w:pPr>
      <w:r>
        <w:rPr>
          <w:rFonts w:ascii="Times New Roman" w:eastAsia="Microsoft YaHei" w:hAnsi="Times New Roman"/>
          <w:b/>
          <w:lang w:eastAsia="zh-CN"/>
        </w:rPr>
        <w:t xml:space="preserve">1. </w:t>
      </w:r>
      <w:r>
        <w:rPr>
          <w:rFonts w:ascii="Times New Roman" w:eastAsia="宋体" w:hAnsi="Times New Roman"/>
          <w:lang w:eastAsia="zh-CN"/>
        </w:rPr>
        <w:t>2025</w:t>
      </w:r>
      <w:r>
        <w:rPr>
          <w:rFonts w:ascii="Times New Roman" w:eastAsia="宋体" w:hAnsi="Times New Roman"/>
          <w:lang w:eastAsia="zh-CN"/>
        </w:rPr>
        <w:t>年公司签约金额与汇款金额整体呈逐季提升走势，全年签约规模约</w:t>
      </w:r>
      <w:r>
        <w:rPr>
          <w:rFonts w:ascii="Times New Roman" w:eastAsia="宋体" w:hAnsi="Times New Roman"/>
          <w:lang w:eastAsia="zh-CN"/>
        </w:rPr>
        <w:t xml:space="preserve"> 5,670 </w:t>
      </w:r>
      <w:r>
        <w:rPr>
          <w:rFonts w:ascii="Times New Roman" w:eastAsia="宋体" w:hAnsi="Times New Roman"/>
          <w:lang w:eastAsia="zh-CN"/>
        </w:rPr>
        <w:t>万元，全年汇款规模约</w:t>
      </w:r>
      <w:r>
        <w:rPr>
          <w:rFonts w:ascii="Times New Roman" w:eastAsia="宋体" w:hAnsi="Times New Roman"/>
          <w:lang w:eastAsia="zh-CN"/>
        </w:rPr>
        <w:t xml:space="preserve"> 5,490 </w:t>
      </w:r>
      <w:r>
        <w:rPr>
          <w:rFonts w:ascii="Times New Roman" w:eastAsia="宋体" w:hAnsi="Times New Roman"/>
          <w:lang w:eastAsia="zh-CN"/>
        </w:rPr>
        <w:t>万元，整体回款转化率约为</w:t>
      </w:r>
      <w:r>
        <w:rPr>
          <w:rFonts w:ascii="Times New Roman" w:eastAsia="宋体" w:hAnsi="Times New Roman"/>
          <w:lang w:eastAsia="zh-CN"/>
        </w:rPr>
        <w:t xml:space="preserve"> 96.8%</w:t>
      </w:r>
      <w:r>
        <w:rPr>
          <w:rFonts w:ascii="Times New Roman" w:eastAsia="宋体" w:hAnsi="Times New Roman"/>
          <w:lang w:eastAsia="zh-CN"/>
        </w:rPr>
        <w:t>，经营质量保持在较高水平。</w:t>
      </w:r>
    </w:p>
    <w:p w14:paraId="5EC5D7FD" w14:textId="77777777" w:rsidR="003B451D" w:rsidRDefault="00000000">
      <w:pPr>
        <w:spacing w:line="360" w:lineRule="auto"/>
        <w:ind w:left="170"/>
        <w:rPr>
          <w:lang w:eastAsia="zh-CN"/>
        </w:rPr>
      </w:pPr>
      <w:r>
        <w:rPr>
          <w:rFonts w:ascii="Times New Roman" w:eastAsia="Microsoft YaHei" w:hAnsi="Times New Roman"/>
          <w:b/>
          <w:lang w:eastAsia="zh-CN"/>
        </w:rPr>
        <w:t xml:space="preserve">2. </w:t>
      </w:r>
      <w:r>
        <w:rPr>
          <w:rFonts w:ascii="Times New Roman" w:eastAsia="宋体" w:hAnsi="Times New Roman"/>
          <w:lang w:eastAsia="zh-CN"/>
        </w:rPr>
        <w:t>从季度节奏看，</w:t>
      </w:r>
      <w:r>
        <w:rPr>
          <w:rFonts w:ascii="Times New Roman" w:eastAsia="宋体" w:hAnsi="Times New Roman"/>
          <w:lang w:eastAsia="zh-CN"/>
        </w:rPr>
        <w:t xml:space="preserve">Q1 </w:t>
      </w:r>
      <w:r>
        <w:rPr>
          <w:rFonts w:ascii="Times New Roman" w:eastAsia="宋体" w:hAnsi="Times New Roman"/>
          <w:lang w:eastAsia="zh-CN"/>
        </w:rPr>
        <w:t>至</w:t>
      </w:r>
      <w:r>
        <w:rPr>
          <w:rFonts w:ascii="Times New Roman" w:eastAsia="宋体" w:hAnsi="Times New Roman"/>
          <w:lang w:eastAsia="zh-CN"/>
        </w:rPr>
        <w:t xml:space="preserve"> Q4 </w:t>
      </w:r>
      <w:r>
        <w:rPr>
          <w:rFonts w:ascii="Times New Roman" w:eastAsia="宋体" w:hAnsi="Times New Roman"/>
          <w:lang w:eastAsia="zh-CN"/>
        </w:rPr>
        <w:t>签约金额分别约为</w:t>
      </w:r>
      <w:r>
        <w:rPr>
          <w:rFonts w:ascii="Times New Roman" w:eastAsia="宋体" w:hAnsi="Times New Roman"/>
          <w:lang w:eastAsia="zh-CN"/>
        </w:rPr>
        <w:t xml:space="preserve"> 1,280 </w:t>
      </w:r>
      <w:r>
        <w:rPr>
          <w:rFonts w:ascii="Times New Roman" w:eastAsia="宋体" w:hAnsi="Times New Roman"/>
          <w:lang w:eastAsia="zh-CN"/>
        </w:rPr>
        <w:t>万元、</w:t>
      </w:r>
      <w:r>
        <w:rPr>
          <w:rFonts w:ascii="Times New Roman" w:eastAsia="宋体" w:hAnsi="Times New Roman"/>
          <w:lang w:eastAsia="zh-CN"/>
        </w:rPr>
        <w:t xml:space="preserve">1,360 </w:t>
      </w:r>
      <w:r>
        <w:rPr>
          <w:rFonts w:ascii="Times New Roman" w:eastAsia="宋体" w:hAnsi="Times New Roman"/>
          <w:lang w:eastAsia="zh-CN"/>
        </w:rPr>
        <w:t>万元、</w:t>
      </w:r>
      <w:r>
        <w:rPr>
          <w:rFonts w:ascii="Times New Roman" w:eastAsia="宋体" w:hAnsi="Times New Roman"/>
          <w:lang w:eastAsia="zh-CN"/>
        </w:rPr>
        <w:t xml:space="preserve">1,450 </w:t>
      </w:r>
      <w:r>
        <w:rPr>
          <w:rFonts w:ascii="Times New Roman" w:eastAsia="宋体" w:hAnsi="Times New Roman"/>
          <w:lang w:eastAsia="zh-CN"/>
        </w:rPr>
        <w:t>万元、</w:t>
      </w:r>
      <w:r>
        <w:rPr>
          <w:rFonts w:ascii="Times New Roman" w:eastAsia="宋体" w:hAnsi="Times New Roman"/>
          <w:lang w:eastAsia="zh-CN"/>
        </w:rPr>
        <w:t xml:space="preserve">1,580 </w:t>
      </w:r>
      <w:r>
        <w:rPr>
          <w:rFonts w:ascii="Times New Roman" w:eastAsia="宋体" w:hAnsi="Times New Roman"/>
          <w:lang w:eastAsia="zh-CN"/>
        </w:rPr>
        <w:t>万元；汇款金额分别约为</w:t>
      </w:r>
      <w:r>
        <w:rPr>
          <w:rFonts w:ascii="Times New Roman" w:eastAsia="宋体" w:hAnsi="Times New Roman"/>
          <w:lang w:eastAsia="zh-CN"/>
        </w:rPr>
        <w:t xml:space="preserve"> 1,210 </w:t>
      </w:r>
      <w:r>
        <w:rPr>
          <w:rFonts w:ascii="Times New Roman" w:eastAsia="宋体" w:hAnsi="Times New Roman"/>
          <w:lang w:eastAsia="zh-CN"/>
        </w:rPr>
        <w:t>万元、</w:t>
      </w:r>
      <w:r>
        <w:rPr>
          <w:rFonts w:ascii="Times New Roman" w:eastAsia="宋体" w:hAnsi="Times New Roman"/>
          <w:lang w:eastAsia="zh-CN"/>
        </w:rPr>
        <w:t xml:space="preserve">1,300 </w:t>
      </w:r>
      <w:r>
        <w:rPr>
          <w:rFonts w:ascii="Times New Roman" w:eastAsia="宋体" w:hAnsi="Times New Roman"/>
          <w:lang w:eastAsia="zh-CN"/>
        </w:rPr>
        <w:t>万元、</w:t>
      </w:r>
      <w:r>
        <w:rPr>
          <w:rFonts w:ascii="Times New Roman" w:eastAsia="宋体" w:hAnsi="Times New Roman"/>
          <w:lang w:eastAsia="zh-CN"/>
        </w:rPr>
        <w:t xml:space="preserve">1,420 </w:t>
      </w:r>
      <w:r>
        <w:rPr>
          <w:rFonts w:ascii="Times New Roman" w:eastAsia="宋体" w:hAnsi="Times New Roman"/>
          <w:lang w:eastAsia="zh-CN"/>
        </w:rPr>
        <w:t>万元、</w:t>
      </w:r>
      <w:r>
        <w:rPr>
          <w:rFonts w:ascii="Times New Roman" w:eastAsia="宋体" w:hAnsi="Times New Roman"/>
          <w:lang w:eastAsia="zh-CN"/>
        </w:rPr>
        <w:t xml:space="preserve">1,560 </w:t>
      </w:r>
      <w:r>
        <w:rPr>
          <w:rFonts w:ascii="Times New Roman" w:eastAsia="宋体" w:hAnsi="Times New Roman"/>
          <w:lang w:eastAsia="zh-CN"/>
        </w:rPr>
        <w:t>万元，四季度冲刺效应明显。</w:t>
      </w:r>
    </w:p>
    <w:p w14:paraId="66FBF347" w14:textId="77777777" w:rsidR="003B451D" w:rsidRDefault="00000000">
      <w:pPr>
        <w:spacing w:line="360" w:lineRule="auto"/>
        <w:ind w:left="170"/>
        <w:rPr>
          <w:lang w:eastAsia="zh-CN"/>
        </w:rPr>
      </w:pPr>
      <w:r>
        <w:rPr>
          <w:rFonts w:ascii="Times New Roman" w:eastAsia="Microsoft YaHei" w:hAnsi="Times New Roman"/>
          <w:b/>
          <w:lang w:eastAsia="zh-CN"/>
        </w:rPr>
        <w:t xml:space="preserve">3. </w:t>
      </w:r>
      <w:r>
        <w:rPr>
          <w:rFonts w:ascii="Times New Roman" w:eastAsia="宋体" w:hAnsi="Times New Roman"/>
          <w:lang w:eastAsia="zh-CN"/>
        </w:rPr>
        <w:t>签约与汇款差额逐步收窄，反映出合同兑现效率、交付节奏协同与重点客户回款推进机制持续优化，其中</w:t>
      </w:r>
      <w:r>
        <w:rPr>
          <w:rFonts w:ascii="Times New Roman" w:eastAsia="宋体" w:hAnsi="Times New Roman"/>
          <w:lang w:eastAsia="zh-CN"/>
        </w:rPr>
        <w:t xml:space="preserve"> Q4 </w:t>
      </w:r>
      <w:r>
        <w:rPr>
          <w:rFonts w:ascii="Times New Roman" w:eastAsia="宋体" w:hAnsi="Times New Roman"/>
          <w:lang w:eastAsia="zh-CN"/>
        </w:rPr>
        <w:t>差额已控制在约</w:t>
      </w:r>
      <w:r>
        <w:rPr>
          <w:rFonts w:ascii="Times New Roman" w:eastAsia="宋体" w:hAnsi="Times New Roman"/>
          <w:lang w:eastAsia="zh-CN"/>
        </w:rPr>
        <w:t xml:space="preserve"> 20 </w:t>
      </w:r>
      <w:r>
        <w:rPr>
          <w:rFonts w:ascii="Times New Roman" w:eastAsia="宋体" w:hAnsi="Times New Roman"/>
          <w:lang w:eastAsia="zh-CN"/>
        </w:rPr>
        <w:t>万元以内。</w:t>
      </w:r>
    </w:p>
    <w:p w14:paraId="6AB0D9FC" w14:textId="77777777" w:rsidR="003B451D" w:rsidRDefault="00000000">
      <w:pPr>
        <w:spacing w:line="360" w:lineRule="auto"/>
        <w:ind w:left="170"/>
        <w:rPr>
          <w:lang w:eastAsia="zh-CN"/>
        </w:rPr>
      </w:pPr>
      <w:r>
        <w:rPr>
          <w:rFonts w:ascii="Times New Roman" w:eastAsia="Microsoft YaHei" w:hAnsi="Times New Roman"/>
          <w:b/>
          <w:lang w:eastAsia="zh-CN"/>
        </w:rPr>
        <w:t xml:space="preserve">4. </w:t>
      </w:r>
      <w:r>
        <w:rPr>
          <w:rFonts w:ascii="Times New Roman" w:eastAsia="宋体" w:hAnsi="Times New Roman"/>
          <w:lang w:eastAsia="zh-CN"/>
        </w:rPr>
        <w:t>建议在保持签约增长的同时，继续强化项目交付节拍管理、重点客户账期治理和季度末回款推进机制，将高签约转化为更高质量的现金流表现。</w:t>
      </w:r>
    </w:p>
    <w:p w14:paraId="1DA787AB" w14:textId="77777777" w:rsidR="003B451D" w:rsidRDefault="00000000">
      <w:pPr>
        <w:spacing w:before="200" w:after="120"/>
      </w:pPr>
      <w:proofErr w:type="spellStart"/>
      <w:r>
        <w:rPr>
          <w:rFonts w:ascii="Times New Roman" w:eastAsia="Microsoft YaHei" w:hAnsi="Times New Roman"/>
          <w:b/>
          <w:sz w:val="32"/>
        </w:rPr>
        <w:t>二、核心经营指标概览</w:t>
      </w:r>
      <w:proofErr w:type="spellEnd"/>
    </w:p>
    <w:tbl>
      <w:tblPr>
        <w:tblStyle w:val="aff1"/>
        <w:tblW w:w="0" w:type="auto"/>
        <w:jc w:val="center"/>
        <w:tblLook w:val="04A0" w:firstRow="1" w:lastRow="0" w:firstColumn="1" w:lastColumn="0" w:noHBand="0" w:noVBand="1"/>
      </w:tblPr>
      <w:tblGrid>
        <w:gridCol w:w="3135"/>
        <w:gridCol w:w="3135"/>
        <w:gridCol w:w="3135"/>
      </w:tblGrid>
      <w:tr w:rsidR="003B451D" w14:paraId="555D7351" w14:textId="77777777">
        <w:trPr>
          <w:jc w:val="center"/>
        </w:trPr>
        <w:tc>
          <w:tcPr>
            <w:tcW w:w="3135" w:type="dxa"/>
            <w:shd w:val="clear" w:color="auto" w:fill="DDEBF7"/>
          </w:tcPr>
          <w:p w14:paraId="3F0C6CE9" w14:textId="77777777" w:rsidR="003B451D" w:rsidRDefault="00000000">
            <w:pPr>
              <w:jc w:val="center"/>
            </w:pPr>
            <w:r>
              <w:rPr>
                <w:rFonts w:ascii="Times New Roman" w:eastAsia="Microsoft YaHei" w:hAnsi="Times New Roman"/>
                <w:b/>
                <w:sz w:val="21"/>
              </w:rPr>
              <w:t>指标项</w:t>
            </w:r>
          </w:p>
        </w:tc>
        <w:tc>
          <w:tcPr>
            <w:tcW w:w="3135" w:type="dxa"/>
            <w:shd w:val="clear" w:color="auto" w:fill="DDEBF7"/>
          </w:tcPr>
          <w:p w14:paraId="5ABAEC8D" w14:textId="77777777" w:rsidR="003B451D" w:rsidRDefault="00000000">
            <w:pPr>
              <w:jc w:val="center"/>
            </w:pPr>
            <w:r>
              <w:rPr>
                <w:rFonts w:ascii="Times New Roman" w:eastAsia="Microsoft YaHei" w:hAnsi="Times New Roman"/>
                <w:b/>
                <w:sz w:val="21"/>
              </w:rPr>
              <w:t>结果</w:t>
            </w:r>
          </w:p>
        </w:tc>
        <w:tc>
          <w:tcPr>
            <w:tcW w:w="3135" w:type="dxa"/>
            <w:shd w:val="clear" w:color="auto" w:fill="DDEBF7"/>
          </w:tcPr>
          <w:p w14:paraId="5011C91E" w14:textId="77777777" w:rsidR="003B451D" w:rsidRDefault="00000000">
            <w:pPr>
              <w:jc w:val="center"/>
            </w:pPr>
            <w:r>
              <w:rPr>
                <w:rFonts w:ascii="Times New Roman" w:eastAsia="Microsoft YaHei" w:hAnsi="Times New Roman"/>
                <w:b/>
                <w:sz w:val="21"/>
              </w:rPr>
              <w:t>解读</w:t>
            </w:r>
          </w:p>
        </w:tc>
      </w:tr>
      <w:tr w:rsidR="003B451D" w14:paraId="255A0B38" w14:textId="77777777">
        <w:trPr>
          <w:jc w:val="center"/>
        </w:trPr>
        <w:tc>
          <w:tcPr>
            <w:tcW w:w="3135" w:type="dxa"/>
          </w:tcPr>
          <w:p w14:paraId="7D1DC815" w14:textId="77777777" w:rsidR="003B451D" w:rsidRDefault="00000000">
            <w:r>
              <w:rPr>
                <w:rFonts w:ascii="Times New Roman" w:eastAsia="宋体" w:hAnsi="Times New Roman"/>
                <w:sz w:val="21"/>
              </w:rPr>
              <w:t>全年签约金额</w:t>
            </w:r>
          </w:p>
        </w:tc>
        <w:tc>
          <w:tcPr>
            <w:tcW w:w="3135" w:type="dxa"/>
          </w:tcPr>
          <w:p w14:paraId="7A91CFC7" w14:textId="77777777" w:rsidR="003B451D" w:rsidRDefault="00000000">
            <w:pPr>
              <w:jc w:val="center"/>
            </w:pPr>
            <w:r>
              <w:rPr>
                <w:rFonts w:ascii="Times New Roman" w:eastAsia="宋体" w:hAnsi="Times New Roman"/>
                <w:sz w:val="21"/>
              </w:rPr>
              <w:t xml:space="preserve">56,700,000 </w:t>
            </w:r>
            <w:r>
              <w:rPr>
                <w:rFonts w:ascii="Times New Roman" w:eastAsia="宋体" w:hAnsi="Times New Roman"/>
                <w:sz w:val="21"/>
              </w:rPr>
              <w:t>元</w:t>
            </w:r>
          </w:p>
        </w:tc>
        <w:tc>
          <w:tcPr>
            <w:tcW w:w="3135" w:type="dxa"/>
          </w:tcPr>
          <w:p w14:paraId="46DCF2C3" w14:textId="77777777" w:rsidR="003B451D" w:rsidRDefault="00000000">
            <w:pPr>
              <w:rPr>
                <w:lang w:eastAsia="zh-CN"/>
              </w:rPr>
            </w:pPr>
            <w:r>
              <w:rPr>
                <w:rFonts w:ascii="Times New Roman" w:eastAsia="宋体" w:hAnsi="Times New Roman"/>
                <w:sz w:val="21"/>
                <w:lang w:eastAsia="zh-CN"/>
              </w:rPr>
              <w:t>同比保持稳步增长，四季度贡献最高</w:t>
            </w:r>
          </w:p>
        </w:tc>
      </w:tr>
      <w:tr w:rsidR="003B451D" w14:paraId="1618D057" w14:textId="77777777">
        <w:trPr>
          <w:jc w:val="center"/>
        </w:trPr>
        <w:tc>
          <w:tcPr>
            <w:tcW w:w="3135" w:type="dxa"/>
          </w:tcPr>
          <w:p w14:paraId="0A6D17CC" w14:textId="77777777" w:rsidR="003B451D" w:rsidRDefault="00000000">
            <w:proofErr w:type="spellStart"/>
            <w:r>
              <w:rPr>
                <w:rFonts w:ascii="Times New Roman" w:eastAsia="宋体" w:hAnsi="Times New Roman"/>
                <w:sz w:val="21"/>
              </w:rPr>
              <w:t>全年汇款金额</w:t>
            </w:r>
            <w:proofErr w:type="spellEnd"/>
          </w:p>
        </w:tc>
        <w:tc>
          <w:tcPr>
            <w:tcW w:w="3135" w:type="dxa"/>
          </w:tcPr>
          <w:p w14:paraId="1636A648" w14:textId="77777777" w:rsidR="003B451D" w:rsidRDefault="00000000">
            <w:pPr>
              <w:jc w:val="center"/>
            </w:pPr>
            <w:r>
              <w:rPr>
                <w:rFonts w:ascii="Times New Roman" w:eastAsia="宋体" w:hAnsi="Times New Roman"/>
                <w:sz w:val="21"/>
              </w:rPr>
              <w:t xml:space="preserve">54,900,000 </w:t>
            </w:r>
            <w:r>
              <w:rPr>
                <w:rFonts w:ascii="Times New Roman" w:eastAsia="宋体" w:hAnsi="Times New Roman"/>
                <w:sz w:val="21"/>
              </w:rPr>
              <w:t>元</w:t>
            </w:r>
          </w:p>
        </w:tc>
        <w:tc>
          <w:tcPr>
            <w:tcW w:w="3135" w:type="dxa"/>
          </w:tcPr>
          <w:p w14:paraId="4995E256" w14:textId="77777777" w:rsidR="003B451D" w:rsidRDefault="00000000">
            <w:pPr>
              <w:rPr>
                <w:lang w:eastAsia="zh-CN"/>
              </w:rPr>
            </w:pPr>
            <w:r>
              <w:rPr>
                <w:rFonts w:ascii="Times New Roman" w:eastAsia="宋体" w:hAnsi="Times New Roman"/>
                <w:sz w:val="21"/>
                <w:lang w:eastAsia="zh-CN"/>
              </w:rPr>
              <w:t>回款规模与签约规模基本同步</w:t>
            </w:r>
          </w:p>
        </w:tc>
      </w:tr>
      <w:tr w:rsidR="003B451D" w14:paraId="39B9A2A2" w14:textId="77777777">
        <w:trPr>
          <w:jc w:val="center"/>
        </w:trPr>
        <w:tc>
          <w:tcPr>
            <w:tcW w:w="3135" w:type="dxa"/>
          </w:tcPr>
          <w:p w14:paraId="50FD5DF0" w14:textId="77777777" w:rsidR="003B451D" w:rsidRDefault="00000000">
            <w:proofErr w:type="spellStart"/>
            <w:r>
              <w:rPr>
                <w:rFonts w:ascii="Times New Roman" w:eastAsia="宋体" w:hAnsi="Times New Roman"/>
                <w:sz w:val="21"/>
              </w:rPr>
              <w:t>全年回款转化率</w:t>
            </w:r>
            <w:proofErr w:type="spellEnd"/>
          </w:p>
        </w:tc>
        <w:tc>
          <w:tcPr>
            <w:tcW w:w="3135" w:type="dxa"/>
          </w:tcPr>
          <w:p w14:paraId="2309B334" w14:textId="77777777" w:rsidR="003B451D" w:rsidRDefault="00000000">
            <w:pPr>
              <w:jc w:val="center"/>
            </w:pPr>
            <w:r>
              <w:rPr>
                <w:rFonts w:ascii="Times New Roman" w:eastAsia="宋体" w:hAnsi="Times New Roman"/>
                <w:sz w:val="21"/>
              </w:rPr>
              <w:t>96.8%</w:t>
            </w:r>
          </w:p>
        </w:tc>
        <w:tc>
          <w:tcPr>
            <w:tcW w:w="3135" w:type="dxa"/>
          </w:tcPr>
          <w:p w14:paraId="462CA4C3" w14:textId="77777777" w:rsidR="003B451D" w:rsidRDefault="00000000">
            <w:pPr>
              <w:rPr>
                <w:lang w:eastAsia="zh-CN"/>
              </w:rPr>
            </w:pPr>
            <w:r>
              <w:rPr>
                <w:rFonts w:ascii="Times New Roman" w:eastAsia="宋体" w:hAnsi="Times New Roman"/>
                <w:sz w:val="21"/>
                <w:lang w:eastAsia="zh-CN"/>
              </w:rPr>
              <w:t>签约兑现效率整体较优</w:t>
            </w:r>
          </w:p>
        </w:tc>
      </w:tr>
      <w:tr w:rsidR="003B451D" w14:paraId="09C7F6D5" w14:textId="77777777">
        <w:trPr>
          <w:jc w:val="center"/>
        </w:trPr>
        <w:tc>
          <w:tcPr>
            <w:tcW w:w="3135" w:type="dxa"/>
          </w:tcPr>
          <w:p w14:paraId="21A0F9DE" w14:textId="77777777" w:rsidR="003B451D" w:rsidRDefault="00000000">
            <w:proofErr w:type="spellStart"/>
            <w:r>
              <w:rPr>
                <w:rFonts w:ascii="Times New Roman" w:eastAsia="宋体" w:hAnsi="Times New Roman"/>
                <w:sz w:val="21"/>
              </w:rPr>
              <w:t>最大季度差额</w:t>
            </w:r>
            <w:proofErr w:type="spellEnd"/>
          </w:p>
        </w:tc>
        <w:tc>
          <w:tcPr>
            <w:tcW w:w="3135" w:type="dxa"/>
          </w:tcPr>
          <w:p w14:paraId="379E8B65" w14:textId="77777777" w:rsidR="003B451D" w:rsidRDefault="00000000">
            <w:pPr>
              <w:jc w:val="center"/>
            </w:pPr>
            <w:r>
              <w:rPr>
                <w:rFonts w:ascii="Times New Roman" w:eastAsia="宋体" w:hAnsi="Times New Roman"/>
                <w:sz w:val="21"/>
              </w:rPr>
              <w:t xml:space="preserve">700,000 </w:t>
            </w:r>
            <w:r>
              <w:rPr>
                <w:rFonts w:ascii="Times New Roman" w:eastAsia="宋体" w:hAnsi="Times New Roman"/>
                <w:sz w:val="21"/>
              </w:rPr>
              <w:t>元（</w:t>
            </w:r>
            <w:r>
              <w:rPr>
                <w:rFonts w:ascii="Times New Roman" w:eastAsia="宋体" w:hAnsi="Times New Roman"/>
                <w:sz w:val="21"/>
              </w:rPr>
              <w:t>Q1</w:t>
            </w:r>
            <w:r>
              <w:rPr>
                <w:rFonts w:ascii="Times New Roman" w:eastAsia="宋体" w:hAnsi="Times New Roman"/>
                <w:sz w:val="21"/>
              </w:rPr>
              <w:t>）</w:t>
            </w:r>
          </w:p>
        </w:tc>
        <w:tc>
          <w:tcPr>
            <w:tcW w:w="3135" w:type="dxa"/>
          </w:tcPr>
          <w:p w14:paraId="5856820C" w14:textId="77777777" w:rsidR="003B451D" w:rsidRDefault="00000000">
            <w:pPr>
              <w:rPr>
                <w:lang w:eastAsia="zh-CN"/>
              </w:rPr>
            </w:pPr>
            <w:r>
              <w:rPr>
                <w:rFonts w:ascii="Times New Roman" w:eastAsia="宋体" w:hAnsi="Times New Roman"/>
                <w:sz w:val="21"/>
                <w:lang w:eastAsia="zh-CN"/>
              </w:rPr>
              <w:t>年初项目转化周期相对偏长</w:t>
            </w:r>
          </w:p>
        </w:tc>
      </w:tr>
      <w:tr w:rsidR="003B451D" w14:paraId="4154EEC5" w14:textId="77777777">
        <w:trPr>
          <w:jc w:val="center"/>
        </w:trPr>
        <w:tc>
          <w:tcPr>
            <w:tcW w:w="3135" w:type="dxa"/>
          </w:tcPr>
          <w:p w14:paraId="5754EF24" w14:textId="77777777" w:rsidR="003B451D" w:rsidRDefault="00000000">
            <w:proofErr w:type="spellStart"/>
            <w:r>
              <w:rPr>
                <w:rFonts w:ascii="Times New Roman" w:eastAsia="宋体" w:hAnsi="Times New Roman"/>
                <w:sz w:val="21"/>
              </w:rPr>
              <w:t>最优季度差额</w:t>
            </w:r>
            <w:proofErr w:type="spellEnd"/>
          </w:p>
        </w:tc>
        <w:tc>
          <w:tcPr>
            <w:tcW w:w="3135" w:type="dxa"/>
          </w:tcPr>
          <w:p w14:paraId="706726E5" w14:textId="77777777" w:rsidR="003B451D" w:rsidRDefault="00000000">
            <w:pPr>
              <w:jc w:val="center"/>
            </w:pPr>
            <w:r>
              <w:rPr>
                <w:rFonts w:ascii="Times New Roman" w:eastAsia="宋体" w:hAnsi="Times New Roman"/>
                <w:sz w:val="21"/>
              </w:rPr>
              <w:t xml:space="preserve">200,000 </w:t>
            </w:r>
            <w:r>
              <w:rPr>
                <w:rFonts w:ascii="Times New Roman" w:eastAsia="宋体" w:hAnsi="Times New Roman"/>
                <w:sz w:val="21"/>
              </w:rPr>
              <w:t>元（</w:t>
            </w:r>
            <w:r>
              <w:rPr>
                <w:rFonts w:ascii="Times New Roman" w:eastAsia="宋体" w:hAnsi="Times New Roman"/>
                <w:sz w:val="21"/>
              </w:rPr>
              <w:t>Q4</w:t>
            </w:r>
            <w:r>
              <w:rPr>
                <w:rFonts w:ascii="Times New Roman" w:eastAsia="宋体" w:hAnsi="Times New Roman"/>
                <w:sz w:val="21"/>
              </w:rPr>
              <w:t>）</w:t>
            </w:r>
          </w:p>
        </w:tc>
        <w:tc>
          <w:tcPr>
            <w:tcW w:w="3135" w:type="dxa"/>
          </w:tcPr>
          <w:p w14:paraId="404C11D5" w14:textId="77777777" w:rsidR="003B451D" w:rsidRDefault="00000000">
            <w:pPr>
              <w:rPr>
                <w:lang w:eastAsia="zh-CN"/>
              </w:rPr>
            </w:pPr>
            <w:r>
              <w:rPr>
                <w:rFonts w:ascii="Times New Roman" w:eastAsia="宋体" w:hAnsi="Times New Roman"/>
                <w:sz w:val="21"/>
                <w:lang w:eastAsia="zh-CN"/>
              </w:rPr>
              <w:t>季度末签约</w:t>
            </w:r>
            <w:r>
              <w:rPr>
                <w:rFonts w:ascii="Times New Roman" w:eastAsia="宋体" w:hAnsi="Times New Roman"/>
                <w:sz w:val="21"/>
                <w:lang w:eastAsia="zh-CN"/>
              </w:rPr>
              <w:t>-</w:t>
            </w:r>
            <w:r>
              <w:rPr>
                <w:rFonts w:ascii="Times New Roman" w:eastAsia="宋体" w:hAnsi="Times New Roman"/>
                <w:sz w:val="21"/>
                <w:lang w:eastAsia="zh-CN"/>
              </w:rPr>
              <w:t>回款闭环明显改善</w:t>
            </w:r>
          </w:p>
        </w:tc>
      </w:tr>
    </w:tbl>
    <w:p w14:paraId="7258E5F6" w14:textId="77777777" w:rsidR="003B451D" w:rsidRDefault="00000000">
      <w:pPr>
        <w:spacing w:before="200" w:after="120"/>
        <w:rPr>
          <w:lang w:eastAsia="zh-CN"/>
        </w:rPr>
      </w:pPr>
      <w:r>
        <w:rPr>
          <w:rFonts w:ascii="Times New Roman" w:eastAsia="Microsoft YaHei" w:hAnsi="Times New Roman"/>
          <w:b/>
          <w:sz w:val="32"/>
          <w:lang w:eastAsia="zh-CN"/>
        </w:rPr>
        <w:t>三、图表解读与趋势分析</w:t>
      </w:r>
    </w:p>
    <w:p w14:paraId="577B0BDF" w14:textId="77777777" w:rsidR="003B451D" w:rsidRDefault="00000000">
      <w:pPr>
        <w:spacing w:after="60" w:line="360" w:lineRule="auto"/>
        <w:ind w:firstLine="420"/>
      </w:pPr>
      <w:r>
        <w:rPr>
          <w:rFonts w:ascii="Times New Roman" w:eastAsia="宋体" w:hAnsi="Times New Roman"/>
          <w:lang w:eastAsia="zh-CN"/>
        </w:rPr>
        <w:t>结合</w:t>
      </w:r>
      <w:r>
        <w:rPr>
          <w:rFonts w:ascii="Times New Roman" w:eastAsia="宋体" w:hAnsi="Times New Roman"/>
          <w:lang w:eastAsia="zh-CN"/>
        </w:rPr>
        <w:t>“2025</w:t>
      </w:r>
      <w:r>
        <w:rPr>
          <w:rFonts w:ascii="Times New Roman" w:eastAsia="宋体" w:hAnsi="Times New Roman"/>
          <w:lang w:eastAsia="zh-CN"/>
        </w:rPr>
        <w:t>年签约与汇款情况分析</w:t>
      </w:r>
      <w:r>
        <w:rPr>
          <w:rFonts w:ascii="Times New Roman" w:eastAsia="宋体" w:hAnsi="Times New Roman"/>
          <w:lang w:eastAsia="zh-CN"/>
        </w:rPr>
        <w:t>”</w:t>
      </w:r>
      <w:r>
        <w:rPr>
          <w:rFonts w:ascii="Times New Roman" w:eastAsia="宋体" w:hAnsi="Times New Roman"/>
          <w:lang w:eastAsia="zh-CN"/>
        </w:rPr>
        <w:t>图表，可以看出签约金额与汇款金额两条主线高度一致，说明业务前端签约增长与后端交付回款之间形成了较为稳定的联动关系。</w:t>
      </w:r>
      <w:proofErr w:type="spellStart"/>
      <w:r>
        <w:rPr>
          <w:rFonts w:ascii="Times New Roman" w:eastAsia="宋体" w:hAnsi="Times New Roman"/>
        </w:rPr>
        <w:t>从全年走势判断，公司经营基本面保持向上</w:t>
      </w:r>
      <w:proofErr w:type="spellEnd"/>
      <w:r>
        <w:rPr>
          <w:rFonts w:ascii="Times New Roman" w:eastAsia="宋体" w:hAnsi="Times New Roman"/>
        </w:rPr>
        <w:t>。</w:t>
      </w:r>
    </w:p>
    <w:p w14:paraId="26834D72" w14:textId="77777777" w:rsidR="003B451D" w:rsidRDefault="00000000">
      <w:pPr>
        <w:jc w:val="center"/>
      </w:pPr>
      <w:r>
        <w:rPr>
          <w:noProof/>
        </w:rPr>
        <w:lastRenderedPageBreak/>
        <w:drawing>
          <wp:inline distT="0" distB="0" distL="0" distR="0" wp14:anchorId="1F6F2F57" wp14:editId="0777E25E">
            <wp:extent cx="5688000" cy="4354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表可视化（办公场景）.png"/>
                    <pic:cNvPicPr/>
                  </pic:nvPicPr>
                  <pic:blipFill>
                    <a:blip r:embed="rId8"/>
                    <a:stretch>
                      <a:fillRect/>
                    </a:stretch>
                  </pic:blipFill>
                  <pic:spPr>
                    <a:xfrm>
                      <a:off x="0" y="0"/>
                      <a:ext cx="5688000" cy="4354696"/>
                    </a:xfrm>
                    <a:prstGeom prst="rect">
                      <a:avLst/>
                    </a:prstGeom>
                  </pic:spPr>
                </pic:pic>
              </a:graphicData>
            </a:graphic>
          </wp:inline>
        </w:drawing>
      </w:r>
    </w:p>
    <w:p w14:paraId="163EC351" w14:textId="77777777" w:rsidR="003B451D" w:rsidRDefault="00000000">
      <w:pPr>
        <w:jc w:val="center"/>
        <w:rPr>
          <w:lang w:eastAsia="zh-CN"/>
        </w:rPr>
      </w:pPr>
      <w:r>
        <w:rPr>
          <w:rFonts w:ascii="Times New Roman" w:eastAsia="Microsoft YaHei" w:hAnsi="Times New Roman"/>
          <w:color w:val="666666"/>
          <w:sz w:val="19"/>
          <w:lang w:eastAsia="zh-CN"/>
        </w:rPr>
        <w:t>图</w:t>
      </w:r>
      <w:r>
        <w:rPr>
          <w:rFonts w:ascii="Times New Roman" w:eastAsia="Microsoft YaHei" w:hAnsi="Times New Roman"/>
          <w:color w:val="666666"/>
          <w:sz w:val="19"/>
          <w:lang w:eastAsia="zh-CN"/>
        </w:rPr>
        <w:t xml:space="preserve"> 1  2025</w:t>
      </w:r>
      <w:r>
        <w:rPr>
          <w:rFonts w:ascii="Times New Roman" w:eastAsia="Microsoft YaHei" w:hAnsi="Times New Roman"/>
          <w:color w:val="666666"/>
          <w:sz w:val="19"/>
          <w:lang w:eastAsia="zh-CN"/>
        </w:rPr>
        <w:t>年签约与汇款情况分析图（办公场景图表）</w:t>
      </w:r>
    </w:p>
    <w:tbl>
      <w:tblPr>
        <w:tblStyle w:val="aff1"/>
        <w:tblW w:w="0" w:type="auto"/>
        <w:jc w:val="center"/>
        <w:tblLook w:val="04A0" w:firstRow="1" w:lastRow="0" w:firstColumn="1" w:lastColumn="0" w:noHBand="0" w:noVBand="1"/>
      </w:tblPr>
      <w:tblGrid>
        <w:gridCol w:w="1881"/>
        <w:gridCol w:w="1881"/>
        <w:gridCol w:w="1881"/>
        <w:gridCol w:w="1881"/>
        <w:gridCol w:w="1881"/>
      </w:tblGrid>
      <w:tr w:rsidR="003B451D" w14:paraId="4B90C3B8" w14:textId="77777777">
        <w:trPr>
          <w:jc w:val="center"/>
        </w:trPr>
        <w:tc>
          <w:tcPr>
            <w:tcW w:w="1881" w:type="dxa"/>
            <w:shd w:val="clear" w:color="auto" w:fill="EAF4EA"/>
          </w:tcPr>
          <w:p w14:paraId="00D7B70C" w14:textId="77777777" w:rsidR="003B451D" w:rsidRDefault="00000000">
            <w:pPr>
              <w:jc w:val="center"/>
            </w:pPr>
            <w:proofErr w:type="spellStart"/>
            <w:r>
              <w:rPr>
                <w:rFonts w:ascii="Times New Roman" w:eastAsia="Microsoft YaHei" w:hAnsi="Times New Roman"/>
                <w:b/>
                <w:sz w:val="20"/>
              </w:rPr>
              <w:t>季度</w:t>
            </w:r>
            <w:proofErr w:type="spellEnd"/>
          </w:p>
        </w:tc>
        <w:tc>
          <w:tcPr>
            <w:tcW w:w="1881" w:type="dxa"/>
            <w:shd w:val="clear" w:color="auto" w:fill="EAF4EA"/>
          </w:tcPr>
          <w:p w14:paraId="6E95F8CF" w14:textId="77777777" w:rsidR="003B451D" w:rsidRDefault="00000000">
            <w:pPr>
              <w:jc w:val="center"/>
            </w:pPr>
            <w:r>
              <w:rPr>
                <w:rFonts w:ascii="Times New Roman" w:eastAsia="Microsoft YaHei" w:hAnsi="Times New Roman"/>
                <w:b/>
                <w:sz w:val="20"/>
              </w:rPr>
              <w:t>签约金额（元）</w:t>
            </w:r>
          </w:p>
        </w:tc>
        <w:tc>
          <w:tcPr>
            <w:tcW w:w="1881" w:type="dxa"/>
            <w:shd w:val="clear" w:color="auto" w:fill="EAF4EA"/>
          </w:tcPr>
          <w:p w14:paraId="0A7718E9" w14:textId="77777777" w:rsidR="003B451D" w:rsidRDefault="00000000">
            <w:pPr>
              <w:jc w:val="center"/>
            </w:pPr>
            <w:r>
              <w:rPr>
                <w:rFonts w:ascii="Times New Roman" w:eastAsia="Microsoft YaHei" w:hAnsi="Times New Roman"/>
                <w:b/>
                <w:sz w:val="20"/>
              </w:rPr>
              <w:t>汇款金额（元）</w:t>
            </w:r>
          </w:p>
        </w:tc>
        <w:tc>
          <w:tcPr>
            <w:tcW w:w="1881" w:type="dxa"/>
            <w:shd w:val="clear" w:color="auto" w:fill="EAF4EA"/>
          </w:tcPr>
          <w:p w14:paraId="16035D51" w14:textId="77777777" w:rsidR="003B451D" w:rsidRDefault="00000000">
            <w:pPr>
              <w:jc w:val="center"/>
            </w:pPr>
            <w:r>
              <w:rPr>
                <w:rFonts w:ascii="Times New Roman" w:eastAsia="Microsoft YaHei" w:hAnsi="Times New Roman"/>
                <w:b/>
                <w:sz w:val="20"/>
              </w:rPr>
              <w:t>差额（元）</w:t>
            </w:r>
          </w:p>
        </w:tc>
        <w:tc>
          <w:tcPr>
            <w:tcW w:w="1881" w:type="dxa"/>
            <w:shd w:val="clear" w:color="auto" w:fill="EAF4EA"/>
          </w:tcPr>
          <w:p w14:paraId="1A1FA885" w14:textId="77777777" w:rsidR="003B451D" w:rsidRDefault="00000000">
            <w:pPr>
              <w:jc w:val="center"/>
            </w:pPr>
            <w:r>
              <w:rPr>
                <w:rFonts w:ascii="Times New Roman" w:eastAsia="Microsoft YaHei" w:hAnsi="Times New Roman"/>
                <w:b/>
                <w:sz w:val="20"/>
              </w:rPr>
              <w:t>回款转化率</w:t>
            </w:r>
          </w:p>
        </w:tc>
      </w:tr>
      <w:tr w:rsidR="003B451D" w14:paraId="6B6B4282" w14:textId="77777777">
        <w:trPr>
          <w:jc w:val="center"/>
        </w:trPr>
        <w:tc>
          <w:tcPr>
            <w:tcW w:w="1881" w:type="dxa"/>
          </w:tcPr>
          <w:p w14:paraId="0BB135AD" w14:textId="77777777" w:rsidR="003B451D" w:rsidRDefault="00000000">
            <w:pPr>
              <w:jc w:val="center"/>
            </w:pPr>
            <w:r>
              <w:rPr>
                <w:rFonts w:ascii="Times New Roman" w:eastAsia="宋体" w:hAnsi="Times New Roman"/>
                <w:sz w:val="20"/>
              </w:rPr>
              <w:t>2025Q1</w:t>
            </w:r>
          </w:p>
        </w:tc>
        <w:tc>
          <w:tcPr>
            <w:tcW w:w="1881" w:type="dxa"/>
          </w:tcPr>
          <w:p w14:paraId="2864DA6F" w14:textId="77777777" w:rsidR="003B451D" w:rsidRDefault="00000000">
            <w:pPr>
              <w:jc w:val="center"/>
            </w:pPr>
            <w:r>
              <w:rPr>
                <w:rFonts w:ascii="Times New Roman" w:eastAsia="宋体" w:hAnsi="Times New Roman"/>
                <w:sz w:val="20"/>
              </w:rPr>
              <w:t>12,800,000</w:t>
            </w:r>
          </w:p>
        </w:tc>
        <w:tc>
          <w:tcPr>
            <w:tcW w:w="1881" w:type="dxa"/>
          </w:tcPr>
          <w:p w14:paraId="401C8AB9" w14:textId="77777777" w:rsidR="003B451D" w:rsidRDefault="00000000">
            <w:pPr>
              <w:jc w:val="center"/>
            </w:pPr>
            <w:r>
              <w:rPr>
                <w:rFonts w:ascii="Times New Roman" w:eastAsia="宋体" w:hAnsi="Times New Roman"/>
                <w:sz w:val="20"/>
              </w:rPr>
              <w:t>12,100,000</w:t>
            </w:r>
          </w:p>
        </w:tc>
        <w:tc>
          <w:tcPr>
            <w:tcW w:w="1881" w:type="dxa"/>
          </w:tcPr>
          <w:p w14:paraId="2202B01A" w14:textId="77777777" w:rsidR="003B451D" w:rsidRDefault="00000000">
            <w:pPr>
              <w:jc w:val="center"/>
            </w:pPr>
            <w:r>
              <w:rPr>
                <w:rFonts w:ascii="Times New Roman" w:eastAsia="宋体" w:hAnsi="Times New Roman"/>
                <w:sz w:val="20"/>
              </w:rPr>
              <w:t>700,000</w:t>
            </w:r>
          </w:p>
        </w:tc>
        <w:tc>
          <w:tcPr>
            <w:tcW w:w="1881" w:type="dxa"/>
          </w:tcPr>
          <w:p w14:paraId="5C2AA791" w14:textId="77777777" w:rsidR="003B451D" w:rsidRDefault="00000000">
            <w:pPr>
              <w:jc w:val="center"/>
            </w:pPr>
            <w:r>
              <w:rPr>
                <w:rFonts w:ascii="Times New Roman" w:eastAsia="宋体" w:hAnsi="Times New Roman"/>
                <w:sz w:val="20"/>
              </w:rPr>
              <w:t>94.5%</w:t>
            </w:r>
          </w:p>
        </w:tc>
      </w:tr>
      <w:tr w:rsidR="003B451D" w14:paraId="37B98251" w14:textId="77777777">
        <w:trPr>
          <w:jc w:val="center"/>
        </w:trPr>
        <w:tc>
          <w:tcPr>
            <w:tcW w:w="1881" w:type="dxa"/>
          </w:tcPr>
          <w:p w14:paraId="0CE37775" w14:textId="77777777" w:rsidR="003B451D" w:rsidRDefault="00000000">
            <w:pPr>
              <w:jc w:val="center"/>
            </w:pPr>
            <w:r>
              <w:rPr>
                <w:rFonts w:ascii="Times New Roman" w:eastAsia="宋体" w:hAnsi="Times New Roman"/>
                <w:sz w:val="20"/>
              </w:rPr>
              <w:t>2025Q2</w:t>
            </w:r>
          </w:p>
        </w:tc>
        <w:tc>
          <w:tcPr>
            <w:tcW w:w="1881" w:type="dxa"/>
          </w:tcPr>
          <w:p w14:paraId="0D6A6B25" w14:textId="77777777" w:rsidR="003B451D" w:rsidRDefault="00000000">
            <w:pPr>
              <w:jc w:val="center"/>
            </w:pPr>
            <w:r>
              <w:rPr>
                <w:rFonts w:ascii="Times New Roman" w:eastAsia="宋体" w:hAnsi="Times New Roman"/>
                <w:sz w:val="20"/>
              </w:rPr>
              <w:t>13,600,000</w:t>
            </w:r>
          </w:p>
        </w:tc>
        <w:tc>
          <w:tcPr>
            <w:tcW w:w="1881" w:type="dxa"/>
          </w:tcPr>
          <w:p w14:paraId="469D214A" w14:textId="77777777" w:rsidR="003B451D" w:rsidRDefault="00000000">
            <w:pPr>
              <w:jc w:val="center"/>
            </w:pPr>
            <w:r>
              <w:rPr>
                <w:rFonts w:ascii="Times New Roman" w:eastAsia="宋体" w:hAnsi="Times New Roman"/>
                <w:sz w:val="20"/>
              </w:rPr>
              <w:t>13,000,000</w:t>
            </w:r>
          </w:p>
        </w:tc>
        <w:tc>
          <w:tcPr>
            <w:tcW w:w="1881" w:type="dxa"/>
          </w:tcPr>
          <w:p w14:paraId="1512EC3A" w14:textId="77777777" w:rsidR="003B451D" w:rsidRDefault="00000000">
            <w:pPr>
              <w:jc w:val="center"/>
            </w:pPr>
            <w:r>
              <w:rPr>
                <w:rFonts w:ascii="Times New Roman" w:eastAsia="宋体" w:hAnsi="Times New Roman"/>
                <w:sz w:val="20"/>
              </w:rPr>
              <w:t>600,000</w:t>
            </w:r>
          </w:p>
        </w:tc>
        <w:tc>
          <w:tcPr>
            <w:tcW w:w="1881" w:type="dxa"/>
          </w:tcPr>
          <w:p w14:paraId="11FD2678" w14:textId="77777777" w:rsidR="003B451D" w:rsidRDefault="00000000">
            <w:pPr>
              <w:jc w:val="center"/>
            </w:pPr>
            <w:r>
              <w:rPr>
                <w:rFonts w:ascii="Times New Roman" w:eastAsia="宋体" w:hAnsi="Times New Roman"/>
                <w:sz w:val="20"/>
              </w:rPr>
              <w:t>95.6%</w:t>
            </w:r>
          </w:p>
        </w:tc>
      </w:tr>
      <w:tr w:rsidR="003B451D" w14:paraId="4C9569D1" w14:textId="77777777">
        <w:trPr>
          <w:jc w:val="center"/>
        </w:trPr>
        <w:tc>
          <w:tcPr>
            <w:tcW w:w="1881" w:type="dxa"/>
          </w:tcPr>
          <w:p w14:paraId="62C92428" w14:textId="77777777" w:rsidR="003B451D" w:rsidRDefault="00000000">
            <w:pPr>
              <w:jc w:val="center"/>
            </w:pPr>
            <w:r>
              <w:rPr>
                <w:rFonts w:ascii="Times New Roman" w:eastAsia="宋体" w:hAnsi="Times New Roman"/>
                <w:sz w:val="20"/>
              </w:rPr>
              <w:t>2025Q3</w:t>
            </w:r>
          </w:p>
        </w:tc>
        <w:tc>
          <w:tcPr>
            <w:tcW w:w="1881" w:type="dxa"/>
          </w:tcPr>
          <w:p w14:paraId="597CFE5A" w14:textId="77777777" w:rsidR="003B451D" w:rsidRDefault="00000000">
            <w:pPr>
              <w:jc w:val="center"/>
            </w:pPr>
            <w:r>
              <w:rPr>
                <w:rFonts w:ascii="Times New Roman" w:eastAsia="宋体" w:hAnsi="Times New Roman"/>
                <w:sz w:val="20"/>
              </w:rPr>
              <w:t>14,500,000</w:t>
            </w:r>
          </w:p>
        </w:tc>
        <w:tc>
          <w:tcPr>
            <w:tcW w:w="1881" w:type="dxa"/>
          </w:tcPr>
          <w:p w14:paraId="2B36AB26" w14:textId="77777777" w:rsidR="003B451D" w:rsidRDefault="00000000">
            <w:pPr>
              <w:jc w:val="center"/>
            </w:pPr>
            <w:r>
              <w:rPr>
                <w:rFonts w:ascii="Times New Roman" w:eastAsia="宋体" w:hAnsi="Times New Roman"/>
                <w:sz w:val="20"/>
              </w:rPr>
              <w:t>14,200,000</w:t>
            </w:r>
          </w:p>
        </w:tc>
        <w:tc>
          <w:tcPr>
            <w:tcW w:w="1881" w:type="dxa"/>
          </w:tcPr>
          <w:p w14:paraId="6B508C38" w14:textId="77777777" w:rsidR="003B451D" w:rsidRDefault="00000000">
            <w:pPr>
              <w:jc w:val="center"/>
            </w:pPr>
            <w:r>
              <w:rPr>
                <w:rFonts w:ascii="Times New Roman" w:eastAsia="宋体" w:hAnsi="Times New Roman"/>
                <w:sz w:val="20"/>
              </w:rPr>
              <w:t>300,000</w:t>
            </w:r>
          </w:p>
        </w:tc>
        <w:tc>
          <w:tcPr>
            <w:tcW w:w="1881" w:type="dxa"/>
          </w:tcPr>
          <w:p w14:paraId="0C20421F" w14:textId="77777777" w:rsidR="003B451D" w:rsidRDefault="00000000">
            <w:pPr>
              <w:jc w:val="center"/>
            </w:pPr>
            <w:r>
              <w:rPr>
                <w:rFonts w:ascii="Times New Roman" w:eastAsia="宋体" w:hAnsi="Times New Roman"/>
                <w:sz w:val="20"/>
              </w:rPr>
              <w:t>97.9%</w:t>
            </w:r>
          </w:p>
        </w:tc>
      </w:tr>
      <w:tr w:rsidR="003B451D" w14:paraId="26C9F348" w14:textId="77777777">
        <w:trPr>
          <w:jc w:val="center"/>
        </w:trPr>
        <w:tc>
          <w:tcPr>
            <w:tcW w:w="1881" w:type="dxa"/>
          </w:tcPr>
          <w:p w14:paraId="1B094681" w14:textId="77777777" w:rsidR="003B451D" w:rsidRDefault="00000000">
            <w:pPr>
              <w:jc w:val="center"/>
            </w:pPr>
            <w:r>
              <w:rPr>
                <w:rFonts w:ascii="Times New Roman" w:eastAsia="宋体" w:hAnsi="Times New Roman"/>
                <w:sz w:val="20"/>
              </w:rPr>
              <w:t>2025Q4</w:t>
            </w:r>
          </w:p>
        </w:tc>
        <w:tc>
          <w:tcPr>
            <w:tcW w:w="1881" w:type="dxa"/>
          </w:tcPr>
          <w:p w14:paraId="4DE27298" w14:textId="77777777" w:rsidR="003B451D" w:rsidRDefault="00000000">
            <w:pPr>
              <w:jc w:val="center"/>
            </w:pPr>
            <w:r>
              <w:rPr>
                <w:rFonts w:ascii="Times New Roman" w:eastAsia="宋体" w:hAnsi="Times New Roman"/>
                <w:sz w:val="20"/>
              </w:rPr>
              <w:t>15,800,000</w:t>
            </w:r>
          </w:p>
        </w:tc>
        <w:tc>
          <w:tcPr>
            <w:tcW w:w="1881" w:type="dxa"/>
          </w:tcPr>
          <w:p w14:paraId="0352FFBF" w14:textId="77777777" w:rsidR="003B451D" w:rsidRDefault="00000000">
            <w:pPr>
              <w:jc w:val="center"/>
            </w:pPr>
            <w:r>
              <w:rPr>
                <w:rFonts w:ascii="Times New Roman" w:eastAsia="宋体" w:hAnsi="Times New Roman"/>
                <w:sz w:val="20"/>
              </w:rPr>
              <w:t>15,600,000</w:t>
            </w:r>
          </w:p>
        </w:tc>
        <w:tc>
          <w:tcPr>
            <w:tcW w:w="1881" w:type="dxa"/>
          </w:tcPr>
          <w:p w14:paraId="222A03A7" w14:textId="77777777" w:rsidR="003B451D" w:rsidRDefault="00000000">
            <w:pPr>
              <w:jc w:val="center"/>
            </w:pPr>
            <w:r>
              <w:rPr>
                <w:rFonts w:ascii="Times New Roman" w:eastAsia="宋体" w:hAnsi="Times New Roman"/>
                <w:sz w:val="20"/>
              </w:rPr>
              <w:t>200,000</w:t>
            </w:r>
          </w:p>
        </w:tc>
        <w:tc>
          <w:tcPr>
            <w:tcW w:w="1881" w:type="dxa"/>
          </w:tcPr>
          <w:p w14:paraId="40DAD92A" w14:textId="77777777" w:rsidR="003B451D" w:rsidRDefault="00000000">
            <w:pPr>
              <w:jc w:val="center"/>
            </w:pPr>
            <w:r>
              <w:rPr>
                <w:rFonts w:ascii="Times New Roman" w:eastAsia="宋体" w:hAnsi="Times New Roman"/>
                <w:sz w:val="20"/>
              </w:rPr>
              <w:t>98.7%</w:t>
            </w:r>
          </w:p>
        </w:tc>
      </w:tr>
    </w:tbl>
    <w:p w14:paraId="2C86CE86" w14:textId="77777777" w:rsidR="003B451D" w:rsidRDefault="00000000">
      <w:pPr>
        <w:spacing w:before="200" w:after="120"/>
        <w:rPr>
          <w:lang w:eastAsia="zh-CN"/>
        </w:rPr>
      </w:pPr>
      <w:r>
        <w:rPr>
          <w:rFonts w:ascii="Times New Roman" w:eastAsia="Microsoft YaHei" w:hAnsi="Times New Roman"/>
          <w:b/>
          <w:sz w:val="26"/>
          <w:lang w:eastAsia="zh-CN"/>
        </w:rPr>
        <w:t>四、分季度经营表现分析</w:t>
      </w:r>
    </w:p>
    <w:p w14:paraId="4AADBB74" w14:textId="77777777" w:rsidR="003B451D" w:rsidRDefault="00000000">
      <w:pPr>
        <w:spacing w:before="200" w:after="120"/>
        <w:rPr>
          <w:lang w:eastAsia="zh-CN"/>
        </w:rPr>
      </w:pPr>
      <w:r>
        <w:rPr>
          <w:rFonts w:ascii="Times New Roman" w:eastAsia="Microsoft YaHei" w:hAnsi="Times New Roman"/>
          <w:b/>
          <w:sz w:val="26"/>
          <w:lang w:eastAsia="zh-CN"/>
        </w:rPr>
        <w:t>（一）</w:t>
      </w:r>
      <w:r>
        <w:rPr>
          <w:rFonts w:ascii="Times New Roman" w:eastAsia="Microsoft YaHei" w:hAnsi="Times New Roman"/>
          <w:b/>
          <w:sz w:val="26"/>
          <w:lang w:eastAsia="zh-CN"/>
        </w:rPr>
        <w:t>Q1</w:t>
      </w:r>
      <w:r>
        <w:rPr>
          <w:rFonts w:ascii="Times New Roman" w:eastAsia="Microsoft YaHei" w:hAnsi="Times New Roman"/>
          <w:b/>
          <w:sz w:val="26"/>
          <w:lang w:eastAsia="zh-CN"/>
        </w:rPr>
        <w:t>：业务启动平稳，回款兑现略滞后</w:t>
      </w:r>
    </w:p>
    <w:p w14:paraId="05FD23A4" w14:textId="77777777" w:rsidR="003B451D" w:rsidRDefault="00000000">
      <w:pPr>
        <w:spacing w:after="60" w:line="360" w:lineRule="auto"/>
        <w:ind w:firstLine="420"/>
        <w:rPr>
          <w:lang w:eastAsia="zh-CN"/>
        </w:rPr>
      </w:pPr>
      <w:r>
        <w:rPr>
          <w:rFonts w:ascii="Times New Roman" w:eastAsia="宋体" w:hAnsi="Times New Roman"/>
          <w:lang w:eastAsia="zh-CN"/>
        </w:rPr>
        <w:t>一季度签约金额约</w:t>
      </w:r>
      <w:r>
        <w:rPr>
          <w:rFonts w:ascii="Times New Roman" w:eastAsia="宋体" w:hAnsi="Times New Roman"/>
          <w:lang w:eastAsia="zh-CN"/>
        </w:rPr>
        <w:t xml:space="preserve"> 1,280 </w:t>
      </w:r>
      <w:r>
        <w:rPr>
          <w:rFonts w:ascii="Times New Roman" w:eastAsia="宋体" w:hAnsi="Times New Roman"/>
          <w:lang w:eastAsia="zh-CN"/>
        </w:rPr>
        <w:t>万元，汇款金额约</w:t>
      </w:r>
      <w:r>
        <w:rPr>
          <w:rFonts w:ascii="Times New Roman" w:eastAsia="宋体" w:hAnsi="Times New Roman"/>
          <w:lang w:eastAsia="zh-CN"/>
        </w:rPr>
        <w:t xml:space="preserve"> 1,210 </w:t>
      </w:r>
      <w:r>
        <w:rPr>
          <w:rFonts w:ascii="Times New Roman" w:eastAsia="宋体" w:hAnsi="Times New Roman"/>
          <w:lang w:eastAsia="zh-CN"/>
        </w:rPr>
        <w:t>万元。作为全年经营起步阶段，签约规模已具备良好基础，但由于部分项目尚处于合同签订后执行准备期，导致回款表现略慢于签约节奏，形成全年最大季度差额。</w:t>
      </w:r>
    </w:p>
    <w:p w14:paraId="5B4CFD87" w14:textId="77777777" w:rsidR="003B451D" w:rsidRDefault="00000000">
      <w:pPr>
        <w:spacing w:before="200" w:after="120"/>
        <w:rPr>
          <w:lang w:eastAsia="zh-CN"/>
        </w:rPr>
      </w:pPr>
      <w:r>
        <w:rPr>
          <w:rFonts w:ascii="Times New Roman" w:eastAsia="Microsoft YaHei" w:hAnsi="Times New Roman"/>
          <w:b/>
          <w:sz w:val="26"/>
          <w:lang w:eastAsia="zh-CN"/>
        </w:rPr>
        <w:t>（二）</w:t>
      </w:r>
      <w:r>
        <w:rPr>
          <w:rFonts w:ascii="Times New Roman" w:eastAsia="Microsoft YaHei" w:hAnsi="Times New Roman"/>
          <w:b/>
          <w:sz w:val="26"/>
          <w:lang w:eastAsia="zh-CN"/>
        </w:rPr>
        <w:t>Q2</w:t>
      </w:r>
      <w:r>
        <w:rPr>
          <w:rFonts w:ascii="Times New Roman" w:eastAsia="Microsoft YaHei" w:hAnsi="Times New Roman"/>
          <w:b/>
          <w:sz w:val="26"/>
          <w:lang w:eastAsia="zh-CN"/>
        </w:rPr>
        <w:t>：签约持续提升，经营节奏逐步改善</w:t>
      </w:r>
    </w:p>
    <w:p w14:paraId="33A711AA" w14:textId="77777777" w:rsidR="003B451D" w:rsidRDefault="00000000">
      <w:pPr>
        <w:spacing w:after="60" w:line="360" w:lineRule="auto"/>
        <w:ind w:firstLine="420"/>
        <w:rPr>
          <w:lang w:eastAsia="zh-CN"/>
        </w:rPr>
      </w:pPr>
      <w:r>
        <w:rPr>
          <w:rFonts w:ascii="Times New Roman" w:eastAsia="宋体" w:hAnsi="Times New Roman"/>
          <w:lang w:eastAsia="zh-CN"/>
        </w:rPr>
        <w:lastRenderedPageBreak/>
        <w:t>二季度签约与汇款同步增长，分别达到约</w:t>
      </w:r>
      <w:r>
        <w:rPr>
          <w:rFonts w:ascii="Times New Roman" w:eastAsia="宋体" w:hAnsi="Times New Roman"/>
          <w:lang w:eastAsia="zh-CN"/>
        </w:rPr>
        <w:t xml:space="preserve"> 1,360 </w:t>
      </w:r>
      <w:r>
        <w:rPr>
          <w:rFonts w:ascii="Times New Roman" w:eastAsia="宋体" w:hAnsi="Times New Roman"/>
          <w:lang w:eastAsia="zh-CN"/>
        </w:rPr>
        <w:t>万元和</w:t>
      </w:r>
      <w:r>
        <w:rPr>
          <w:rFonts w:ascii="Times New Roman" w:eastAsia="宋体" w:hAnsi="Times New Roman"/>
          <w:lang w:eastAsia="zh-CN"/>
        </w:rPr>
        <w:t xml:space="preserve"> 1,300 </w:t>
      </w:r>
      <w:r>
        <w:rPr>
          <w:rFonts w:ascii="Times New Roman" w:eastAsia="宋体" w:hAnsi="Times New Roman"/>
          <w:lang w:eastAsia="zh-CN"/>
        </w:rPr>
        <w:t>万元，季度差额收窄至</w:t>
      </w:r>
      <w:r>
        <w:rPr>
          <w:rFonts w:ascii="Times New Roman" w:eastAsia="宋体" w:hAnsi="Times New Roman"/>
          <w:lang w:eastAsia="zh-CN"/>
        </w:rPr>
        <w:t xml:space="preserve"> 60 </w:t>
      </w:r>
      <w:r>
        <w:rPr>
          <w:rFonts w:ascii="Times New Roman" w:eastAsia="宋体" w:hAnsi="Times New Roman"/>
          <w:lang w:eastAsia="zh-CN"/>
        </w:rPr>
        <w:t>万元。该阶段说明项目推进、交付协同以及回款跟踪机制开始发挥作用，签约成果逐步兑现为现金流。</w:t>
      </w:r>
    </w:p>
    <w:p w14:paraId="2B5D76A2" w14:textId="77777777" w:rsidR="003B451D" w:rsidRDefault="00000000">
      <w:pPr>
        <w:spacing w:before="200" w:after="120"/>
        <w:rPr>
          <w:lang w:eastAsia="zh-CN"/>
        </w:rPr>
      </w:pPr>
      <w:r>
        <w:rPr>
          <w:rFonts w:ascii="Times New Roman" w:eastAsia="Microsoft YaHei" w:hAnsi="Times New Roman"/>
          <w:b/>
          <w:sz w:val="26"/>
          <w:lang w:eastAsia="zh-CN"/>
        </w:rPr>
        <w:t>（三）</w:t>
      </w:r>
      <w:r>
        <w:rPr>
          <w:rFonts w:ascii="Times New Roman" w:eastAsia="Microsoft YaHei" w:hAnsi="Times New Roman"/>
          <w:b/>
          <w:sz w:val="26"/>
          <w:lang w:eastAsia="zh-CN"/>
        </w:rPr>
        <w:t>Q3</w:t>
      </w:r>
      <w:r>
        <w:rPr>
          <w:rFonts w:ascii="Times New Roman" w:eastAsia="Microsoft YaHei" w:hAnsi="Times New Roman"/>
          <w:b/>
          <w:sz w:val="26"/>
          <w:lang w:eastAsia="zh-CN"/>
        </w:rPr>
        <w:t>：兑现效率显著提升，回款能力加强</w:t>
      </w:r>
    </w:p>
    <w:p w14:paraId="3B9CF074" w14:textId="77777777" w:rsidR="003B451D" w:rsidRDefault="00000000">
      <w:pPr>
        <w:spacing w:after="60" w:line="360" w:lineRule="auto"/>
        <w:ind w:firstLine="420"/>
        <w:rPr>
          <w:lang w:eastAsia="zh-CN"/>
        </w:rPr>
      </w:pPr>
      <w:r>
        <w:rPr>
          <w:rFonts w:ascii="Times New Roman" w:eastAsia="宋体" w:hAnsi="Times New Roman"/>
          <w:lang w:eastAsia="zh-CN"/>
        </w:rPr>
        <w:t>三季度签约金额约</w:t>
      </w:r>
      <w:r>
        <w:rPr>
          <w:rFonts w:ascii="Times New Roman" w:eastAsia="宋体" w:hAnsi="Times New Roman"/>
          <w:lang w:eastAsia="zh-CN"/>
        </w:rPr>
        <w:t xml:space="preserve"> 1,450 </w:t>
      </w:r>
      <w:r>
        <w:rPr>
          <w:rFonts w:ascii="Times New Roman" w:eastAsia="宋体" w:hAnsi="Times New Roman"/>
          <w:lang w:eastAsia="zh-CN"/>
        </w:rPr>
        <w:t>万元，汇款金额约</w:t>
      </w:r>
      <w:r>
        <w:rPr>
          <w:rFonts w:ascii="Times New Roman" w:eastAsia="宋体" w:hAnsi="Times New Roman"/>
          <w:lang w:eastAsia="zh-CN"/>
        </w:rPr>
        <w:t xml:space="preserve"> 1,420 </w:t>
      </w:r>
      <w:r>
        <w:rPr>
          <w:rFonts w:ascii="Times New Roman" w:eastAsia="宋体" w:hAnsi="Times New Roman"/>
          <w:lang w:eastAsia="zh-CN"/>
        </w:rPr>
        <w:t>万元，差额进一步压缩至</w:t>
      </w:r>
      <w:r>
        <w:rPr>
          <w:rFonts w:ascii="Times New Roman" w:eastAsia="宋体" w:hAnsi="Times New Roman"/>
          <w:lang w:eastAsia="zh-CN"/>
        </w:rPr>
        <w:t xml:space="preserve"> 30 </w:t>
      </w:r>
      <w:r>
        <w:rPr>
          <w:rFonts w:ascii="Times New Roman" w:eastAsia="宋体" w:hAnsi="Times New Roman"/>
          <w:lang w:eastAsia="zh-CN"/>
        </w:rPr>
        <w:t>万元。随着重点项目进入交付确认与验收阶段，汇款效率明显提升，经营韧性增强。</w:t>
      </w:r>
    </w:p>
    <w:p w14:paraId="0EC1768C" w14:textId="77777777" w:rsidR="003B451D" w:rsidRDefault="00000000">
      <w:pPr>
        <w:spacing w:before="200" w:after="120"/>
        <w:rPr>
          <w:lang w:eastAsia="zh-CN"/>
        </w:rPr>
      </w:pPr>
      <w:r>
        <w:rPr>
          <w:rFonts w:ascii="Times New Roman" w:eastAsia="Microsoft YaHei" w:hAnsi="Times New Roman"/>
          <w:b/>
          <w:sz w:val="26"/>
          <w:lang w:eastAsia="zh-CN"/>
        </w:rPr>
        <w:t>（四）</w:t>
      </w:r>
      <w:r>
        <w:rPr>
          <w:rFonts w:ascii="Times New Roman" w:eastAsia="Microsoft YaHei" w:hAnsi="Times New Roman"/>
          <w:b/>
          <w:sz w:val="26"/>
          <w:lang w:eastAsia="zh-CN"/>
        </w:rPr>
        <w:t>Q4</w:t>
      </w:r>
      <w:r>
        <w:rPr>
          <w:rFonts w:ascii="Times New Roman" w:eastAsia="Microsoft YaHei" w:hAnsi="Times New Roman"/>
          <w:b/>
          <w:sz w:val="26"/>
          <w:lang w:eastAsia="zh-CN"/>
        </w:rPr>
        <w:t>：年度冲刺效果突出，签约与回款高度贴合</w:t>
      </w:r>
    </w:p>
    <w:p w14:paraId="2EED9B9F" w14:textId="77777777" w:rsidR="003B451D" w:rsidRDefault="00000000">
      <w:pPr>
        <w:spacing w:after="60" w:line="360" w:lineRule="auto"/>
        <w:ind w:firstLine="420"/>
        <w:rPr>
          <w:lang w:eastAsia="zh-CN"/>
        </w:rPr>
      </w:pPr>
      <w:r>
        <w:rPr>
          <w:rFonts w:ascii="Times New Roman" w:eastAsia="宋体" w:hAnsi="Times New Roman"/>
          <w:lang w:eastAsia="zh-CN"/>
        </w:rPr>
        <w:t>四季度签约金额约</w:t>
      </w:r>
      <w:r>
        <w:rPr>
          <w:rFonts w:ascii="Times New Roman" w:eastAsia="宋体" w:hAnsi="Times New Roman"/>
          <w:lang w:eastAsia="zh-CN"/>
        </w:rPr>
        <w:t xml:space="preserve"> 1,580 </w:t>
      </w:r>
      <w:r>
        <w:rPr>
          <w:rFonts w:ascii="Times New Roman" w:eastAsia="宋体" w:hAnsi="Times New Roman"/>
          <w:lang w:eastAsia="zh-CN"/>
        </w:rPr>
        <w:t>万元，汇款金额约</w:t>
      </w:r>
      <w:r>
        <w:rPr>
          <w:rFonts w:ascii="Times New Roman" w:eastAsia="宋体" w:hAnsi="Times New Roman"/>
          <w:lang w:eastAsia="zh-CN"/>
        </w:rPr>
        <w:t xml:space="preserve"> 1,560 </w:t>
      </w:r>
      <w:r>
        <w:rPr>
          <w:rFonts w:ascii="Times New Roman" w:eastAsia="宋体" w:hAnsi="Times New Roman"/>
          <w:lang w:eastAsia="zh-CN"/>
        </w:rPr>
        <w:t>万元，是全年规模最高且匹配度最佳的季度。说明公司在年末形成了较强的商机转化、交付交账及回款闭环能力，为来年经营打下了较好的现金流基础。</w:t>
      </w:r>
    </w:p>
    <w:p w14:paraId="6C77F687" w14:textId="77777777" w:rsidR="003B451D" w:rsidRDefault="00000000">
      <w:pPr>
        <w:spacing w:before="200" w:after="120"/>
        <w:rPr>
          <w:lang w:eastAsia="zh-CN"/>
        </w:rPr>
      </w:pPr>
      <w:r>
        <w:rPr>
          <w:rFonts w:ascii="Times New Roman" w:eastAsia="Microsoft YaHei" w:hAnsi="Times New Roman"/>
          <w:b/>
          <w:sz w:val="32"/>
          <w:lang w:eastAsia="zh-CN"/>
        </w:rPr>
        <w:t>五、阶段性亮点与经营判断</w:t>
      </w:r>
    </w:p>
    <w:p w14:paraId="51399C18" w14:textId="77777777" w:rsidR="003B451D" w:rsidRDefault="00000000">
      <w:pPr>
        <w:spacing w:after="60" w:line="360" w:lineRule="auto"/>
        <w:ind w:firstLine="420"/>
        <w:rPr>
          <w:lang w:eastAsia="zh-CN"/>
        </w:rPr>
      </w:pPr>
      <w:r>
        <w:rPr>
          <w:rFonts w:ascii="Times New Roman" w:eastAsia="宋体" w:hAnsi="Times New Roman"/>
          <w:lang w:eastAsia="zh-CN"/>
        </w:rPr>
        <w:t>第一，全年经营曲线保持单边向上，说明市场拓展和客户签约能力稳定增强，签约规模具备持续放大的基础。</w:t>
      </w:r>
    </w:p>
    <w:p w14:paraId="2A2612B9" w14:textId="77777777" w:rsidR="003B451D" w:rsidRDefault="00000000">
      <w:pPr>
        <w:spacing w:after="60" w:line="360" w:lineRule="auto"/>
        <w:ind w:firstLine="420"/>
        <w:rPr>
          <w:lang w:eastAsia="zh-CN"/>
        </w:rPr>
      </w:pPr>
      <w:r>
        <w:rPr>
          <w:rFonts w:ascii="Times New Roman" w:eastAsia="宋体" w:hAnsi="Times New Roman"/>
          <w:lang w:eastAsia="zh-CN"/>
        </w:rPr>
        <w:t>第二，汇款金额与签约金额的差额逐季缩小，体现出公司项目执行端、财务回款端以及销售管理端之间的协同效率不断提高。</w:t>
      </w:r>
    </w:p>
    <w:p w14:paraId="11A8FA0F" w14:textId="77777777" w:rsidR="003B451D" w:rsidRDefault="00000000">
      <w:pPr>
        <w:spacing w:after="60" w:line="360" w:lineRule="auto"/>
        <w:ind w:firstLine="420"/>
        <w:rPr>
          <w:lang w:eastAsia="zh-CN"/>
        </w:rPr>
      </w:pPr>
      <w:r>
        <w:rPr>
          <w:rFonts w:ascii="Times New Roman" w:eastAsia="宋体" w:hAnsi="Times New Roman"/>
          <w:lang w:eastAsia="zh-CN"/>
        </w:rPr>
        <w:t>第三，四季度签约与回款的高同步性，反映出重点项目管理成熟度提升，也说明阶段性经营动作已从</w:t>
      </w:r>
      <w:r>
        <w:rPr>
          <w:rFonts w:ascii="Times New Roman" w:eastAsia="宋体" w:hAnsi="Times New Roman"/>
          <w:lang w:eastAsia="zh-CN"/>
        </w:rPr>
        <w:t>“</w:t>
      </w:r>
      <w:r>
        <w:rPr>
          <w:rFonts w:ascii="Times New Roman" w:eastAsia="宋体" w:hAnsi="Times New Roman"/>
          <w:lang w:eastAsia="zh-CN"/>
        </w:rPr>
        <w:t>追规模</w:t>
      </w:r>
      <w:r>
        <w:rPr>
          <w:rFonts w:ascii="Times New Roman" w:eastAsia="宋体" w:hAnsi="Times New Roman"/>
          <w:lang w:eastAsia="zh-CN"/>
        </w:rPr>
        <w:t>”</w:t>
      </w:r>
      <w:r>
        <w:rPr>
          <w:rFonts w:ascii="Times New Roman" w:eastAsia="宋体" w:hAnsi="Times New Roman"/>
          <w:lang w:eastAsia="zh-CN"/>
        </w:rPr>
        <w:t>逐步转向</w:t>
      </w:r>
      <w:r>
        <w:rPr>
          <w:rFonts w:ascii="Times New Roman" w:eastAsia="宋体" w:hAnsi="Times New Roman"/>
          <w:lang w:eastAsia="zh-CN"/>
        </w:rPr>
        <w:t>“</w:t>
      </w:r>
      <w:r>
        <w:rPr>
          <w:rFonts w:ascii="Times New Roman" w:eastAsia="宋体" w:hAnsi="Times New Roman"/>
          <w:lang w:eastAsia="zh-CN"/>
        </w:rPr>
        <w:t>重质量、重兑现</w:t>
      </w:r>
      <w:r>
        <w:rPr>
          <w:rFonts w:ascii="Times New Roman" w:eastAsia="宋体" w:hAnsi="Times New Roman"/>
          <w:lang w:eastAsia="zh-CN"/>
        </w:rPr>
        <w:t>”</w:t>
      </w:r>
      <w:r>
        <w:rPr>
          <w:rFonts w:ascii="Times New Roman" w:eastAsia="宋体" w:hAnsi="Times New Roman"/>
          <w:lang w:eastAsia="zh-CN"/>
        </w:rPr>
        <w:t>。</w:t>
      </w:r>
    </w:p>
    <w:p w14:paraId="1A8DC36E" w14:textId="77777777" w:rsidR="003B451D" w:rsidRDefault="00000000">
      <w:pPr>
        <w:spacing w:after="60" w:line="360" w:lineRule="auto"/>
        <w:ind w:firstLine="420"/>
        <w:rPr>
          <w:lang w:eastAsia="zh-CN"/>
        </w:rPr>
      </w:pPr>
      <w:r>
        <w:rPr>
          <w:rFonts w:ascii="Times New Roman" w:eastAsia="宋体" w:hAnsi="Times New Roman"/>
          <w:lang w:eastAsia="zh-CN"/>
        </w:rPr>
        <w:t>综合判断，当前经营状态处于</w:t>
      </w:r>
      <w:r>
        <w:rPr>
          <w:rFonts w:ascii="Times New Roman" w:eastAsia="宋体" w:hAnsi="Times New Roman"/>
          <w:lang w:eastAsia="zh-CN"/>
        </w:rPr>
        <w:t>“</w:t>
      </w:r>
      <w:r>
        <w:rPr>
          <w:rFonts w:ascii="Times New Roman" w:eastAsia="宋体" w:hAnsi="Times New Roman"/>
          <w:lang w:eastAsia="zh-CN"/>
        </w:rPr>
        <w:t>规模增长与兑现效率同步改善</w:t>
      </w:r>
      <w:r>
        <w:rPr>
          <w:rFonts w:ascii="Times New Roman" w:eastAsia="宋体" w:hAnsi="Times New Roman"/>
          <w:lang w:eastAsia="zh-CN"/>
        </w:rPr>
        <w:t>”</w:t>
      </w:r>
      <w:r>
        <w:rPr>
          <w:rFonts w:ascii="Times New Roman" w:eastAsia="宋体" w:hAnsi="Times New Roman"/>
          <w:lang w:eastAsia="zh-CN"/>
        </w:rPr>
        <w:t>的健康区间，但仍需关注大额项目账期波动、季度末集中确认对回款节奏的影响，以及个别客户回款周期拉长带来的不确定性。</w:t>
      </w:r>
    </w:p>
    <w:p w14:paraId="4B8F0C5B" w14:textId="77777777" w:rsidR="003B451D" w:rsidRDefault="00000000">
      <w:pPr>
        <w:spacing w:before="200" w:after="120"/>
        <w:rPr>
          <w:lang w:eastAsia="zh-CN"/>
        </w:rPr>
      </w:pPr>
      <w:r>
        <w:rPr>
          <w:rFonts w:ascii="Times New Roman" w:eastAsia="Microsoft YaHei" w:hAnsi="Times New Roman"/>
          <w:b/>
          <w:sz w:val="32"/>
          <w:lang w:eastAsia="zh-CN"/>
        </w:rPr>
        <w:t>六、后续经营建议</w:t>
      </w:r>
    </w:p>
    <w:p w14:paraId="49D9DE24" w14:textId="77777777" w:rsidR="003B451D" w:rsidRDefault="00000000">
      <w:pPr>
        <w:spacing w:line="360" w:lineRule="auto"/>
        <w:ind w:left="170"/>
        <w:rPr>
          <w:lang w:eastAsia="zh-CN"/>
        </w:rPr>
      </w:pPr>
      <w:r>
        <w:rPr>
          <w:rFonts w:ascii="Times New Roman" w:eastAsia="Microsoft YaHei" w:hAnsi="Times New Roman"/>
          <w:b/>
          <w:lang w:eastAsia="zh-CN"/>
        </w:rPr>
        <w:t xml:space="preserve">1. </w:t>
      </w:r>
      <w:r>
        <w:rPr>
          <w:rFonts w:ascii="Times New Roman" w:eastAsia="宋体" w:hAnsi="Times New Roman"/>
          <w:lang w:eastAsia="zh-CN"/>
        </w:rPr>
        <w:t>建立</w:t>
      </w:r>
      <w:r>
        <w:rPr>
          <w:rFonts w:ascii="Times New Roman" w:eastAsia="宋体" w:hAnsi="Times New Roman"/>
          <w:lang w:eastAsia="zh-CN"/>
        </w:rPr>
        <w:t>“</w:t>
      </w:r>
      <w:r>
        <w:rPr>
          <w:rFonts w:ascii="Times New Roman" w:eastAsia="宋体" w:hAnsi="Times New Roman"/>
          <w:lang w:eastAsia="zh-CN"/>
        </w:rPr>
        <w:t>签约</w:t>
      </w:r>
      <w:r>
        <w:rPr>
          <w:rFonts w:ascii="Times New Roman" w:eastAsia="宋体" w:hAnsi="Times New Roman"/>
          <w:lang w:eastAsia="zh-CN"/>
        </w:rPr>
        <w:t>-</w:t>
      </w:r>
      <w:r>
        <w:rPr>
          <w:rFonts w:ascii="Times New Roman" w:eastAsia="宋体" w:hAnsi="Times New Roman"/>
          <w:lang w:eastAsia="zh-CN"/>
        </w:rPr>
        <w:t>交付</w:t>
      </w:r>
      <w:r>
        <w:rPr>
          <w:rFonts w:ascii="Times New Roman" w:eastAsia="宋体" w:hAnsi="Times New Roman"/>
          <w:lang w:eastAsia="zh-CN"/>
        </w:rPr>
        <w:t>-</w:t>
      </w:r>
      <w:r>
        <w:rPr>
          <w:rFonts w:ascii="Times New Roman" w:eastAsia="宋体" w:hAnsi="Times New Roman"/>
          <w:lang w:eastAsia="zh-CN"/>
        </w:rPr>
        <w:t>验收</w:t>
      </w:r>
      <w:r>
        <w:rPr>
          <w:rFonts w:ascii="Times New Roman" w:eastAsia="宋体" w:hAnsi="Times New Roman"/>
          <w:lang w:eastAsia="zh-CN"/>
        </w:rPr>
        <w:t>-</w:t>
      </w:r>
      <w:r>
        <w:rPr>
          <w:rFonts w:ascii="Times New Roman" w:eastAsia="宋体" w:hAnsi="Times New Roman"/>
          <w:lang w:eastAsia="zh-CN"/>
        </w:rPr>
        <w:t>回款</w:t>
      </w:r>
      <w:r>
        <w:rPr>
          <w:rFonts w:ascii="Times New Roman" w:eastAsia="宋体" w:hAnsi="Times New Roman"/>
          <w:lang w:eastAsia="zh-CN"/>
        </w:rPr>
        <w:t>”</w:t>
      </w:r>
      <w:r>
        <w:rPr>
          <w:rFonts w:ascii="Times New Roman" w:eastAsia="宋体" w:hAnsi="Times New Roman"/>
          <w:lang w:eastAsia="zh-CN"/>
        </w:rPr>
        <w:t>四段式经营看板，对重点项目进行周级别跟踪，确保签约成果可以按计划转化为回款。</w:t>
      </w:r>
    </w:p>
    <w:p w14:paraId="462BF82C" w14:textId="77777777" w:rsidR="003B451D" w:rsidRDefault="00000000">
      <w:pPr>
        <w:spacing w:line="360" w:lineRule="auto"/>
        <w:ind w:left="170"/>
        <w:rPr>
          <w:lang w:eastAsia="zh-CN"/>
        </w:rPr>
      </w:pPr>
      <w:r>
        <w:rPr>
          <w:rFonts w:ascii="Times New Roman" w:eastAsia="Microsoft YaHei" w:hAnsi="Times New Roman"/>
          <w:b/>
          <w:lang w:eastAsia="zh-CN"/>
        </w:rPr>
        <w:t xml:space="preserve">2. </w:t>
      </w:r>
      <w:r>
        <w:rPr>
          <w:rFonts w:ascii="Times New Roman" w:eastAsia="宋体" w:hAnsi="Times New Roman"/>
          <w:lang w:eastAsia="zh-CN"/>
        </w:rPr>
        <w:t>针对大额项目和关键客户建立专项催收机制，将账期预警前置到合同执行阶段，减少末端被动追款。</w:t>
      </w:r>
    </w:p>
    <w:p w14:paraId="1FDC9BCF" w14:textId="77777777" w:rsidR="003B451D" w:rsidRDefault="00000000">
      <w:pPr>
        <w:spacing w:line="360" w:lineRule="auto"/>
        <w:ind w:left="170"/>
        <w:rPr>
          <w:lang w:eastAsia="zh-CN"/>
        </w:rPr>
      </w:pPr>
      <w:r>
        <w:rPr>
          <w:rFonts w:ascii="Times New Roman" w:eastAsia="Microsoft YaHei" w:hAnsi="Times New Roman"/>
          <w:b/>
          <w:lang w:eastAsia="zh-CN"/>
        </w:rPr>
        <w:t xml:space="preserve">3. </w:t>
      </w:r>
      <w:r>
        <w:rPr>
          <w:rFonts w:ascii="Times New Roman" w:eastAsia="宋体" w:hAnsi="Times New Roman"/>
          <w:lang w:eastAsia="zh-CN"/>
        </w:rPr>
        <w:t>继续保留四季度冲刺中验证有效的经营动作，如月度复盘、交付节点跟催、经营例会闭环和财务联动推进。</w:t>
      </w:r>
    </w:p>
    <w:p w14:paraId="6D521649" w14:textId="77777777" w:rsidR="003B451D" w:rsidRDefault="00000000">
      <w:pPr>
        <w:spacing w:line="360" w:lineRule="auto"/>
        <w:ind w:left="170"/>
        <w:rPr>
          <w:lang w:eastAsia="zh-CN"/>
        </w:rPr>
      </w:pPr>
      <w:r>
        <w:rPr>
          <w:rFonts w:ascii="Times New Roman" w:eastAsia="Microsoft YaHei" w:hAnsi="Times New Roman"/>
          <w:b/>
          <w:lang w:eastAsia="zh-CN"/>
        </w:rPr>
        <w:lastRenderedPageBreak/>
        <w:t xml:space="preserve">4. </w:t>
      </w:r>
      <w:r>
        <w:rPr>
          <w:rFonts w:ascii="Times New Roman" w:eastAsia="宋体" w:hAnsi="Times New Roman"/>
          <w:lang w:eastAsia="zh-CN"/>
        </w:rPr>
        <w:t>在扩大签约规模的同时，增加对项目毛利率、回款周期和履约风险的联动分析，推动经营分析从</w:t>
      </w:r>
      <w:r>
        <w:rPr>
          <w:rFonts w:ascii="Times New Roman" w:eastAsia="宋体" w:hAnsi="Times New Roman"/>
          <w:lang w:eastAsia="zh-CN"/>
        </w:rPr>
        <w:t>“</w:t>
      </w:r>
      <w:r>
        <w:rPr>
          <w:rFonts w:ascii="Times New Roman" w:eastAsia="宋体" w:hAnsi="Times New Roman"/>
          <w:lang w:eastAsia="zh-CN"/>
        </w:rPr>
        <w:t>规模导向</w:t>
      </w:r>
      <w:r>
        <w:rPr>
          <w:rFonts w:ascii="Times New Roman" w:eastAsia="宋体" w:hAnsi="Times New Roman"/>
          <w:lang w:eastAsia="zh-CN"/>
        </w:rPr>
        <w:t>”</w:t>
      </w:r>
      <w:r>
        <w:rPr>
          <w:rFonts w:ascii="Times New Roman" w:eastAsia="宋体" w:hAnsi="Times New Roman"/>
          <w:lang w:eastAsia="zh-CN"/>
        </w:rPr>
        <w:t>进一步走向</w:t>
      </w:r>
      <w:r>
        <w:rPr>
          <w:rFonts w:ascii="Times New Roman" w:eastAsia="宋体" w:hAnsi="Times New Roman"/>
          <w:lang w:eastAsia="zh-CN"/>
        </w:rPr>
        <w:t>“</w:t>
      </w:r>
      <w:r>
        <w:rPr>
          <w:rFonts w:ascii="Times New Roman" w:eastAsia="宋体" w:hAnsi="Times New Roman"/>
          <w:lang w:eastAsia="zh-CN"/>
        </w:rPr>
        <w:t>质量导向</w:t>
      </w:r>
      <w:r>
        <w:rPr>
          <w:rFonts w:ascii="Times New Roman" w:eastAsia="宋体" w:hAnsi="Times New Roman"/>
          <w:lang w:eastAsia="zh-CN"/>
        </w:rPr>
        <w:t>”</w:t>
      </w:r>
      <w:r>
        <w:rPr>
          <w:rFonts w:ascii="Times New Roman" w:eastAsia="宋体" w:hAnsi="Times New Roman"/>
          <w:lang w:eastAsia="zh-CN"/>
        </w:rPr>
        <w:t>。</w:t>
      </w:r>
    </w:p>
    <w:p w14:paraId="012DD04E" w14:textId="77777777" w:rsidR="003B451D" w:rsidRDefault="00000000">
      <w:pPr>
        <w:spacing w:before="200" w:after="120"/>
        <w:rPr>
          <w:lang w:eastAsia="zh-CN"/>
        </w:rPr>
      </w:pPr>
      <w:r>
        <w:rPr>
          <w:rFonts w:ascii="Times New Roman" w:eastAsia="Microsoft YaHei" w:hAnsi="Times New Roman"/>
          <w:b/>
          <w:sz w:val="32"/>
          <w:lang w:eastAsia="zh-CN"/>
        </w:rPr>
        <w:t>七、附注说明</w:t>
      </w:r>
    </w:p>
    <w:p w14:paraId="559CF576" w14:textId="77777777" w:rsidR="003B451D" w:rsidRDefault="00000000">
      <w:pPr>
        <w:spacing w:after="60" w:line="360" w:lineRule="auto"/>
        <w:rPr>
          <w:lang w:eastAsia="zh-CN"/>
        </w:rPr>
      </w:pPr>
      <w:r>
        <w:rPr>
          <w:rFonts w:ascii="Times New Roman" w:eastAsia="宋体" w:hAnsi="Times New Roman"/>
          <w:lang w:eastAsia="zh-CN"/>
        </w:rPr>
        <w:t xml:space="preserve">1. </w:t>
      </w:r>
      <w:r>
        <w:rPr>
          <w:rFonts w:ascii="Times New Roman" w:eastAsia="宋体" w:hAnsi="Times New Roman"/>
          <w:lang w:eastAsia="zh-CN"/>
        </w:rPr>
        <w:t>本文档依据当前代码中的</w:t>
      </w:r>
      <w:r>
        <w:rPr>
          <w:rFonts w:ascii="Times New Roman" w:eastAsia="宋体" w:hAnsi="Times New Roman"/>
          <w:lang w:eastAsia="zh-CN"/>
        </w:rPr>
        <w:t>“</w:t>
      </w:r>
      <w:r>
        <w:rPr>
          <w:rFonts w:ascii="Times New Roman" w:eastAsia="宋体" w:hAnsi="Times New Roman"/>
          <w:lang w:eastAsia="zh-CN"/>
        </w:rPr>
        <w:t>多智能体写作</w:t>
      </w:r>
      <w:r>
        <w:rPr>
          <w:rFonts w:ascii="Times New Roman" w:eastAsia="宋体" w:hAnsi="Times New Roman"/>
          <w:lang w:eastAsia="zh-CN"/>
        </w:rPr>
        <w:t xml:space="preserve"> / </w:t>
      </w:r>
      <w:r>
        <w:rPr>
          <w:rFonts w:ascii="Times New Roman" w:eastAsia="宋体" w:hAnsi="Times New Roman"/>
          <w:lang w:eastAsia="zh-CN"/>
        </w:rPr>
        <w:t>报表生成工作流</w:t>
      </w:r>
      <w:r>
        <w:rPr>
          <w:rFonts w:ascii="Times New Roman" w:eastAsia="宋体" w:hAnsi="Times New Roman"/>
          <w:lang w:eastAsia="zh-CN"/>
        </w:rPr>
        <w:t xml:space="preserve"> / </w:t>
      </w:r>
      <w:r>
        <w:rPr>
          <w:rFonts w:ascii="Times New Roman" w:eastAsia="宋体" w:hAnsi="Times New Roman"/>
          <w:lang w:eastAsia="zh-CN"/>
        </w:rPr>
        <w:t>图表可视化</w:t>
      </w:r>
      <w:r>
        <w:rPr>
          <w:rFonts w:ascii="Times New Roman" w:eastAsia="宋体" w:hAnsi="Times New Roman"/>
          <w:lang w:eastAsia="zh-CN"/>
        </w:rPr>
        <w:t>”</w:t>
      </w:r>
      <w:r>
        <w:rPr>
          <w:rFonts w:ascii="Times New Roman" w:eastAsia="宋体" w:hAnsi="Times New Roman"/>
          <w:lang w:eastAsia="zh-CN"/>
        </w:rPr>
        <w:t>产品逻辑进行仿真生成，表现形式按正式经营分析稿组织。</w:t>
      </w:r>
    </w:p>
    <w:p w14:paraId="01818165" w14:textId="77777777" w:rsidR="003B451D" w:rsidRDefault="00000000">
      <w:pPr>
        <w:spacing w:after="60" w:line="360" w:lineRule="auto"/>
        <w:rPr>
          <w:lang w:eastAsia="zh-CN"/>
        </w:rPr>
      </w:pPr>
      <w:r>
        <w:rPr>
          <w:rFonts w:ascii="Times New Roman" w:eastAsia="宋体" w:hAnsi="Times New Roman"/>
          <w:lang w:eastAsia="zh-CN"/>
        </w:rPr>
        <w:t xml:space="preserve">2. </w:t>
      </w:r>
      <w:r>
        <w:rPr>
          <w:rFonts w:ascii="Times New Roman" w:eastAsia="宋体" w:hAnsi="Times New Roman"/>
          <w:lang w:eastAsia="zh-CN"/>
        </w:rPr>
        <w:t>季度金额依据用户提供图表进行整理与估算，适用于演示、汇报展示和原型联调场景；如需形成对外正式材料，建议再与源数据台账进行一次核对。</w:t>
      </w:r>
    </w:p>
    <w:p w14:paraId="604DB03E" w14:textId="77777777" w:rsidR="003B451D" w:rsidRDefault="00000000">
      <w:pPr>
        <w:spacing w:after="60" w:line="360" w:lineRule="auto"/>
        <w:rPr>
          <w:lang w:eastAsia="zh-CN"/>
        </w:rPr>
      </w:pPr>
      <w:r>
        <w:rPr>
          <w:rFonts w:ascii="Times New Roman" w:eastAsia="宋体" w:hAnsi="Times New Roman"/>
          <w:lang w:eastAsia="zh-CN"/>
        </w:rPr>
        <w:t xml:space="preserve">3. </w:t>
      </w:r>
      <w:r>
        <w:rPr>
          <w:rFonts w:ascii="Times New Roman" w:eastAsia="宋体" w:hAnsi="Times New Roman"/>
          <w:lang w:eastAsia="zh-CN"/>
        </w:rPr>
        <w:t>图表图片已嵌入</w:t>
      </w:r>
      <w:r>
        <w:rPr>
          <w:rFonts w:ascii="Times New Roman" w:eastAsia="宋体" w:hAnsi="Times New Roman"/>
          <w:lang w:eastAsia="zh-CN"/>
        </w:rPr>
        <w:t xml:space="preserve"> Word </w:t>
      </w:r>
      <w:r>
        <w:rPr>
          <w:rFonts w:ascii="Times New Roman" w:eastAsia="宋体" w:hAnsi="Times New Roman"/>
          <w:lang w:eastAsia="zh-CN"/>
        </w:rPr>
        <w:t>文档，可直接用于汇报或继续编辑。</w:t>
      </w:r>
    </w:p>
    <w:sectPr w:rsidR="003B451D" w:rsidSect="00034616">
      <w:headerReference w:type="default" r:id="rId9"/>
      <w:footerReference w:type="default" r:id="rId10"/>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1637" w14:textId="77777777" w:rsidR="00A842F9" w:rsidRDefault="00A842F9">
      <w:pPr>
        <w:spacing w:after="0" w:line="240" w:lineRule="auto"/>
      </w:pPr>
      <w:r>
        <w:separator/>
      </w:r>
    </w:p>
  </w:endnote>
  <w:endnote w:type="continuationSeparator" w:id="0">
    <w:p w14:paraId="6AF9DA68" w14:textId="77777777" w:rsidR="00A842F9" w:rsidRDefault="00A84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D1ED" w14:textId="77777777" w:rsidR="003B451D" w:rsidRDefault="00000000">
    <w:pPr>
      <w:pStyle w:val="a7"/>
      <w:jc w:val="center"/>
      <w:rPr>
        <w:lang w:eastAsia="zh-CN"/>
      </w:rPr>
    </w:pPr>
    <w:r>
      <w:rPr>
        <w:rFonts w:ascii="Times New Roman" w:eastAsia="Microsoft YaHei" w:hAnsi="Times New Roman"/>
        <w:color w:val="808080"/>
        <w:sz w:val="18"/>
        <w:lang w:eastAsia="zh-CN"/>
      </w:rPr>
      <w:t>2025</w:t>
    </w:r>
    <w:r>
      <w:rPr>
        <w:rFonts w:ascii="Times New Roman" w:eastAsia="Microsoft YaHei" w:hAnsi="Times New Roman"/>
        <w:color w:val="808080"/>
        <w:sz w:val="18"/>
        <w:lang w:eastAsia="zh-CN"/>
      </w:rPr>
      <w:t>年签约与汇款情况分析报告</w:t>
    </w:r>
    <w:r>
      <w:rPr>
        <w:rFonts w:ascii="Times New Roman" w:eastAsia="Microsoft YaHei" w:hAnsi="Times New Roman"/>
        <w:color w:val="808080"/>
        <w:sz w:val="18"/>
        <w:lang w:eastAsia="zh-CN"/>
      </w:rPr>
      <w:t xml:space="preserve"> - </w:t>
    </w:r>
    <w:r>
      <w:rPr>
        <w:rFonts w:ascii="Times New Roman" w:eastAsia="Microsoft YaHei" w:hAnsi="Times New Roman"/>
        <w:color w:val="808080"/>
        <w:sz w:val="18"/>
        <w:lang w:eastAsia="zh-CN"/>
      </w:rPr>
      <w:t>最终版本</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EDF1" w14:textId="77777777" w:rsidR="00A842F9" w:rsidRDefault="00A842F9">
      <w:pPr>
        <w:spacing w:after="0" w:line="240" w:lineRule="auto"/>
      </w:pPr>
      <w:r>
        <w:separator/>
      </w:r>
    </w:p>
  </w:footnote>
  <w:footnote w:type="continuationSeparator" w:id="0">
    <w:p w14:paraId="211E7FD4" w14:textId="77777777" w:rsidR="00A842F9" w:rsidRDefault="00A84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67F4" w14:textId="77777777" w:rsidR="003B451D" w:rsidRDefault="00000000">
    <w:pPr>
      <w:pStyle w:val="a5"/>
      <w:jc w:val="right"/>
    </w:pPr>
    <w:proofErr w:type="spellStart"/>
    <w:r>
      <w:rPr>
        <w:rFonts w:ascii="Arial" w:eastAsia="Microsoft YaHei" w:hAnsi="Arial"/>
        <w:color w:val="808080"/>
        <w:sz w:val="18"/>
      </w:rPr>
      <w:t>内部经营分析材料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48678908">
    <w:abstractNumId w:val="8"/>
  </w:num>
  <w:num w:numId="2" w16cid:durableId="1843079112">
    <w:abstractNumId w:val="6"/>
  </w:num>
  <w:num w:numId="3" w16cid:durableId="453212414">
    <w:abstractNumId w:val="5"/>
  </w:num>
  <w:num w:numId="4" w16cid:durableId="1847018765">
    <w:abstractNumId w:val="4"/>
  </w:num>
  <w:num w:numId="5" w16cid:durableId="2018968007">
    <w:abstractNumId w:val="7"/>
  </w:num>
  <w:num w:numId="6" w16cid:durableId="2100248074">
    <w:abstractNumId w:val="3"/>
  </w:num>
  <w:num w:numId="7" w16cid:durableId="1936279711">
    <w:abstractNumId w:val="2"/>
  </w:num>
  <w:num w:numId="8" w16cid:durableId="2105762139">
    <w:abstractNumId w:val="1"/>
  </w:num>
  <w:num w:numId="9" w16cid:durableId="174170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EAE"/>
    <w:rsid w:val="0029639D"/>
    <w:rsid w:val="00326F90"/>
    <w:rsid w:val="003B451D"/>
    <w:rsid w:val="004E2E6B"/>
    <w:rsid w:val="00A842F9"/>
    <w:rsid w:val="00AA1D8D"/>
    <w:rsid w:val="00B47730"/>
    <w:rsid w:val="00CB0664"/>
    <w:rsid w:val="00D057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9192A"/>
  <w14:defaultImageDpi w14:val="300"/>
  <w15:docId w15:val="{331C7610-E0AE-B14F-822C-088B90A2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邸若楠</cp:lastModifiedBy>
  <cp:revision>5</cp:revision>
  <dcterms:created xsi:type="dcterms:W3CDTF">2013-12-23T23:15:00Z</dcterms:created>
  <dcterms:modified xsi:type="dcterms:W3CDTF">2026-04-07T16:03:00Z</dcterms:modified>
  <cp:category/>
</cp:coreProperties>
</file>