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i w:val="0"/>
          <w:color w:val="1B365D"/>
          <w:sz w:val="48"/>
        </w:rPr>
        <w:t>TÀI LIỆU YÊU CẦU NGHIỆP VỤ</w:t>
      </w:r>
    </w:p>
    <w:p>
      <w:pPr>
        <w:jc w:val="center"/>
      </w:pPr>
      <w:r>
        <w:rPr>
          <w:rFonts w:ascii="Calibri" w:hAnsi="Calibri"/>
          <w:b w:val="0"/>
          <w:i/>
          <w:color w:val="444444"/>
          <w:sz w:val="26"/>
        </w:rPr>
        <w:t>(Business Requirements Document – BRD)</w:t>
      </w:r>
    </w:p>
    <w:p>
      <w:pPr>
        <w:spacing w:before="400"/>
        <w:jc w:val="center"/>
      </w:pPr>
      <w:r>
        <w:rPr>
          <w:rFonts w:ascii="Calibri" w:hAnsi="Calibri"/>
          <w:b/>
          <w:i w:val="0"/>
          <w:color w:val="444444"/>
          <w:sz w:val="36"/>
        </w:rPr>
        <w:t>Dự án: BoardVerse – Hệ thống mua bán và cho thuê board game</w:t>
      </w:r>
    </w:p>
    <w:p>
      <w:pPr>
        <w:spacing w:before="1600"/>
        <w:jc w:val="center"/>
      </w:pPr>
      <w:r>
        <w:rPr>
          <w:rFonts w:ascii="Calibri" w:hAnsi="Calibri"/>
          <w:b w:val="0"/>
          <w:i w:val="0"/>
          <w:color w:val="444444"/>
          <w:sz w:val="21"/>
        </w:rPr>
        <w:t>Mã tài liệu: BRD-BV-01  |  Phiên bản: 1.0</w:t>
      </w:r>
    </w:p>
    <w:p>
      <w:pPr>
        <w:jc w:val="center"/>
      </w:pPr>
      <w:r>
        <w:rPr>
          <w:rFonts w:ascii="Calibri" w:hAnsi="Calibri"/>
          <w:b w:val="0"/>
          <w:i w:val="0"/>
          <w:color w:val="444444"/>
          <w:sz w:val="21"/>
        </w:rPr>
        <w:t>Người soạn thảo: Nguyễn Minh Quân</w:t>
      </w:r>
    </w:p>
    <w:p>
      <w:r>
        <w:br w:type="page"/>
      </w:r>
    </w:p>
    <w:p>
      <w:pPr>
        <w:pStyle w:val="Heading1"/>
      </w:pPr>
      <w:r>
        <w:rPr>
          <w:rFonts w:ascii="Calibri" w:hAnsi="Calibri"/>
          <w:b/>
          <w:i w:val="0"/>
          <w:color w:val="1B365D"/>
          <w:sz w:val="32"/>
        </w:rPr>
        <w:t>LỊCH SỬ PHIÊN BẢN</w:t>
      </w:r>
    </w:p>
    <w:tbl>
      <w:tblPr>
        <w:tblStyle w:val="TableGrid"/>
        <w:tblW w:type="auto" w:w="0"/>
        <w:jc w:val="center"/>
        <w:tblLayout w:type="fixed"/>
        <w:tblLook w:firstColumn="1" w:firstRow="1" w:lastColumn="0" w:lastRow="0" w:noHBand="0" w:noVBand="1" w:val="04A0"/>
      </w:tblPr>
      <w:tblGrid>
        <w:gridCol w:w="1247"/>
        <w:gridCol w:w="1474"/>
        <w:gridCol w:w="1814"/>
        <w:gridCol w:w="4819"/>
      </w:tblGrid>
      <w:tr>
        <w:tc>
          <w:tcPr>
            <w:tcW w:type="dxa" w:w="1247"/>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Phiên bản</w:t>
            </w:r>
          </w:p>
        </w:tc>
        <w:tc>
          <w:tcPr>
            <w:tcW w:type="dxa" w:w="147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Ngày</w:t>
            </w:r>
          </w:p>
        </w:tc>
        <w:tc>
          <w:tcPr>
            <w:tcW w:type="dxa" w:w="181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Người sửa</w:t>
            </w:r>
          </w:p>
        </w:tc>
        <w:tc>
          <w:tcPr>
            <w:tcW w:type="dxa" w:w="4819"/>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Mô tả thay đổi</w:t>
            </w:r>
          </w:p>
        </w:tc>
      </w:tr>
      <w:tr>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0.1</w:t>
            </w:r>
          </w:p>
        </w:tc>
        <w:tc>
          <w:tcPr>
            <w:tcW w:type="dxa" w:w="147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20/09/2026</w:t>
            </w:r>
          </w:p>
        </w:tc>
        <w:tc>
          <w:tcPr>
            <w:tcW w:type="dxa" w:w="181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Nguyễn Minh Quân</w:t>
            </w:r>
          </w:p>
        </w:tc>
        <w:tc>
          <w:tcPr>
            <w:tcW w:type="dxa" w:w="481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Khởi tạo bản nháp, viết Chương 3-6.</w:t>
            </w:r>
          </w:p>
        </w:tc>
      </w:tr>
      <w:tr>
        <w:tc>
          <w:tcPr>
            <w:tcW w:type="dxa" w:w="124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0.5</w:t>
            </w:r>
          </w:p>
        </w:tc>
        <w:tc>
          <w:tcPr>
            <w:tcW w:type="dxa" w:w="147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02/10/2026</w:t>
            </w:r>
          </w:p>
        </w:tc>
        <w:tc>
          <w:tcPr>
            <w:tcW w:type="dxa" w:w="181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Nguyễn Minh Quân</w:t>
            </w:r>
          </w:p>
        </w:tc>
        <w:tc>
          <w:tcPr>
            <w:tcW w:type="dxa" w:w="481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Hoàn thiện Chương 7-12 và Phụ lục A, B.</w:t>
            </w:r>
          </w:p>
        </w:tc>
      </w:tr>
      <w:tr>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0.9</w:t>
            </w:r>
          </w:p>
        </w:tc>
        <w:tc>
          <w:tcPr>
            <w:tcW w:type="dxa" w:w="147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10/10/2026</w:t>
            </w:r>
          </w:p>
        </w:tc>
        <w:tc>
          <w:tcPr>
            <w:tcW w:type="dxa" w:w="181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Nguyễn Minh Quân</w:t>
            </w:r>
          </w:p>
        </w:tc>
        <w:tc>
          <w:tcPr>
            <w:tcW w:type="dxa" w:w="481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Hoàn thiện Chương 1-2, rà soát toàn văn.</w:t>
            </w:r>
          </w:p>
        </w:tc>
      </w:tr>
      <w:tr>
        <w:tc>
          <w:tcPr>
            <w:tcW w:type="dxa" w:w="124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1.0</w:t>
            </w:r>
          </w:p>
        </w:tc>
        <w:tc>
          <w:tcPr>
            <w:tcW w:type="dxa" w:w="147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14/10/2026</w:t>
            </w:r>
          </w:p>
        </w:tc>
        <w:tc>
          <w:tcPr>
            <w:tcW w:type="dxa" w:w="181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Nguyễn Minh Quân</w:t>
            </w:r>
          </w:p>
        </w:tc>
        <w:tc>
          <w:tcPr>
            <w:tcW w:type="dxa" w:w="481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Chốt phạm vi, hoàn tất trang phê duyệt, Sign-off.</w:t>
            </w:r>
          </w:p>
        </w:tc>
      </w:tr>
    </w:tbl>
    <w:p/>
    <w:p>
      <w:r>
        <w:br w:type="page"/>
      </w:r>
    </w:p>
    <w:p>
      <w:pPr>
        <w:pStyle w:val="Heading1"/>
      </w:pPr>
      <w:r>
        <w:rPr>
          <w:rFonts w:ascii="Calibri" w:hAnsi="Calibri"/>
          <w:b/>
          <w:i w:val="0"/>
          <w:color w:val="1B365D"/>
          <w:sz w:val="32"/>
        </w:rPr>
        <w:t>MỤC LỤC</w:t>
      </w:r>
    </w:p>
    <w:p>
      <w:r>
        <w:rPr>
          <w:rFonts w:ascii="Calibri" w:hAnsi="Calibri"/>
          <w:b w:val="0"/>
          <w:i/>
          <w:color w:val="444444"/>
          <w:sz w:val="19"/>
        </w:rPr>
        <w:t>(Mục lục tự động: trong Word, chọn thẻ References &gt; Table of Contents, hoặc nếu đã có trường Mục lục thì bấm chuột phải &gt; Update Field &gt; Update entire table.)</w:t>
      </w:r>
    </w:p>
    <w:p>
      <w:r>
        <w:br w:type="page"/>
      </w:r>
    </w:p>
    <w:p>
      <w:pPr>
        <w:pStyle w:val="Heading1"/>
      </w:pPr>
      <w:r>
        <w:rPr>
          <w:rFonts w:ascii="Calibri" w:hAnsi="Calibri"/>
          <w:b/>
          <w:i w:val="0"/>
          <w:color w:val="1B365D"/>
          <w:sz w:val="32"/>
        </w:rPr>
        <w:t>1. Giới thiệu</w:t>
      </w:r>
    </w:p>
    <w:p>
      <w:pPr>
        <w:spacing w:after="120"/>
      </w:pPr>
      <w:r>
        <w:rPr>
          <w:rFonts w:ascii="Calibri" w:hAnsi="Calibri"/>
          <w:b w:val="0"/>
          <w:i w:val="0"/>
          <w:color w:val="222222"/>
          <w:sz w:val="21"/>
        </w:rPr>
        <w:t>Tài liệu này mô tả bối cảnh, mục tiêu kinh doanh, phạm vi và yêu cầu nghiệp vụ của dự án BoardVerse — hệ thống hỗ trợ Cửa hàng BoardVerse quản lý việc mua bán và cho thuê board game. Tài liệu phục vụ việc ra quyết định đầu tư và là đầu vào cho giai đoạn đặc tả yêu cầu phần mềm.</w:t>
      </w:r>
    </w:p>
    <w:p>
      <w:pPr>
        <w:pStyle w:val="Heading2"/>
      </w:pPr>
      <w:r>
        <w:rPr>
          <w:rFonts w:ascii="Calibri" w:hAnsi="Calibri"/>
          <w:b/>
          <w:i w:val="0"/>
          <w:color w:val="1B365D"/>
          <w:sz w:val="26"/>
        </w:rPr>
        <w:t>1.1. Mục đích tài liệu</w:t>
      </w:r>
    </w:p>
    <w:p>
      <w:pPr>
        <w:spacing w:after="120"/>
      </w:pPr>
      <w:r>
        <w:rPr>
          <w:rFonts w:ascii="Calibri" w:hAnsi="Calibri"/>
          <w:b w:val="0"/>
          <w:i w:val="0"/>
          <w:color w:val="222222"/>
          <w:sz w:val="21"/>
        </w:rPr>
        <w:t>Tài liệu này nhằm trình bày đầy đủ bối cảnh, mục tiêu kinh doanh, phạm vi dự án và các yêu cầu nghiệp vụ cốt lõi để Chủ đầu tư có cơ sở phê duyệt đầu tư xây dựng hệ thống BoardVerse. Tài liệu này đóng vai trò là đầu vào chính thức để xây dựng Tài liệu đặc tả yêu cầu phần mềm (SRS).</w:t>
      </w:r>
    </w:p>
    <w:p>
      <w:pPr>
        <w:pStyle w:val="Heading2"/>
      </w:pPr>
      <w:r>
        <w:rPr>
          <w:rFonts w:ascii="Calibri" w:hAnsi="Calibri"/>
          <w:b/>
          <w:i w:val="0"/>
          <w:color w:val="1B365D"/>
          <w:sz w:val="26"/>
        </w:rPr>
        <w:t>1.2. Phạm vi tài liệu</w:t>
      </w:r>
    </w:p>
    <w:p>
      <w:pPr>
        <w:spacing w:after="120"/>
      </w:pPr>
      <w:r>
        <w:rPr>
          <w:rFonts w:ascii="Calibri" w:hAnsi="Calibri"/>
          <w:b w:val="0"/>
          <w:i w:val="0"/>
          <w:color w:val="222222"/>
          <w:sz w:val="21"/>
        </w:rPr>
        <w:t>Bao gồm: bối cảnh kinh doanh, mục tiêu, phạm vi dự án, các bên liên quan, giải pháp đề xuất ở mức tổng quan, yêu cầu nghiệp vụ, phân tích tài chính và rủi ro, kế hoạch triển khai tổng quan, tiêu chí nghiệm thu ở mức nghiệp vụ.</w:t>
      </w:r>
    </w:p>
    <w:p>
      <w:pPr>
        <w:spacing w:after="120"/>
      </w:pPr>
      <w:r>
        <w:rPr>
          <w:rFonts w:ascii="Calibri" w:hAnsi="Calibri"/>
          <w:b w:val="0"/>
          <w:i w:val="0"/>
          <w:color w:val="222222"/>
          <w:sz w:val="21"/>
        </w:rPr>
        <w:t>Không bao gồm: đặc tả kỹ thuật chi tiết (use case, mô hình dữ liệu, giao diện...) — các nội dung này thuộc Tài liệu đặc tả yêu cầu phần mềm (SRS) và Tài liệu thiết kế hệ thống (SDD).</w:t>
      </w:r>
    </w:p>
    <w:p>
      <w:pPr>
        <w:pStyle w:val="Heading2"/>
      </w:pPr>
      <w:r>
        <w:rPr>
          <w:rFonts w:ascii="Calibri" w:hAnsi="Calibri"/>
          <w:b/>
          <w:i w:val="0"/>
          <w:color w:val="1B365D"/>
          <w:sz w:val="26"/>
        </w:rPr>
        <w:t>1.3. Đối tượng đọc</w:t>
      </w:r>
    </w:p>
    <w:tbl>
      <w:tblPr>
        <w:tblStyle w:val="TableGrid"/>
        <w:tblW w:type="auto" w:w="0"/>
        <w:jc w:val="center"/>
        <w:tblLayout w:type="fixed"/>
        <w:tblLook w:firstColumn="1" w:firstRow="1" w:lastColumn="0" w:lastRow="0" w:noHBand="0" w:noVBand="1" w:val="04A0"/>
      </w:tblPr>
      <w:tblGrid>
        <w:gridCol w:w="2154"/>
        <w:gridCol w:w="3402"/>
        <w:gridCol w:w="3515"/>
      </w:tblGrid>
      <w:tr>
        <w:tc>
          <w:tcPr>
            <w:tcW w:type="dxa" w:w="215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Nhóm đọc</w:t>
            </w:r>
          </w:p>
        </w:tc>
        <w:tc>
          <w:tcPr>
            <w:tcW w:type="dxa" w:w="3402"/>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Mục đích đọc</w:t>
            </w:r>
          </w:p>
        </w:tc>
        <w:tc>
          <w:tcPr>
            <w:tcW w:type="dxa" w:w="3515"/>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Các mục cần đọc</w:t>
            </w:r>
          </w:p>
        </w:tc>
      </w:tr>
      <w:tr>
        <w:tc>
          <w:tcPr>
            <w:tcW w:type="dxa" w:w="215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Chủ đầu tư</w:t>
            </w:r>
          </w:p>
        </w:tc>
        <w:tc>
          <w:tcPr>
            <w:tcW w:type="dxa" w:w="34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Ra quyết định phê duyệt đầu tư</w:t>
            </w:r>
          </w:p>
        </w:tc>
        <w:tc>
          <w:tcPr>
            <w:tcW w:type="dxa" w:w="351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Chương 2, 4, 9, 10, 12</w:t>
            </w:r>
          </w:p>
        </w:tc>
      </w:tr>
      <w:tr>
        <w:tc>
          <w:tcPr>
            <w:tcW w:type="dxa" w:w="215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Quản lý vận hành / Admin</w:t>
            </w:r>
          </w:p>
        </w:tc>
        <w:tc>
          <w:tcPr>
            <w:tcW w:type="dxa" w:w="34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Hiểu quy trình nghiệp vụ mới để chuẩn bị triển khai</w:t>
            </w:r>
          </w:p>
        </w:tc>
        <w:tc>
          <w:tcPr>
            <w:tcW w:type="dxa" w:w="351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Chương 3, 5, 7, 8, 11</w:t>
            </w:r>
          </w:p>
        </w:tc>
      </w:tr>
      <w:tr>
        <w:tc>
          <w:tcPr>
            <w:tcW w:type="dxa" w:w="215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Đội ngũ phân tích/thiết kế SRS, SDD</w:t>
            </w:r>
          </w:p>
        </w:tc>
        <w:tc>
          <w:tcPr>
            <w:tcW w:type="dxa" w:w="34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Dùng làm đầu vào đặc tả hệ thống</w:t>
            </w:r>
          </w:p>
        </w:tc>
        <w:tc>
          <w:tcPr>
            <w:tcW w:type="dxa" w:w="351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Chương 5, 6, 7, 8, Phụ lục A</w:t>
            </w:r>
          </w:p>
        </w:tc>
      </w:tr>
      <w:tr>
        <w:tc>
          <w:tcPr>
            <w:tcW w:type="dxa" w:w="215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Giảng viên hướng dẫn / người đánh giá đồ án</w:t>
            </w:r>
          </w:p>
        </w:tc>
        <w:tc>
          <w:tcPr>
            <w:tcW w:type="dxa" w:w="34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Đánh giá tính đầy đủ của tài liệu</w:t>
            </w:r>
          </w:p>
        </w:tc>
        <w:tc>
          <w:tcPr>
            <w:tcW w:type="dxa" w:w="351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Toàn bộ tài liệu</w:t>
            </w:r>
          </w:p>
        </w:tc>
      </w:tr>
    </w:tbl>
    <w:p/>
    <w:p>
      <w:pPr>
        <w:pStyle w:val="Heading2"/>
      </w:pPr>
      <w:r>
        <w:rPr>
          <w:rFonts w:ascii="Calibri" w:hAnsi="Calibri"/>
          <w:b/>
          <w:i w:val="0"/>
          <w:color w:val="1B365D"/>
          <w:sz w:val="26"/>
        </w:rPr>
        <w:t>1.4. Thuật ngữ, định nghĩa và từ viết tắt</w:t>
      </w:r>
    </w:p>
    <w:tbl>
      <w:tblPr>
        <w:tblStyle w:val="TableGrid"/>
        <w:tblW w:type="auto" w:w="0"/>
        <w:jc w:val="center"/>
        <w:tblLayout w:type="fixed"/>
        <w:tblLook w:firstColumn="1" w:firstRow="1" w:lastColumn="0" w:lastRow="0" w:noHBand="0" w:noVBand="1" w:val="04A0"/>
      </w:tblPr>
      <w:tblGrid>
        <w:gridCol w:w="3118"/>
        <w:gridCol w:w="5953"/>
      </w:tblGrid>
      <w:tr>
        <w:tc>
          <w:tcPr>
            <w:tcW w:type="dxa" w:w="3118"/>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Thuật ngữ</w:t>
            </w:r>
          </w:p>
        </w:tc>
        <w:tc>
          <w:tcPr>
            <w:tcW w:type="dxa" w:w="5953"/>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Giải thích</w:t>
            </w:r>
          </w:p>
        </w:tc>
      </w:tr>
      <w:tr>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Admin</w:t>
            </w:r>
          </w:p>
        </w:tc>
        <w:tc>
          <w:tcPr>
            <w:tcW w:type="dxa" w:w="5953"/>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Người dùng vai trò quản lý vận hành hệ thống.</w:t>
            </w:r>
          </w:p>
        </w:tc>
      </w:tr>
      <w:tr>
        <w:tc>
          <w:tcPr>
            <w:tcW w:type="dxa" w:w="311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BO (Business Objective)</w:t>
            </w:r>
          </w:p>
        </w:tc>
        <w:tc>
          <w:tcPr>
            <w:tcW w:type="dxa" w:w="5953"/>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Mục tiêu kinh doanh của dự án, mã hoá dạng BO-xx.</w:t>
            </w:r>
          </w:p>
        </w:tc>
      </w:tr>
      <w:tr>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 (Business Requirement)</w:t>
            </w:r>
          </w:p>
        </w:tc>
        <w:tc>
          <w:tcPr>
            <w:tcW w:type="dxa" w:w="5953"/>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Yêu cầu nghiệp vụ, mã hoá dạng BR-xx.</w:t>
            </w:r>
          </w:p>
        </w:tc>
      </w:tr>
      <w:tr>
        <w:tc>
          <w:tcPr>
            <w:tcW w:type="dxa" w:w="311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BRD (Business Requirements Document)</w:t>
            </w:r>
          </w:p>
        </w:tc>
        <w:tc>
          <w:tcPr>
            <w:tcW w:type="dxa" w:w="5953"/>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Tài liệu yêu cầu nghiệp vụ — chính là tài liệu này.</w:t>
            </w:r>
          </w:p>
        </w:tc>
      </w:tr>
      <w:tr>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BRU (Business Rule)</w:t>
            </w:r>
          </w:p>
        </w:tc>
        <w:tc>
          <w:tcPr>
            <w:tcW w:type="dxa" w:w="5953"/>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Quy tắc nghiệp vụ, mã hoá dạng BRU-xx.</w:t>
            </w:r>
          </w:p>
        </w:tc>
      </w:tr>
      <w:tr>
        <w:tc>
          <w:tcPr>
            <w:tcW w:type="dxa" w:w="311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Go-live</w:t>
            </w:r>
          </w:p>
        </w:tc>
        <w:tc>
          <w:tcPr>
            <w:tcW w:type="dxa" w:w="5953"/>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Thời điểm hệ thống chính thức đưa vào vận hành thay thế quy trình thủ công.</w:t>
            </w:r>
          </w:p>
        </w:tc>
      </w:tr>
      <w:tr>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KPI (Key Performance Indicator)</w:t>
            </w:r>
          </w:p>
        </w:tc>
        <w:tc>
          <w:tcPr>
            <w:tcW w:type="dxa" w:w="5953"/>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Chỉ số đo lường mức đạt được của một mục tiêu kinh doanh.</w:t>
            </w:r>
          </w:p>
        </w:tc>
      </w:tr>
      <w:tr>
        <w:tc>
          <w:tcPr>
            <w:tcW w:type="dxa" w:w="311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Staff</w:t>
            </w:r>
          </w:p>
        </w:tc>
        <w:tc>
          <w:tcPr>
            <w:tcW w:type="dxa" w:w="5953"/>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Người dùng vai trò nhân viên kho/xử lý đơn hàng.</w:t>
            </w:r>
          </w:p>
        </w:tc>
      </w:tr>
    </w:tbl>
    <w:p/>
    <w:p>
      <w:pPr>
        <w:pStyle w:val="Heading2"/>
      </w:pPr>
      <w:r>
        <w:rPr>
          <w:rFonts w:ascii="Calibri" w:hAnsi="Calibri"/>
          <w:b/>
          <w:i w:val="0"/>
          <w:color w:val="1B365D"/>
          <w:sz w:val="26"/>
        </w:rPr>
        <w:t>1.5. Cấu trúc tài liệu</w:t>
      </w:r>
    </w:p>
    <w:p>
      <w:pPr>
        <w:pStyle w:val="ListBullet"/>
      </w:pPr>
      <w:r>
        <w:rPr>
          <w:rFonts w:ascii="Calibri" w:hAnsi="Calibri"/>
          <w:b w:val="0"/>
          <w:i w:val="0"/>
          <w:color w:val="222222"/>
          <w:sz w:val="21"/>
        </w:rPr>
        <w:t>Chương 2 tóm tắt điều hành toàn bộ đề xuất đầu tư.</w:t>
      </w:r>
    </w:p>
    <w:p>
      <w:pPr>
        <w:pStyle w:val="ListBullet"/>
      </w:pPr>
      <w:r>
        <w:rPr>
          <w:rFonts w:ascii="Calibri" w:hAnsi="Calibri"/>
          <w:b w:val="0"/>
          <w:i w:val="0"/>
          <w:color w:val="222222"/>
          <w:sz w:val="21"/>
        </w:rPr>
        <w:t>Chương 3 trình bày bối cảnh và vấn đề kinh doanh hiện tại.</w:t>
      </w:r>
    </w:p>
    <w:p>
      <w:pPr>
        <w:pStyle w:val="ListBullet"/>
      </w:pPr>
      <w:r>
        <w:rPr>
          <w:rFonts w:ascii="Calibri" w:hAnsi="Calibri"/>
          <w:b w:val="0"/>
          <w:i w:val="0"/>
          <w:color w:val="222222"/>
          <w:sz w:val="21"/>
        </w:rPr>
        <w:t>Chương 4 nêu mục tiêu kinh doanh và tiêu chí thành công.</w:t>
      </w:r>
    </w:p>
    <w:p>
      <w:pPr>
        <w:pStyle w:val="ListBullet"/>
      </w:pPr>
      <w:r>
        <w:rPr>
          <w:rFonts w:ascii="Calibri" w:hAnsi="Calibri"/>
          <w:b w:val="0"/>
          <w:i w:val="0"/>
          <w:color w:val="222222"/>
          <w:sz w:val="21"/>
        </w:rPr>
        <w:t>Chương 5 xác định phạm vi dự án.</w:t>
      </w:r>
    </w:p>
    <w:p>
      <w:pPr>
        <w:pStyle w:val="ListBullet"/>
      </w:pPr>
      <w:r>
        <w:rPr>
          <w:rFonts w:ascii="Calibri" w:hAnsi="Calibri"/>
          <w:b w:val="0"/>
          <w:i w:val="0"/>
          <w:color w:val="222222"/>
          <w:sz w:val="21"/>
        </w:rPr>
        <w:t>Chương 6 phân tích các bên liên quan.</w:t>
      </w:r>
    </w:p>
    <w:p>
      <w:pPr>
        <w:pStyle w:val="ListBullet"/>
      </w:pPr>
      <w:r>
        <w:rPr>
          <w:rFonts w:ascii="Calibri" w:hAnsi="Calibri"/>
          <w:b w:val="0"/>
          <w:i w:val="0"/>
          <w:color w:val="222222"/>
          <w:sz w:val="21"/>
        </w:rPr>
        <w:t>Chương 7 trình bày giải pháp đề xuất ở mức tổng quan.</w:t>
      </w:r>
    </w:p>
    <w:p>
      <w:pPr>
        <w:pStyle w:val="ListBullet"/>
      </w:pPr>
      <w:r>
        <w:rPr>
          <w:rFonts w:ascii="Calibri" w:hAnsi="Calibri"/>
          <w:b w:val="0"/>
          <w:i w:val="0"/>
          <w:color w:val="222222"/>
          <w:sz w:val="21"/>
        </w:rPr>
        <w:t>Chương 8 liệt kê yêu cầu kinh doanh và quy tắc nghiệp vụ.</w:t>
      </w:r>
    </w:p>
    <w:p>
      <w:pPr>
        <w:pStyle w:val="ListBullet"/>
      </w:pPr>
      <w:r>
        <w:rPr>
          <w:rFonts w:ascii="Calibri" w:hAnsi="Calibri"/>
          <w:b w:val="0"/>
          <w:i w:val="0"/>
          <w:color w:val="222222"/>
          <w:sz w:val="21"/>
        </w:rPr>
        <w:t>Chương 9 phân tích tài chính.</w:t>
      </w:r>
    </w:p>
    <w:p>
      <w:pPr>
        <w:pStyle w:val="ListBullet"/>
      </w:pPr>
      <w:r>
        <w:rPr>
          <w:rFonts w:ascii="Calibri" w:hAnsi="Calibri"/>
          <w:b w:val="0"/>
          <w:i w:val="0"/>
          <w:color w:val="222222"/>
          <w:sz w:val="21"/>
        </w:rPr>
        <w:t>Chương 10 phân tích rủi ro.</w:t>
      </w:r>
    </w:p>
    <w:p>
      <w:pPr>
        <w:pStyle w:val="ListBullet"/>
      </w:pPr>
      <w:r>
        <w:rPr>
          <w:rFonts w:ascii="Calibri" w:hAnsi="Calibri"/>
          <w:b w:val="0"/>
          <w:i w:val="0"/>
          <w:color w:val="222222"/>
          <w:sz w:val="21"/>
        </w:rPr>
        <w:t>Chương 11 trình bày kế hoạch triển khai tổng quan.</w:t>
      </w:r>
    </w:p>
    <w:p>
      <w:pPr>
        <w:pStyle w:val="ListBullet"/>
      </w:pPr>
      <w:r>
        <w:rPr>
          <w:rFonts w:ascii="Calibri" w:hAnsi="Calibri"/>
          <w:b w:val="0"/>
          <w:i w:val="0"/>
          <w:color w:val="222222"/>
          <w:sz w:val="21"/>
        </w:rPr>
        <w:t>Chương 12 nêu tiêu chí nghiệm thu và quy trình phê duyệt.</w:t>
      </w:r>
    </w:p>
    <w:p>
      <w:pPr>
        <w:pStyle w:val="ListBullet"/>
      </w:pPr>
      <w:r>
        <w:rPr>
          <w:rFonts w:ascii="Calibri" w:hAnsi="Calibri"/>
          <w:b w:val="0"/>
          <w:i w:val="0"/>
          <w:color w:val="222222"/>
          <w:sz w:val="21"/>
        </w:rPr>
        <w:t>Phụ lục A là ma trận truy vết BO–BR; Phụ lục B liệt kê tài liệu bổ sung.</w:t>
      </w:r>
    </w:p>
    <w:p>
      <w:pPr>
        <w:pStyle w:val="Heading1"/>
      </w:pPr>
      <w:r>
        <w:rPr>
          <w:rFonts w:ascii="Calibri" w:hAnsi="Calibri"/>
          <w:b/>
          <w:i w:val="0"/>
          <w:color w:val="1B365D"/>
          <w:sz w:val="32"/>
        </w:rPr>
        <w:t>2. Tóm tắt điều hành</w:t>
      </w:r>
    </w:p>
    <w:p>
      <w:pPr>
        <w:spacing w:after="120"/>
      </w:pPr>
      <w:r>
        <w:rPr>
          <w:rFonts w:ascii="Calibri" w:hAnsi="Calibri"/>
          <w:b w:val="0"/>
          <w:i w:val="0"/>
          <w:color w:val="222222"/>
          <w:sz w:val="21"/>
        </w:rPr>
        <w:t>Cửa hàng BoardVerse hiện quản lý hoạt động mua bán và cho thuê board game hoàn toàn thủ công bằng sổ sách, Excel và Zalo, dẫn tới 5 vấn đề cốt lõi: thất lạc linh kiện (15% lượt trả/quý), nhầm lẫn tiền cọc (3 vụ khiếu nại/tháng), trùng lịch thuê, thời gian xử lý đơn chậm (15 phút/đơn) và thiếu số liệu báo cáo.</w:t>
      </w:r>
    </w:p>
    <w:p>
      <w:pPr>
        <w:spacing w:after="120"/>
      </w:pPr>
      <w:r>
        <w:rPr>
          <w:rFonts w:ascii="Calibri" w:hAnsi="Calibri"/>
          <w:b w:val="0"/>
          <w:i w:val="0"/>
          <w:color w:val="222222"/>
          <w:sz w:val="21"/>
        </w:rPr>
        <w:t>Dự án BoardVerse đề xuất xây dựng một hệ thống web hỗ trợ bán hàng, cho thuê board game và quản lý kho, giúp tự động hoá việc kiểm tra tồn kho, tính tiền cọc/tiền thuê/tiền phạt theo quy tắc nghiệp vụ chuẩn hoá, và cung cấp checklist kiểm đếm linh kiện điện tử.</w:t>
      </w:r>
    </w:p>
    <w:p>
      <w:pPr>
        <w:spacing w:after="120"/>
      </w:pPr>
      <w:r>
        <w:rPr>
          <w:rFonts w:ascii="Calibri" w:hAnsi="Calibri"/>
          <w:b w:val="0"/>
          <w:i w:val="0"/>
          <w:color w:val="222222"/>
          <w:sz w:val="21"/>
        </w:rPr>
        <w:t>Lợi ích kỳ vọng: giảm tỷ lệ thất lạc linh kiện xuống 5%, tăng tỷ trọng đơn thuê khách tự đặt trực tiếp trên website lên 90%, giảm thời gian xử lý đơn xuống 3 phút, tăng 20% doanh thu cho thuê trong 12 tháng và loại bỏ khiếu nại sai lệch cọc (chi tiết Chương 4). Tổng chi phí đầu tư ước tính 78.600.000 VNĐ, chi phí vận hành khoảng 10.200.000 VNĐ/năm, thời gian hoàn vốn dự kiến khoảng 12,8 tháng (chi tiết Chương 9).</w:t>
      </w:r>
    </w:p>
    <w:p>
      <w:pPr>
        <w:spacing w:after="120"/>
      </w:pPr>
      <w:r>
        <w:rPr>
          <w:rFonts w:ascii="Calibri" w:hAnsi="Calibri"/>
          <w:b w:val="0"/>
          <w:i w:val="0"/>
          <w:color w:val="222222"/>
          <w:sz w:val="21"/>
        </w:rPr>
        <w:t>Thời gian triển khai dự kiến tối đa 6 tháng kể từ khi BRD được phê duyệt. Tài liệu này đề nghị Chủ đầu tư phê duyệt phạm vi và ngân sách tại Chương 12 để nhóm dự án tiếp tục xây dựng Tài liệu đặc tả yêu cầu phần mềm (SRS).</w:t>
      </w:r>
    </w:p>
    <w:p>
      <w:pPr>
        <w:pStyle w:val="Heading1"/>
      </w:pPr>
      <w:r>
        <w:rPr>
          <w:rFonts w:ascii="Calibri" w:hAnsi="Calibri"/>
          <w:b/>
          <w:i w:val="0"/>
          <w:color w:val="1B365D"/>
          <w:sz w:val="32"/>
        </w:rPr>
        <w:t>3. Bối cảnh và cơ hội kinh doanh</w:t>
      </w:r>
    </w:p>
    <w:p>
      <w:pPr>
        <w:spacing w:after="120"/>
      </w:pPr>
      <w:r>
        <w:rPr>
          <w:rFonts w:ascii="Calibri" w:hAnsi="Calibri"/>
          <w:b w:val="0"/>
          <w:i w:val="0"/>
          <w:color w:val="222222"/>
          <w:sz w:val="21"/>
        </w:rPr>
        <w:t>Cửa hàng BoardVerse đang gặp nhiều vấn đề trong vận hành do phụ thuộc hoàn toàn vào quy trình thủ công: quy trình không đồng nhất, dữ liệu rời rạc, mất nhiều thời gian xử lý đơn và dễ xảy ra sai sót.</w:t>
      </w:r>
    </w:p>
    <w:p>
      <w:pPr>
        <w:pStyle w:val="Heading2"/>
      </w:pPr>
      <w:r>
        <w:rPr>
          <w:rFonts w:ascii="Calibri" w:hAnsi="Calibri"/>
          <w:b/>
          <w:i w:val="0"/>
          <w:color w:val="1B365D"/>
          <w:sz w:val="26"/>
        </w:rPr>
        <w:t>3.1. Tổng quan tổ chức và bối cảnh</w:t>
      </w:r>
    </w:p>
    <w:p>
      <w:pPr>
        <w:spacing w:after="120"/>
      </w:pPr>
      <w:r>
        <w:rPr>
          <w:rFonts w:ascii="Calibri" w:hAnsi="Calibri"/>
          <w:b w:val="0"/>
          <w:i w:val="0"/>
          <w:color w:val="222222"/>
          <w:sz w:val="21"/>
        </w:rPr>
        <w:t>BoardVerse là một cửa hàng giả định chuyên mua bán và cho thuê board game, hoạt động hoàn toàn trực tuyến (không có cửa hàng/quầy bán vật lý cho khách), hoạt động từ năm 2021. Cửa hàng chỉ có 1 kho hàng nội bộ tại Quận 1, TP. Hồ Chí Minh (chỉ nhân viên ra vào, không tiếp khách trực tiếp), khoảng 500 tựa board game trong kho (bao gồm cả bản bán và bản cho thuê), 7 nhân sự (5 nhân viên kho/xử lý đơn hàng, 1 nhân viên hỗ trợ khách hàng trực tuyến, 1 quản lý vận hành) và phục vụ trung bình 300 lượt khách thuê/tháng, 120 đơn bán/tháng, toàn bộ qua website. Mọi đơn hàng/đơn thuê được giao đi và lấy về đều qua đối tác giao vận bên thứ ba (giả định) ở cả hai chiều, cửa hàng không tự vận chuyển. Khách hàng chính là người chơi board game cá nhân, các nhóm/hội board game tổ chức sự kiện, và một số quán cà phê board game nhỏ thuê lại theo lô.</w:t>
      </w:r>
    </w:p>
    <w:p>
      <w:pPr>
        <w:pStyle w:val="Heading2"/>
      </w:pPr>
      <w:r>
        <w:rPr>
          <w:rFonts w:ascii="Calibri" w:hAnsi="Calibri"/>
          <w:b/>
          <w:i w:val="0"/>
          <w:color w:val="1B365D"/>
          <w:sz w:val="26"/>
        </w:rPr>
        <w:t>3.2. Vấn đề hoặc cơ hội kinh doanh</w:t>
      </w:r>
    </w:p>
    <w:p>
      <w:pPr>
        <w:spacing w:after="120"/>
      </w:pPr>
      <w:r>
        <w:rPr>
          <w:rFonts w:ascii="Calibri" w:hAnsi="Calibri"/>
          <w:b w:val="0"/>
          <w:i w:val="0"/>
          <w:color w:val="222222"/>
          <w:sz w:val="21"/>
        </w:rPr>
        <w:t>Do toàn bộ quy trình bán hàng, cho thuê và quản lý kho hiện dựa vào sổ sách, Excel và Zalo, nhân viên không có công cụ kiểm tra tồn kho theo thời gian thực và không có checklist kiểm đếm linh kiện chuẩn hoá. Hệ quả là trung bình 15% lượt trả hàng mỗi quý bị thiếu linh kiện, 3 vụ khiếu nại sai lệch tiền cọc mỗi tháng, và nhân viên mất khoảng 15 phút để xử lý một đơn thuê. Nếu không giải quyết, cửa hàng tiếp tục mất chi phí mua bổ sung linh kiện, giảm uy tín với khách hàng nhóm/sự kiện (vốn thuê số lượng lớn) và bỏ lỡ cơ hội mở rộng doanh thu qua kênh online.</w:t>
      </w:r>
    </w:p>
    <w:p>
      <w:pPr>
        <w:pStyle w:val="Heading2"/>
      </w:pPr>
      <w:r>
        <w:rPr>
          <w:rFonts w:ascii="Calibri" w:hAnsi="Calibri"/>
          <w:b/>
          <w:i w:val="0"/>
          <w:color w:val="1B365D"/>
          <w:sz w:val="26"/>
        </w:rPr>
        <w:t>3.3. Hiện trạng quy trình (As-Is)</w:t>
      </w:r>
    </w:p>
    <w:p>
      <w:pPr>
        <w:spacing w:after="120"/>
      </w:pPr>
      <w:r>
        <w:rPr>
          <w:rFonts w:ascii="Calibri" w:hAnsi="Calibri"/>
          <w:b w:val="0"/>
          <w:i w:val="0"/>
          <w:color w:val="222222"/>
          <w:sz w:val="21"/>
        </w:rPr>
        <w:t>Quy trình thuê/trả board game hiện tại gồm các bước thủ công từ lúc khách hỏi tình trạng sản phẩm đến lúc hoàn cọc; toàn bộ giao dịch diễn ra qua điện thoại/Zalo và giao nhận tại nhà khách (cửa hàng không có quầy tiếp khách trực tiếp), được mô tả tại Hình 3.1 (mã PlantUML, tác giả tự vẽ lại bằng draw.io).</w:t>
      </w:r>
    </w:p>
    <w:p>
      <w:pPr>
        <w:shd w:val="clear" w:color="auto" w:fill="F3F4F6"/>
        <w:spacing w:after="40"/>
      </w:pPr>
      <w:r>
        <w:rPr>
          <w:rFonts w:ascii="Consolas" w:hAnsi="Consolas"/>
          <w:b w:val="0"/>
          <w:i w:val="0"/>
          <w:color w:val="1B1B1B"/>
          <w:sz w:val="19"/>
        </w:rPr>
        <w:t>@startuml</w:t>
        <w:br/>
      </w:r>
      <w:r>
        <w:rPr>
          <w:rFonts w:ascii="Consolas" w:hAnsi="Consolas"/>
          <w:b w:val="0"/>
          <w:i w:val="0"/>
          <w:color w:val="1B1B1B"/>
          <w:sz w:val="19"/>
        </w:rPr>
        <w:t>start</w:t>
        <w:br/>
      </w:r>
      <w:r>
        <w:rPr>
          <w:rFonts w:ascii="Consolas" w:hAnsi="Consolas"/>
          <w:b w:val="0"/>
          <w:i w:val="0"/>
          <w:color w:val="1B1B1B"/>
          <w:sz w:val="19"/>
        </w:rPr>
        <w:t>:Khách hỏi tình trạng game qua điện thoại/Zalo;</w:t>
        <w:br/>
      </w:r>
      <w:r>
        <w:rPr>
          <w:rFonts w:ascii="Consolas" w:hAnsi="Consolas"/>
          <w:b w:val="0"/>
          <w:i w:val="0"/>
          <w:color w:val="1B1B1B"/>
          <w:sz w:val="19"/>
        </w:rPr>
        <w:t>:Nhân viên tra sổ/Excel thủ công để kiểm tra tồn kho;</w:t>
        <w:br/>
      </w:r>
      <w:r>
        <w:rPr>
          <w:rFonts w:ascii="Consolas" w:hAnsi="Consolas"/>
          <w:b w:val="0"/>
          <w:i w:val="0"/>
          <w:color w:val="1B1B1B"/>
          <w:sz w:val="19"/>
        </w:rPr>
        <w:t>if (Còn hàng đúng ngày khách cần?) then (Không)</w:t>
        <w:br/>
      </w:r>
      <w:r>
        <w:rPr>
          <w:rFonts w:ascii="Consolas" w:hAnsi="Consolas"/>
          <w:b w:val="0"/>
          <w:i w:val="0"/>
          <w:color w:val="1B1B1B"/>
          <w:sz w:val="19"/>
        </w:rPr>
        <w:t xml:space="preserve">  :Báo khách hết hàng / hẹn lại;</w:t>
        <w:br/>
      </w:r>
      <w:r>
        <w:rPr>
          <w:rFonts w:ascii="Consolas" w:hAnsi="Consolas"/>
          <w:b w:val="0"/>
          <w:i w:val="0"/>
          <w:color w:val="1B1B1B"/>
          <w:sz w:val="19"/>
        </w:rPr>
        <w:t xml:space="preserve">  stop</w:t>
        <w:br/>
      </w:r>
      <w:r>
        <w:rPr>
          <w:rFonts w:ascii="Consolas" w:hAnsi="Consolas"/>
          <w:b w:val="0"/>
          <w:i w:val="0"/>
          <w:color w:val="1B1B1B"/>
          <w:sz w:val="19"/>
        </w:rPr>
        <w:t>else (Có)</w:t>
        <w:br/>
      </w:r>
      <w:r>
        <w:rPr>
          <w:rFonts w:ascii="Consolas" w:hAnsi="Consolas"/>
          <w:b w:val="0"/>
          <w:i w:val="0"/>
          <w:color w:val="1B1B1B"/>
          <w:sz w:val="19"/>
        </w:rPr>
        <w:t xml:space="preserve">  :Nhân viên ghi tay thông tin thuê, hẹn người quen/xe ôm mang game đến giao cho khách;</w:t>
        <w:br/>
      </w:r>
      <w:r>
        <w:rPr>
          <w:rFonts w:ascii="Consolas" w:hAnsi="Consolas"/>
          <w:b w:val="0"/>
          <w:i w:val="0"/>
          <w:color w:val="1B1B1B"/>
          <w:sz w:val="19"/>
        </w:rPr>
        <w:t>endif</w:t>
        <w:br/>
      </w:r>
      <w:r>
        <w:rPr>
          <w:rFonts w:ascii="Consolas" w:hAnsi="Consolas"/>
          <w:b w:val="0"/>
          <w:i w:val="0"/>
          <w:color w:val="1B1B1B"/>
          <w:sz w:val="19"/>
        </w:rPr>
        <w:t>:Khách chuyển khoản/đưa tiền mặt cọc cho người giao hàng, không có mã tra cứu;</w:t>
        <w:br/>
      </w:r>
      <w:r>
        <w:rPr>
          <w:rFonts w:ascii="Consolas" w:hAnsi="Consolas"/>
          <w:b w:val="0"/>
          <w:i w:val="0"/>
          <w:color w:val="1B1B1B"/>
          <w:sz w:val="19"/>
        </w:rPr>
        <w:t>:Nhân viên ghi tay thông tin thuê và số cọc vào sổ;</w:t>
        <w:br/>
      </w:r>
      <w:r>
        <w:rPr>
          <w:rFonts w:ascii="Consolas" w:hAnsi="Consolas"/>
          <w:b w:val="0"/>
          <w:i w:val="0"/>
          <w:color w:val="1B1B1B"/>
          <w:sz w:val="19"/>
        </w:rPr>
        <w:t>:Khách sử dụng game tại nhà;</w:t>
        <w:br/>
      </w:r>
      <w:r>
        <w:rPr>
          <w:rFonts w:ascii="Consolas" w:hAnsi="Consolas"/>
          <w:b w:val="0"/>
          <w:i w:val="0"/>
          <w:color w:val="1B1B1B"/>
          <w:sz w:val="19"/>
        </w:rPr>
        <w:t>:Đến hạn, nhân viên hẹn người mang đi lấy lại game đúng/trễ hạn;</w:t>
        <w:br/>
      </w:r>
      <w:r>
        <w:rPr>
          <w:rFonts w:ascii="Consolas" w:hAnsi="Consolas"/>
          <w:b w:val="0"/>
          <w:i w:val="0"/>
          <w:color w:val="1B1B1B"/>
          <w:sz w:val="19"/>
        </w:rPr>
        <w:t>:Nhân viên kiểm đếm linh kiện bằng mắt, không checklist;</w:t>
        <w:br/>
      </w:r>
      <w:r>
        <w:rPr>
          <w:rFonts w:ascii="Consolas" w:hAnsi="Consolas"/>
          <w:b w:val="0"/>
          <w:i w:val="0"/>
          <w:color w:val="1B1B1B"/>
          <w:sz w:val="19"/>
        </w:rPr>
        <w:t>if (Đủ linh kiện, đúng hạn?) then (Không)</w:t>
        <w:br/>
      </w:r>
      <w:r>
        <w:rPr>
          <w:rFonts w:ascii="Consolas" w:hAnsi="Consolas"/>
          <w:b w:val="0"/>
          <w:i w:val="0"/>
          <w:color w:val="1B1B1B"/>
          <w:sz w:val="19"/>
        </w:rPr>
        <w:t xml:space="preserve">  :Ghi biên bản đền bù / phạt trễ hạn bằng tay;</w:t>
        <w:br/>
      </w:r>
      <w:r>
        <w:rPr>
          <w:rFonts w:ascii="Consolas" w:hAnsi="Consolas"/>
          <w:b w:val="0"/>
          <w:i w:val="0"/>
          <w:color w:val="1B1B1B"/>
          <w:sz w:val="19"/>
        </w:rPr>
        <w:t>else (Có / sau khi đền bù)</w:t>
        <w:br/>
      </w:r>
      <w:r>
        <w:rPr>
          <w:rFonts w:ascii="Consolas" w:hAnsi="Consolas"/>
          <w:b w:val="0"/>
          <w:i w:val="0"/>
          <w:color w:val="1B1B1B"/>
          <w:sz w:val="19"/>
        </w:rPr>
        <w:t>endif</w:t>
        <w:br/>
      </w:r>
      <w:r>
        <w:rPr>
          <w:rFonts w:ascii="Consolas" w:hAnsi="Consolas"/>
          <w:b w:val="0"/>
          <w:i w:val="0"/>
          <w:color w:val="1B1B1B"/>
          <w:sz w:val="19"/>
        </w:rPr>
        <w:t>:Hoàn cọc còn lại bằng chuyển khoản/tiền mặt, không có phiếu xác nhận;</w:t>
        <w:br/>
      </w:r>
      <w:r>
        <w:rPr>
          <w:rFonts w:ascii="Consolas" w:hAnsi="Consolas"/>
          <w:b w:val="0"/>
          <w:i w:val="0"/>
          <w:color w:val="1B1B1B"/>
          <w:sz w:val="19"/>
        </w:rPr>
        <w:t>stop</w:t>
        <w:br/>
      </w:r>
      <w:r>
        <w:rPr>
          <w:rFonts w:ascii="Consolas" w:hAnsi="Consolas"/>
          <w:b w:val="0"/>
          <w:i w:val="0"/>
          <w:color w:val="1B1B1B"/>
          <w:sz w:val="19"/>
        </w:rPr>
        <w:t>@enduml</w:t>
      </w:r>
    </w:p>
    <w:p/>
    <w:p>
      <w:pPr>
        <w:spacing w:after="240"/>
        <w:jc w:val="center"/>
      </w:pPr>
      <w:r>
        <w:rPr>
          <w:rFonts w:ascii="Calibri" w:hAnsi="Calibri"/>
          <w:b/>
          <w:i/>
          <w:color w:val="444444"/>
          <w:sz w:val="19"/>
        </w:rPr>
        <w:t>Hình 3.1 – Quy trình thuê/trả board game hiện tại (As-Is)</w:t>
      </w:r>
    </w:p>
    <w:p>
      <w:pPr>
        <w:spacing w:after="120"/>
      </w:pPr>
      <w:r>
        <w:rPr>
          <w:rFonts w:ascii="Calibri" w:hAnsi="Calibri"/>
          <w:b/>
          <w:i w:val="0"/>
          <w:color w:val="222222"/>
          <w:sz w:val="21"/>
        </w:rPr>
        <w:t>Tổng hợp các điểm đau (pain points) ghi nhận được từ quy trình As-Is:</w:t>
      </w:r>
    </w:p>
    <w:tbl>
      <w:tblPr>
        <w:tblStyle w:val="TableGrid"/>
        <w:tblW w:type="auto" w:w="0"/>
        <w:jc w:val="center"/>
        <w:tblLayout w:type="fixed"/>
        <w:tblLook w:firstColumn="1" w:firstRow="1" w:lastColumn="0" w:lastRow="0" w:noHBand="0" w:noVBand="1" w:val="04A0"/>
      </w:tblPr>
      <w:tblGrid>
        <w:gridCol w:w="1020"/>
        <w:gridCol w:w="2835"/>
        <w:gridCol w:w="4252"/>
        <w:gridCol w:w="1247"/>
      </w:tblGrid>
      <w:tr>
        <w:tc>
          <w:tcPr>
            <w:tcW w:type="dxa" w:w="1020"/>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Mã</w:t>
            </w:r>
          </w:p>
        </w:tc>
        <w:tc>
          <w:tcPr>
            <w:tcW w:type="dxa" w:w="2835"/>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Điểm đau</w:t>
            </w:r>
          </w:p>
        </w:tc>
        <w:tc>
          <w:tcPr>
            <w:tcW w:type="dxa" w:w="4252"/>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Mô tả</w:t>
            </w:r>
          </w:p>
        </w:tc>
        <w:tc>
          <w:tcPr>
            <w:tcW w:type="dxa" w:w="1247"/>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Mức ảnh hưởng</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PP-01</w:t>
            </w:r>
          </w:p>
        </w:tc>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Thất lạc linh kiện trong board game cho thuê</w:t>
            </w:r>
          </w:p>
        </w:tc>
        <w:tc>
          <w:tcPr>
            <w:tcW w:type="dxa" w:w="425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Khoảng 15% lượt trả hàng/quý bị thiếu ít nhất 1 linh kiện; nhân viên kiểm đếm bằng mắt, không có checklist chuẩn.</w:t>
            </w:r>
          </w:p>
        </w:tc>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Cao</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PP-02</w:t>
            </w:r>
          </w:p>
        </w:tc>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Nhầm lẫn/thất thoát tiền đặt cọc</w:t>
            </w:r>
          </w:p>
        </w:tc>
        <w:tc>
          <w:tcPr>
            <w:tcW w:type="dxa" w:w="425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Cọc được ghi tay vào sổ hoặc nhắn Zalo, không có mã tra cứu; trung bình 3 vụ khiếu nại/tháng về số tiền cọc không khớp.</w:t>
            </w:r>
          </w:p>
        </w:tc>
        <w:tc>
          <w:tcPr>
            <w:tcW w:type="dxa" w:w="124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Cao</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PP-03</w:t>
            </w:r>
          </w:p>
        </w:tc>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Trùng lịch thuê do không kiểm tra tồn kho theo thời gian thực</w:t>
            </w:r>
          </w:p>
        </w:tc>
        <w:tc>
          <w:tcPr>
            <w:tcW w:type="dxa" w:w="425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Nhân viên xử lý đơn không biết sản phẩm đã được giữ chỗ bởi đơn khác, dẫn đến hẹn khách rồi huỷ, trung bình 5 lượt/tháng.</w:t>
            </w:r>
          </w:p>
        </w:tc>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Trung</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PP-04</w:t>
            </w:r>
          </w:p>
        </w:tc>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Thời gian xử lý 1 đơn thuê kéo dài</w:t>
            </w:r>
          </w:p>
        </w:tc>
        <w:tc>
          <w:tcPr>
            <w:tcW w:type="dxa" w:w="425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Từ lúc khách chọn game đến lúc xác nhận, lập phiếu, tính tiền mất khoảng 15 phút vì phải tra giá, tính lũy tiến bằng tay.</w:t>
            </w:r>
          </w:p>
        </w:tc>
        <w:tc>
          <w:tcPr>
            <w:tcW w:type="dxa" w:w="124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Trung</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PP-05</w:t>
            </w:r>
          </w:p>
        </w:tc>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Không có dữ liệu tổng hợp để báo cáo</w:t>
            </w:r>
          </w:p>
        </w:tc>
        <w:tc>
          <w:tcPr>
            <w:tcW w:type="dxa" w:w="425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Doanh thu bán/thuê theo tháng phải cộng tay từ nhiều sổ Excel rời rạc, dễ sai sót, mất 1-2 ngày cuối tháng.</w:t>
            </w:r>
          </w:p>
        </w:tc>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Thấp</w:t>
            </w:r>
          </w:p>
        </w:tc>
      </w:tr>
    </w:tbl>
    <w:p/>
    <w:p>
      <w:pPr>
        <w:pStyle w:val="Heading2"/>
      </w:pPr>
      <w:r>
        <w:rPr>
          <w:rFonts w:ascii="Calibri" w:hAnsi="Calibri"/>
          <w:b/>
          <w:i w:val="0"/>
          <w:color w:val="1B365D"/>
          <w:sz w:val="26"/>
        </w:rPr>
        <w:t>3.4. Phân tích nguyên nhân gốc</w:t>
      </w:r>
    </w:p>
    <w:p>
      <w:pPr>
        <w:spacing w:after="120"/>
      </w:pPr>
      <w:r>
        <w:rPr>
          <w:rFonts w:ascii="Calibri" w:hAnsi="Calibri"/>
          <w:b w:val="0"/>
          <w:i w:val="0"/>
          <w:color w:val="222222"/>
          <w:sz w:val="21"/>
        </w:rPr>
        <w:t>Áp dụng sơ đồ xương cá (Fishbone) để phân tích nguyên nhân gốc của nhóm vấn đề "thất lạc linh kiện &amp; nhầm lẫn tiền cọc" (Hình 3.2):</w:t>
      </w:r>
    </w:p>
    <w:p>
      <w:pPr>
        <w:jc w:val="center"/>
      </w:pPr>
      <w:r>
        <w:drawing>
          <wp:inline xmlns:a="http://schemas.openxmlformats.org/drawingml/2006/main" xmlns:pic="http://schemas.openxmlformats.org/drawingml/2006/picture">
            <wp:extent cx="5400000" cy="2749091"/>
            <wp:docPr id="1" name="Picture 1"/>
            <wp:cNvGraphicFramePr>
              <a:graphicFrameLocks noChangeAspect="1"/>
            </wp:cNvGraphicFramePr>
            <a:graphic>
              <a:graphicData uri="http://schemas.openxmlformats.org/drawingml/2006/picture">
                <pic:pic>
                  <pic:nvPicPr>
                    <pic:cNvPr id="0" name="brd_3_4_fishbone.png"/>
                    <pic:cNvPicPr/>
                  </pic:nvPicPr>
                  <pic:blipFill>
                    <a:blip r:embed="rId9"/>
                    <a:stretch>
                      <a:fillRect/>
                    </a:stretch>
                  </pic:blipFill>
                  <pic:spPr>
                    <a:xfrm>
                      <a:off x="0" y="0"/>
                      <a:ext cx="5400000" cy="2749091"/>
                    </a:xfrm>
                    <a:prstGeom prst="rect"/>
                  </pic:spPr>
                </pic:pic>
              </a:graphicData>
            </a:graphic>
          </wp:inline>
        </w:drawing>
      </w:r>
    </w:p>
    <w:p>
      <w:pPr>
        <w:spacing w:after="240"/>
        <w:jc w:val="center"/>
      </w:pPr>
      <w:r>
        <w:rPr>
          <w:rFonts w:ascii="Calibri" w:hAnsi="Calibri"/>
          <w:b/>
          <w:i/>
          <w:color w:val="444444"/>
          <w:sz w:val="19"/>
        </w:rPr>
        <w:t>Hình 3.2 – Sơ đồ xương cá nguyên nhân gốc</w:t>
      </w:r>
    </w:p>
    <w:p>
      <w:pPr>
        <w:spacing w:after="120"/>
      </w:pPr>
      <w:r>
        <w:rPr>
          <w:rFonts w:ascii="Calibri" w:hAnsi="Calibri"/>
          <w:b w:val="0"/>
          <w:i w:val="0"/>
          <w:color w:val="222222"/>
          <w:sz w:val="21"/>
        </w:rPr>
        <w:t>Kết luận: nguyên nhân gốc tập trung ở việc thiếu công cụ số hoá (checklist điện tử, kiểm tra trùng lịch tự động, mã tra cứu cọc) chứ không phải do năng lực nhân viên; do đó giải pháp công nghệ ở Chương 7 có thể giải quyết trực tiếp phần lớn nguyên nhân này.</w:t>
      </w:r>
    </w:p>
    <w:p>
      <w:pPr>
        <w:pStyle w:val="Heading2"/>
      </w:pPr>
      <w:r>
        <w:rPr>
          <w:rFonts w:ascii="Calibri" w:hAnsi="Calibri"/>
          <w:b/>
          <w:i w:val="0"/>
          <w:color w:val="1B365D"/>
          <w:sz w:val="26"/>
        </w:rPr>
        <w:t>3.5. Đối thủ và thực tiễn tham chiếu (nếu có)</w:t>
      </w:r>
    </w:p>
    <w:tbl>
      <w:tblPr>
        <w:tblStyle w:val="TableGrid"/>
        <w:tblW w:type="auto" w:w="0"/>
        <w:jc w:val="center"/>
        <w:tblLayout w:type="fixed"/>
        <w:tblLook w:firstColumn="1" w:firstRow="1" w:lastColumn="0" w:lastRow="0" w:noHBand="0" w:noVBand="1" w:val="04A0"/>
      </w:tblPr>
      <w:tblGrid>
        <w:gridCol w:w="2551"/>
        <w:gridCol w:w="3969"/>
        <w:gridCol w:w="2551"/>
      </w:tblGrid>
      <w:tr>
        <w:tc>
          <w:tcPr>
            <w:tcW w:type="dxa" w:w="255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Đơn vị tham chiếu (giả định)</w:t>
            </w:r>
          </w:p>
        </w:tc>
        <w:tc>
          <w:tcPr>
            <w:tcW w:type="dxa" w:w="3969"/>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Cách giải quyết vấn đề tương tự</w:t>
            </w:r>
          </w:p>
        </w:tc>
        <w:tc>
          <w:tcPr>
            <w:tcW w:type="dxa" w:w="255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Nhận xét</w:t>
            </w:r>
          </w:p>
        </w:tc>
      </w:tr>
      <w:tr>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Chuỗi cho thuê board game X (TP.HCM)</w:t>
            </w:r>
          </w:p>
        </w:tc>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Dùng phần mềm quản lý thuê có sẵn, tính tiền tự động, quét mã QR kiểm kê.</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Giảm sai sót kiểm đếm nhưng chi phí thuê bao phần mềm cao, không tuỳ biến quy tắc giá riêng.</w:t>
            </w:r>
          </w:p>
        </w:tc>
      </w:tr>
      <w:tr>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Quán cà phê board game Y</w:t>
            </w:r>
          </w:p>
        </w:tc>
        <w:tc>
          <w:tcPr>
            <w:tcW w:type="dxa" w:w="396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Vẫn quản lý thủ công bằng sổ nhưng giới hạn số lượng game cho thuê để dễ kiểm soát.</w:t>
            </w:r>
          </w:p>
        </w:tc>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Không phù hợp khi mở rộng quy mô như BoardVerse.</w:t>
            </w:r>
          </w:p>
        </w:tc>
      </w:tr>
    </w:tbl>
    <w:p/>
    <w:p>
      <w:pPr>
        <w:pStyle w:val="Heading1"/>
      </w:pPr>
      <w:r>
        <w:rPr>
          <w:rFonts w:ascii="Calibri" w:hAnsi="Calibri"/>
          <w:b/>
          <w:i w:val="0"/>
          <w:color w:val="1B365D"/>
          <w:sz w:val="32"/>
        </w:rPr>
        <w:t>4. Mục tiêu kinh doanh và tiêu chí thành công</w:t>
      </w:r>
    </w:p>
    <w:p>
      <w:pPr>
        <w:spacing w:after="120"/>
      </w:pPr>
      <w:r>
        <w:rPr>
          <w:rFonts w:ascii="Calibri" w:hAnsi="Calibri"/>
          <w:b w:val="0"/>
          <w:i w:val="0"/>
          <w:color w:val="222222"/>
          <w:sz w:val="21"/>
        </w:rPr>
        <w:t>Mọi mục tiêu dưới đây đều đo được và sẽ được dùng làm căn cứ nghiệm thu dự án tại Chương 12.</w:t>
      </w:r>
    </w:p>
    <w:p>
      <w:pPr>
        <w:pStyle w:val="Heading2"/>
      </w:pPr>
      <w:r>
        <w:rPr>
          <w:rFonts w:ascii="Calibri" w:hAnsi="Calibri"/>
          <w:b/>
          <w:i w:val="0"/>
          <w:color w:val="1B365D"/>
          <w:sz w:val="26"/>
        </w:rPr>
        <w:t>4.1. Mục tiêu kinh doanh</w:t>
      </w:r>
    </w:p>
    <w:tbl>
      <w:tblPr>
        <w:tblStyle w:val="TableGrid"/>
        <w:tblW w:type="auto" w:w="0"/>
        <w:jc w:val="center"/>
        <w:tblLayout w:type="fixed"/>
        <w:tblLook w:firstColumn="1" w:firstRow="1" w:lastColumn="0" w:lastRow="0" w:noHBand="0" w:noVBand="1" w:val="04A0"/>
      </w:tblPr>
      <w:tblGrid>
        <w:gridCol w:w="1020"/>
        <w:gridCol w:w="6520"/>
        <w:gridCol w:w="1531"/>
      </w:tblGrid>
      <w:tr>
        <w:tc>
          <w:tcPr>
            <w:tcW w:type="dxa" w:w="1020"/>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Mã</w:t>
            </w:r>
          </w:p>
        </w:tc>
        <w:tc>
          <w:tcPr>
            <w:tcW w:type="dxa" w:w="6520"/>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Mục tiêu (SMART)</w:t>
            </w:r>
          </w:p>
        </w:tc>
        <w:tc>
          <w:tcPr>
            <w:tcW w:type="dxa" w:w="153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Pain point liên quan</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BO-01</w:t>
            </w:r>
          </w:p>
        </w:tc>
        <w:tc>
          <w:tcPr>
            <w:tcW w:type="dxa" w:w="65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Giảm tỷ lệ thất lạc/hư hỏng linh kiện khi trả hàng từ 15% xuống còn 5% số lượt trả, trong vòng 6 tháng kể từ ngày hệ thống go-live.</w:t>
            </w:r>
          </w:p>
        </w:tc>
        <w:tc>
          <w:tcPr>
            <w:tcW w:type="dxa" w:w="153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PP-01</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BO-02</w:t>
            </w:r>
          </w:p>
        </w:tc>
        <w:tc>
          <w:tcPr>
            <w:tcW w:type="dxa" w:w="65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Tăng tỷ trọng đơn thuê khách tự đặt trực tiếp trên website (không cần nhân viên ghi nhận hộ qua điện thoại/Zalo) từ 0% lên 90% tổng số đơn thuê, trong vòng 6 tháng kể từ go-live.</w:t>
            </w:r>
          </w:p>
        </w:tc>
        <w:tc>
          <w:tcPr>
            <w:tcW w:type="dxa" w:w="153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PP-03, PP-04</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BO-03</w:t>
            </w:r>
          </w:p>
        </w:tc>
        <w:tc>
          <w:tcPr>
            <w:tcW w:type="dxa" w:w="65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Giảm thời gian xử lý trung bình 1 đơn thuê (từ lúc khách đặt đến lúc nhân viên xác nhận) từ 15 phút xuống còn 3 phút, trong vòng 3 tháng kể từ go-live.</w:t>
            </w:r>
          </w:p>
        </w:tc>
        <w:tc>
          <w:tcPr>
            <w:tcW w:type="dxa" w:w="153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PP-04</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BO-04</w:t>
            </w:r>
          </w:p>
        </w:tc>
        <w:tc>
          <w:tcPr>
            <w:tcW w:type="dxa" w:w="65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Tăng doanh thu cho thuê 20% so với cùng kỳ năm trước, trong vòng 12 tháng kể từ go-live, nhờ tự động hoá quy trình đặt thuê và mở rộng phạm vi giao vận ra ngoài bán kính 20km.</w:t>
            </w:r>
          </w:p>
        </w:tc>
        <w:tc>
          <w:tcPr>
            <w:tcW w:type="dxa" w:w="153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PP-04, PP-05</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BO-05</w:t>
            </w:r>
          </w:p>
        </w:tc>
        <w:tc>
          <w:tcPr>
            <w:tcW w:type="dxa" w:w="65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Giảm số vụ khiếu nại sai lệch tiền đặt cọc xuống 0 vụ/tháng, trong vòng 3 tháng kể từ go-live.</w:t>
            </w:r>
          </w:p>
        </w:tc>
        <w:tc>
          <w:tcPr>
            <w:tcW w:type="dxa" w:w="153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PP-02</w:t>
            </w:r>
          </w:p>
        </w:tc>
      </w:tr>
    </w:tbl>
    <w:p/>
    <w:p>
      <w:pPr>
        <w:pStyle w:val="Heading2"/>
      </w:pPr>
      <w:r>
        <w:rPr>
          <w:rFonts w:ascii="Calibri" w:hAnsi="Calibri"/>
          <w:b/>
          <w:i w:val="0"/>
          <w:color w:val="1B365D"/>
          <w:sz w:val="26"/>
        </w:rPr>
        <w:t>4.2. Chỉ số đo lường (KPI)</w:t>
      </w:r>
    </w:p>
    <w:tbl>
      <w:tblPr>
        <w:tblStyle w:val="TableGrid"/>
        <w:tblW w:type="auto" w:w="0"/>
        <w:jc w:val="center"/>
        <w:tblLayout w:type="fixed"/>
        <w:tblLook w:firstColumn="1" w:firstRow="1" w:lastColumn="0" w:lastRow="0" w:noHBand="0" w:noVBand="1" w:val="04A0"/>
      </w:tblPr>
      <w:tblGrid>
        <w:gridCol w:w="1020"/>
        <w:gridCol w:w="2551"/>
        <w:gridCol w:w="1417"/>
        <w:gridCol w:w="1417"/>
        <w:gridCol w:w="2268"/>
        <w:gridCol w:w="964"/>
      </w:tblGrid>
      <w:tr>
        <w:tc>
          <w:tcPr>
            <w:tcW w:type="dxa" w:w="1020"/>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BO liên quan</w:t>
            </w:r>
          </w:p>
        </w:tc>
        <w:tc>
          <w:tcPr>
            <w:tcW w:type="dxa" w:w="255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Chỉ số KPI</w:t>
            </w:r>
          </w:p>
        </w:tc>
        <w:tc>
          <w:tcPr>
            <w:tcW w:type="dxa" w:w="1417"/>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Baseline</w:t>
            </w:r>
          </w:p>
        </w:tc>
        <w:tc>
          <w:tcPr>
            <w:tcW w:type="dxa" w:w="1417"/>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Mục tiêu</w:t>
            </w:r>
          </w:p>
        </w:tc>
        <w:tc>
          <w:tcPr>
            <w:tcW w:type="dxa" w:w="2268"/>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Cách đo</w:t>
            </w:r>
          </w:p>
        </w:tc>
        <w:tc>
          <w:tcPr>
            <w:tcW w:type="dxa" w:w="96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Tần suất</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BO-01</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Tỷ lệ lượt trả hàng bị thiếu/hư hỏng linh kiện</w:t>
            </w:r>
          </w:p>
        </w:tc>
        <w:tc>
          <w:tcPr>
            <w:tcW w:type="dxa" w:w="141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15%</w:t>
            </w:r>
          </w:p>
        </w:tc>
        <w:tc>
          <w:tcPr>
            <w:tcW w:type="dxa" w:w="141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 5%</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Số lượt trả thiếu/hư hỏng ÷ tổng lượt trả, theo checklist kiểm đếm trong hệ thống</w:t>
            </w:r>
          </w:p>
        </w:tc>
        <w:tc>
          <w:tcPr>
            <w:tcW w:type="dxa" w:w="96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Theo tháng</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BO-02</w:t>
            </w:r>
          </w:p>
        </w:tc>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Tỷ trọng đơn thuê khách tự đặt trực tiếp trên website</w:t>
            </w:r>
          </w:p>
        </w:tc>
        <w:tc>
          <w:tcPr>
            <w:tcW w:type="dxa" w:w="141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0%</w:t>
            </w:r>
          </w:p>
        </w:tc>
        <w:tc>
          <w:tcPr>
            <w:tcW w:type="dxa" w:w="141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 90%</w:t>
            </w:r>
          </w:p>
        </w:tc>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Số đơn thuê khách tự tạo trên website ÷ tổng số đơn thuê (phần còn lại do nhân viên hỗ trợ trực tuyến tạo hộ qua điện thoại/chat)</w:t>
            </w:r>
          </w:p>
        </w:tc>
        <w:tc>
          <w:tcPr>
            <w:tcW w:type="dxa" w:w="96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Theo tháng</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BO-03</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Thời gian xử lý trung bình 1 đơn thuê</w:t>
            </w:r>
          </w:p>
        </w:tc>
        <w:tc>
          <w:tcPr>
            <w:tcW w:type="dxa" w:w="141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15 phút</w:t>
            </w:r>
          </w:p>
        </w:tc>
        <w:tc>
          <w:tcPr>
            <w:tcW w:type="dxa" w:w="141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 3 phút</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Thời điểm nhân viên xác nhận đơn trừ thời điểm khách tạo đơn trên hệ thống</w:t>
            </w:r>
          </w:p>
        </w:tc>
        <w:tc>
          <w:tcPr>
            <w:tcW w:type="dxa" w:w="96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Theo tuần</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BO-04</w:t>
            </w:r>
          </w:p>
        </w:tc>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Doanh thu cho thuê theo tháng</w:t>
            </w:r>
          </w:p>
        </w:tc>
        <w:tc>
          <w:tcPr>
            <w:tcW w:type="dxa" w:w="141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Mức nền năm trước (baseline nội bộ)</w:t>
            </w:r>
          </w:p>
        </w:tc>
        <w:tc>
          <w:tcPr>
            <w:tcW w:type="dxa" w:w="141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+20% so với cùng kỳ</w:t>
            </w:r>
          </w:p>
        </w:tc>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Tổng tiền thuê đã thu trừ hoàn cọc, trích từ báo cáo hệ thống</w:t>
            </w:r>
          </w:p>
        </w:tc>
        <w:tc>
          <w:tcPr>
            <w:tcW w:type="dxa" w:w="96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Theo tháng</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BO-05</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Số vụ khiếu nại sai lệch tiền cọc</w:t>
            </w:r>
          </w:p>
        </w:tc>
        <w:tc>
          <w:tcPr>
            <w:tcW w:type="dxa" w:w="141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3 vụ/tháng</w:t>
            </w:r>
          </w:p>
        </w:tc>
        <w:tc>
          <w:tcPr>
            <w:tcW w:type="dxa" w:w="141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0 vụ/tháng</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Số phiếu khiếu nại liên quan đến cọc được ghi nhận trong hệ thống</w:t>
            </w:r>
          </w:p>
        </w:tc>
        <w:tc>
          <w:tcPr>
            <w:tcW w:type="dxa" w:w="96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Theo tháng</w:t>
            </w:r>
          </w:p>
        </w:tc>
      </w:tr>
    </w:tbl>
    <w:p/>
    <w:p>
      <w:pPr>
        <w:pStyle w:val="Heading2"/>
      </w:pPr>
      <w:r>
        <w:rPr>
          <w:rFonts w:ascii="Calibri" w:hAnsi="Calibri"/>
          <w:b/>
          <w:i w:val="0"/>
          <w:color w:val="1B365D"/>
          <w:sz w:val="26"/>
        </w:rPr>
        <w:t>4.3. Tiêu chí thành công</w:t>
      </w:r>
    </w:p>
    <w:p>
      <w:pPr>
        <w:spacing w:after="120"/>
      </w:pPr>
      <w:r>
        <w:rPr>
          <w:rFonts w:ascii="Calibri" w:hAnsi="Calibri"/>
          <w:b/>
          <w:i w:val="0"/>
          <w:color w:val="222222"/>
          <w:sz w:val="21"/>
        </w:rPr>
        <w:t>Thành công của dự án:</w:t>
      </w:r>
    </w:p>
    <w:p>
      <w:pPr>
        <w:pStyle w:val="ListBullet"/>
      </w:pPr>
      <w:r>
        <w:rPr>
          <w:rFonts w:ascii="Calibri" w:hAnsi="Calibri"/>
          <w:b w:val="0"/>
          <w:i w:val="0"/>
          <w:color w:val="222222"/>
          <w:sz w:val="21"/>
        </w:rPr>
        <w:t>☐ Dự án go-live trong vòng 6 tháng kể từ khi BRD được Sign-off (Đạt/Không đạt).</w:t>
      </w:r>
    </w:p>
    <w:p>
      <w:pPr>
        <w:pStyle w:val="ListBullet"/>
      </w:pPr>
      <w:r>
        <w:rPr>
          <w:rFonts w:ascii="Calibri" w:hAnsi="Calibri"/>
          <w:b w:val="0"/>
          <w:i w:val="0"/>
          <w:color w:val="222222"/>
          <w:sz w:val="21"/>
        </w:rPr>
        <w:t>☐ Tổng chi phí thực tế không vượt quá 90.000.000 VNĐ (Đạt/Không đạt).</w:t>
      </w:r>
    </w:p>
    <w:p>
      <w:pPr>
        <w:spacing w:after="120"/>
      </w:pPr>
      <w:r>
        <w:rPr>
          <w:rFonts w:ascii="Calibri" w:hAnsi="Calibri"/>
          <w:b/>
          <w:i w:val="0"/>
          <w:color w:val="222222"/>
          <w:sz w:val="21"/>
        </w:rPr>
        <w:t>Thành công của sản phẩm:</w:t>
      </w:r>
    </w:p>
    <w:p>
      <w:pPr>
        <w:pStyle w:val="ListBullet"/>
      </w:pPr>
      <w:r>
        <w:rPr>
          <w:rFonts w:ascii="Calibri" w:hAnsi="Calibri"/>
          <w:b w:val="0"/>
          <w:i w:val="0"/>
          <w:color w:val="222222"/>
          <w:sz w:val="21"/>
        </w:rPr>
        <w:t>☐ Đạt mục tiêu BO-01: Giảm tỷ lệ thất lạc/hư hỏng linh kiện khi trả hàng từ 15% xuống còn 5% số lượt trả... (Đạt/Không đạt).</w:t>
      </w:r>
    </w:p>
    <w:p>
      <w:pPr>
        <w:pStyle w:val="ListBullet"/>
      </w:pPr>
      <w:r>
        <w:rPr>
          <w:rFonts w:ascii="Calibri" w:hAnsi="Calibri"/>
          <w:b w:val="0"/>
          <w:i w:val="0"/>
          <w:color w:val="222222"/>
          <w:sz w:val="21"/>
        </w:rPr>
        <w:t>☐ Đạt mục tiêu BO-02: Tăng tỷ trọng đơn thuê khách tự đặt trực tiếp trên website (không cần nhân viên ghi nhận hộ qua điện thoại/Zalo) từ 0% lên 90% tổng số đơn thuê... (Đạt/Không đạt).</w:t>
      </w:r>
    </w:p>
    <w:p>
      <w:pPr>
        <w:pStyle w:val="ListBullet"/>
      </w:pPr>
      <w:r>
        <w:rPr>
          <w:rFonts w:ascii="Calibri" w:hAnsi="Calibri"/>
          <w:b w:val="0"/>
          <w:i w:val="0"/>
          <w:color w:val="222222"/>
          <w:sz w:val="21"/>
        </w:rPr>
        <w:t>☐ Đạt mục tiêu BO-03: Giảm thời gian xử lý trung bình 1 đơn thuê (từ lúc khách đặt đến lúc nhân viên xác nhận) từ 15 phút xuống còn 3 phút... (Đạt/Không đạt).</w:t>
      </w:r>
    </w:p>
    <w:p>
      <w:pPr>
        <w:pStyle w:val="ListBullet"/>
      </w:pPr>
      <w:r>
        <w:rPr>
          <w:rFonts w:ascii="Calibri" w:hAnsi="Calibri"/>
          <w:b w:val="0"/>
          <w:i w:val="0"/>
          <w:color w:val="222222"/>
          <w:sz w:val="21"/>
        </w:rPr>
        <w:t>☐ Đạt mục tiêu BO-04: Tăng doanh thu cho thuê 20% so với cùng kỳ năm trước... (Đạt/Không đạt).</w:t>
      </w:r>
    </w:p>
    <w:p>
      <w:pPr>
        <w:pStyle w:val="ListBullet"/>
      </w:pPr>
      <w:r>
        <w:rPr>
          <w:rFonts w:ascii="Calibri" w:hAnsi="Calibri"/>
          <w:b w:val="0"/>
          <w:i w:val="0"/>
          <w:color w:val="222222"/>
          <w:sz w:val="21"/>
        </w:rPr>
        <w:t>☐ Đạt mục tiêu BO-05: Giảm số vụ khiếu nại sai lệch tiền đặt cọc xuống 0 vụ/tháng... (Đạt/Không đạt).</w:t>
      </w:r>
    </w:p>
    <w:p>
      <w:pPr>
        <w:pStyle w:val="Heading1"/>
      </w:pPr>
      <w:r>
        <w:rPr>
          <w:rFonts w:ascii="Calibri" w:hAnsi="Calibri"/>
          <w:b/>
          <w:i w:val="0"/>
          <w:color w:val="1B365D"/>
          <w:sz w:val="32"/>
        </w:rPr>
        <w:t>5. Phạm vi dự án</w:t>
      </w:r>
    </w:p>
    <w:p>
      <w:pPr>
        <w:spacing w:after="120"/>
      </w:pPr>
      <w:r>
        <w:rPr>
          <w:rFonts w:ascii="Calibri" w:hAnsi="Calibri"/>
          <w:b w:val="0"/>
          <w:i w:val="0"/>
          <w:color w:val="222222"/>
          <w:sz w:val="21"/>
        </w:rPr>
        <w:t>Phạm vi được xác định rõ để tránh phình phạm vi (scope creep) trong các giai đoạn tiếp theo.</w:t>
      </w:r>
    </w:p>
    <w:p>
      <w:pPr>
        <w:pStyle w:val="Heading2"/>
      </w:pPr>
      <w:r>
        <w:rPr>
          <w:rFonts w:ascii="Calibri" w:hAnsi="Calibri"/>
          <w:b/>
          <w:i w:val="0"/>
          <w:color w:val="1B365D"/>
          <w:sz w:val="26"/>
        </w:rPr>
        <w:t>5.1. Trong phạm vi</w:t>
      </w:r>
    </w:p>
    <w:tbl>
      <w:tblPr>
        <w:tblStyle w:val="TableGrid"/>
        <w:tblW w:type="auto" w:w="0"/>
        <w:jc w:val="center"/>
        <w:tblLayout w:type="fixed"/>
        <w:tblLook w:firstColumn="1" w:firstRow="1" w:lastColumn="0" w:lastRow="0" w:noHBand="0" w:noVBand="1" w:val="04A0"/>
      </w:tblPr>
      <w:tblGrid>
        <w:gridCol w:w="1134"/>
        <w:gridCol w:w="7370"/>
      </w:tblGrid>
      <w:tr>
        <w:tc>
          <w:tcPr>
            <w:tcW w:type="dxa" w:w="113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Mã</w:t>
            </w:r>
          </w:p>
        </w:tc>
        <w:tc>
          <w:tcPr>
            <w:tcW w:type="dxa" w:w="7370"/>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Hạng mục trong phạm vi</w:t>
            </w:r>
          </w:p>
        </w:tc>
      </w:tr>
      <w:tr>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SC-01</w:t>
            </w:r>
          </w:p>
        </w:tc>
        <w:tc>
          <w:tcPr>
            <w:tcW w:type="dxa" w:w="737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Quản lý danh mục sản phẩm board game (thông tin, hình ảnh, giá bán, giá thuê, tồn kho).</w:t>
            </w:r>
          </w:p>
        </w:tc>
      </w:tr>
      <w:tr>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SC-02</w:t>
            </w:r>
          </w:p>
        </w:tc>
        <w:tc>
          <w:tcPr>
            <w:tcW w:type="dxa" w:w="737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Bán board game trực tuyến 100% trên website (tạo đơn, thanh toán, xuất hoá đơn nội bộ), không có kênh bán tại quầy/cửa hàng vật lý.</w:t>
            </w:r>
          </w:p>
        </w:tc>
      </w:tr>
      <w:tr>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SC-03</w:t>
            </w:r>
          </w:p>
        </w:tc>
        <w:tc>
          <w:tcPr>
            <w:tcW w:type="dxa" w:w="737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Cho thuê board game theo ngày, kiểm tra tồn kho theo khoảng thời gian thuê để tránh trùng lịch.</w:t>
            </w:r>
          </w:p>
        </w:tc>
      </w:tr>
      <w:tr>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SC-04</w:t>
            </w:r>
          </w:p>
        </w:tc>
        <w:tc>
          <w:tcPr>
            <w:tcW w:type="dxa" w:w="737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Quản lý đặt cọc: thu cọc, tính phạt trễ hạn, quyết toán và hoàn cọc.</w:t>
            </w:r>
          </w:p>
        </w:tc>
      </w:tr>
      <w:tr>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SC-05</w:t>
            </w:r>
          </w:p>
        </w:tc>
        <w:tc>
          <w:tcPr>
            <w:tcW w:type="dxa" w:w="737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Quản lý kho: nhập kho, xuất kho, kiểm đếm linh kiện theo checklist từng tựa game, cập nhật trạng thái hộp game.</w:t>
            </w:r>
          </w:p>
        </w:tc>
      </w:tr>
      <w:tr>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SC-06</w:t>
            </w:r>
          </w:p>
        </w:tc>
        <w:tc>
          <w:tcPr>
            <w:tcW w:type="dxa" w:w="737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Quản lý khách hàng (đăng ký, đăng nhập, sửa thông tin cá nhân, lịch sử đơn mua/thuê).</w:t>
            </w:r>
          </w:p>
        </w:tc>
      </w:tr>
      <w:tr>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SC-07</w:t>
            </w:r>
          </w:p>
        </w:tc>
        <w:tc>
          <w:tcPr>
            <w:tcW w:type="dxa" w:w="737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Báo cáo doanh thu và vận hành (tồn kho, trạng thái đơn) cơ bản theo ngày/tháng cho Admin.</w:t>
            </w:r>
          </w:p>
        </w:tc>
      </w:tr>
      <w:tr>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SC-08</w:t>
            </w:r>
          </w:p>
        </w:tc>
        <w:tc>
          <w:tcPr>
            <w:tcW w:type="dxa" w:w="737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Giao vận hai chiều bắt buộc (nhận hàng và trả hàng đều qua đối tác giao vận, không có hình thức tự đến lấy/tự mang trả), tự động chọn đối tác và tính phí theo khoảng cách giao nhận.</w:t>
            </w:r>
          </w:p>
        </w:tc>
      </w:tr>
      <w:tr>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SC-09</w:t>
            </w:r>
          </w:p>
        </w:tc>
        <w:tc>
          <w:tcPr>
            <w:tcW w:type="dxa" w:w="737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Thanh toán trực tuyến qua mã QR (ví điện tử/tài khoản ngân hàng) thông qua cổng thanh toán, áp dụng cho tiền hàng/tiền cọc/tiền thuê; hoàn tiền vào ví điện tử nội bộ trên hệ thống, khách có thể rút về tài khoản ngân hàng của mình.</w:t>
            </w:r>
          </w:p>
        </w:tc>
      </w:tr>
      <w:tr>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SC-10</w:t>
            </w:r>
          </w:p>
        </w:tc>
        <w:tc>
          <w:tcPr>
            <w:tcW w:type="dxa" w:w="737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Quản lý tài khoản nội bộ (Staff/Admin): đăng nhập riêng biệt với khách hàng, Admin tạo/sửa/khoá tài khoản nhân viên.</w:t>
            </w:r>
          </w:p>
        </w:tc>
      </w:tr>
      <w:tr>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SC-11</w:t>
            </w:r>
          </w:p>
        </w:tc>
        <w:tc>
          <w:tcPr>
            <w:tcW w:type="dxa" w:w="737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Đánh giá sản phẩm: khách để lại số điểm (sao) và nhận xét cho sản phẩm đã mua/thuê, hiển thị điểm trung bình và danh sách nhận xét trên trang chi tiết sản phẩm.</w:t>
            </w:r>
          </w:p>
        </w:tc>
      </w:tr>
    </w:tbl>
    <w:p/>
    <w:p>
      <w:pPr>
        <w:pStyle w:val="Heading2"/>
      </w:pPr>
      <w:r>
        <w:rPr>
          <w:rFonts w:ascii="Calibri" w:hAnsi="Calibri"/>
          <w:b/>
          <w:i w:val="0"/>
          <w:color w:val="1B365D"/>
          <w:sz w:val="26"/>
        </w:rPr>
        <w:t>5.2. Ngoài phạm vi</w:t>
      </w:r>
    </w:p>
    <w:tbl>
      <w:tblPr>
        <w:tblStyle w:val="TableGrid"/>
        <w:tblW w:type="auto" w:w="0"/>
        <w:jc w:val="center"/>
        <w:tblLayout w:type="fixed"/>
        <w:tblLook w:firstColumn="1" w:firstRow="1" w:lastColumn="0" w:lastRow="0" w:noHBand="0" w:noVBand="1" w:val="04A0"/>
      </w:tblPr>
      <w:tblGrid>
        <w:gridCol w:w="1020"/>
        <w:gridCol w:w="2835"/>
        <w:gridCol w:w="4649"/>
      </w:tblGrid>
      <w:tr>
        <w:tc>
          <w:tcPr>
            <w:tcW w:type="dxa" w:w="1020"/>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Mã</w:t>
            </w:r>
          </w:p>
        </w:tc>
        <w:tc>
          <w:tcPr>
            <w:tcW w:type="dxa" w:w="2835"/>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Hạng mục ngoài phạm vi</w:t>
            </w:r>
          </w:p>
        </w:tc>
        <w:tc>
          <w:tcPr>
            <w:tcW w:type="dxa" w:w="4649"/>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Lý do loại trừ</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OS-01</w:t>
            </w:r>
          </w:p>
        </w:tc>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Tự vận hành đội ngũ shipper/giao vận nội bộ</w:t>
            </w:r>
          </w:p>
        </w:tc>
        <w:tc>
          <w:tcPr>
            <w:tcW w:type="dxa" w:w="464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chỉ tích hợp với các đối tác giao vận bên thứ ba (Green SM, Shopee Express — giả định) qua API để tạo yêu cầu giao/lấy hàng, không tuyển dụng hoặc quản lý nhân sự giao hàng riêng.</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OS-02</w:t>
            </w:r>
          </w:p>
        </w:tc>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Bảo hiểm sản phẩm cho thuê</w:t>
            </w:r>
          </w:p>
        </w:tc>
        <w:tc>
          <w:tcPr>
            <w:tcW w:type="dxa" w:w="464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Chưa có đối tác bảo hiểm giả định; rủi ro hư hỏng xử lý bằng quy chế đền bù (BRU-04) thay vì bảo hiểm.</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OS-03</w:t>
            </w:r>
          </w:p>
        </w:tc>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Thanh toán quốc tế / đa tiền tệ</w:t>
            </w:r>
          </w:p>
        </w:tc>
        <w:tc>
          <w:tcPr>
            <w:tcW w:type="dxa" w:w="464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Khách hàng mục tiêu hiện tại chỉ ở thị trường trong nước, dùng VNĐ.</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OS-04</w:t>
            </w:r>
          </w:p>
        </w:tc>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Bán sỉ / đại lý nhượng quyền</w:t>
            </w:r>
          </w:p>
        </w:tc>
        <w:tc>
          <w:tcPr>
            <w:tcW w:type="dxa" w:w="464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Mô hình kinh doanh hiện tại là bán lẻ/cho thuê trực tiếp, không có kênh phân phối sỉ.</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OS-05</w:t>
            </w:r>
          </w:p>
        </w:tc>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Ứng dụng di động riêng (native app)</w:t>
            </w:r>
          </w:p>
        </w:tc>
        <w:tc>
          <w:tcPr>
            <w:tcW w:type="dxa" w:w="464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Chỉ xây dựng web responsive dùng tốt trên cả máy tính và di động, không phát triển app iOS/Android riêng trong phạm vi đồ án.</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OS-06</w:t>
            </w:r>
          </w:p>
        </w:tc>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Mã giảm giá / voucher khuyến mãi</w:t>
            </w:r>
          </w:p>
        </w:tc>
        <w:tc>
          <w:tcPr>
            <w:tcW w:type="dxa" w:w="464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Chủ đầu tư chưa có nhu cầu triển khai chương trình khuyến mãi ở phiên bản đầu; có thể bổ sung ở phiên bản sau.</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OS-07</w:t>
            </w:r>
          </w:p>
        </w:tc>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Đổi/trả hàng cho đơn mua đã giao thành công</w:t>
            </w:r>
          </w:p>
        </w:tc>
        <w:tc>
          <w:tcPr>
            <w:tcW w:type="dxa" w:w="464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Ngoài phạm vi đồ án cá nhân; chỉ xử lý khiếu nại hư hỏng/thiếu linh kiện cho đơn thuê (BRU-04), không có quy trình đổi/trả hàng mua.</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OS-08</w:t>
            </w:r>
          </w:p>
        </w:tc>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Vai trò Kế toán riêng trong hệ thống</w:t>
            </w:r>
          </w:p>
        </w:tc>
        <w:tc>
          <w:tcPr>
            <w:tcW w:type="dxa" w:w="464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Số liệu tài chính/báo cáo doanh thu phục vụ kế toán được Admin xem và xuất trực tiếp (BR-07, BR-13); không xây riêng tài khoản/phân hệ cho vai trò Kế toán.</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OS-09</w:t>
            </w:r>
          </w:p>
        </w:tc>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Trang/tài liệu pháp lý chi tiết (điều khoản sử dụng, chính sách bảo mật đầy đủ)</w:t>
            </w:r>
          </w:p>
        </w:tc>
        <w:tc>
          <w:tcPr>
            <w:tcW w:type="dxa" w:w="464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Vượt quá mức cần thiết của một đồ án cá nhân; chỉ tuân thủ các yêu cầu lưu trữ dữ liệu cơ bản theo pháp luật hiện hành (xem CON-06 ở SRS) mà không soạn văn bản pháp lý đầy đủ.</w:t>
            </w:r>
          </w:p>
        </w:tc>
      </w:tr>
    </w:tbl>
    <w:p/>
    <w:p>
      <w:pPr>
        <w:pStyle w:val="Heading2"/>
      </w:pPr>
      <w:r>
        <w:rPr>
          <w:rFonts w:ascii="Calibri" w:hAnsi="Calibri"/>
          <w:b/>
          <w:i w:val="0"/>
          <w:color w:val="1B365D"/>
          <w:sz w:val="26"/>
        </w:rPr>
        <w:t>5.3. Giả định</w:t>
      </w:r>
    </w:p>
    <w:tbl>
      <w:tblPr>
        <w:tblStyle w:val="TableGrid"/>
        <w:tblW w:type="auto" w:w="0"/>
        <w:jc w:val="center"/>
        <w:tblLayout w:type="fixed"/>
        <w:tblLook w:firstColumn="1" w:firstRow="1" w:lastColumn="0" w:lastRow="0" w:noHBand="0" w:noVBand="1" w:val="04A0"/>
      </w:tblPr>
      <w:tblGrid>
        <w:gridCol w:w="1020"/>
        <w:gridCol w:w="3118"/>
        <w:gridCol w:w="2835"/>
        <w:gridCol w:w="1531"/>
      </w:tblGrid>
      <w:tr>
        <w:tc>
          <w:tcPr>
            <w:tcW w:type="dxa" w:w="1020"/>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Mã</w:t>
            </w:r>
          </w:p>
        </w:tc>
        <w:tc>
          <w:tcPr>
            <w:tcW w:type="dxa" w:w="3118"/>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Giả định</w:t>
            </w:r>
          </w:p>
        </w:tc>
        <w:tc>
          <w:tcPr>
            <w:tcW w:type="dxa" w:w="2835"/>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Hậu quả nếu sai</w:t>
            </w:r>
          </w:p>
        </w:tc>
        <w:tc>
          <w:tcPr>
            <w:tcW w:type="dxa" w:w="153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Người xác nhận</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AS-01</w:t>
            </w:r>
          </w:p>
        </w:tc>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Khách hàng có thiết bị và kết nối Internet để đặt thuê/mua online (bắt buộc, vì hệ thống không còn kênh tại quầy).</w:t>
            </w:r>
          </w:p>
        </w:tc>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Nếu sai: khách không có cách nào khác để mua/thuê, có thể mất khách hàng mục tiêu không quen dùng web.</w:t>
            </w:r>
          </w:p>
        </w:tc>
        <w:tc>
          <w:tcPr>
            <w:tcW w:type="dxa" w:w="153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Quản lý vận hành</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AS-02</w:t>
            </w:r>
          </w:p>
        </w:tc>
        <w:tc>
          <w:tcPr>
            <w:tcW w:type="dxa" w:w="311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Nhân viên kho đồng ý tuân thủ checklist kiểm đếm linh kiện theo từng tựa game.</w:t>
            </w:r>
          </w:p>
        </w:tc>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Nếu sai: PP-01 không cải thiện dù có hệ thống hỗ trợ.</w:t>
            </w:r>
          </w:p>
        </w:tc>
        <w:tc>
          <w:tcPr>
            <w:tcW w:type="dxa" w:w="153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Quản lý vận hành</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AS-03</w:t>
            </w:r>
          </w:p>
        </w:tc>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Chủ đầu tư đồng ý giữ nguyên chính sách cọc 100% giá niêm yết trong năm đầu vận hành.</w:t>
            </w:r>
          </w:p>
        </w:tc>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Nếu sai: cần thiết kế lại BRU-01 và toàn bộ luồng tính cọc.</w:t>
            </w:r>
          </w:p>
        </w:tc>
        <w:tc>
          <w:tcPr>
            <w:tcW w:type="dxa" w:w="153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Chủ đầu tư</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AS-04</w:t>
            </w:r>
          </w:p>
        </w:tc>
        <w:tc>
          <w:tcPr>
            <w:tcW w:type="dxa" w:w="311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Mọi địa chỉ nhận/trả hàng của khách đều nằm trong phạm vi phục vụ của Green SM (≤ 20km) hoặc Shopee Express (giả định phủ toàn quốc).</w:t>
            </w:r>
          </w:p>
        </w:tc>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Nếu sai: cần bổ sung đối tác giao vận thứ ba cho khu vực chưa được phủ.</w:t>
            </w:r>
          </w:p>
        </w:tc>
        <w:tc>
          <w:tcPr>
            <w:tcW w:type="dxa" w:w="153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Quản lý vận hành</w:t>
            </w:r>
          </w:p>
        </w:tc>
      </w:tr>
    </w:tbl>
    <w:p/>
    <w:p>
      <w:pPr>
        <w:pStyle w:val="Heading2"/>
      </w:pPr>
      <w:r>
        <w:rPr>
          <w:rFonts w:ascii="Calibri" w:hAnsi="Calibri"/>
          <w:b/>
          <w:i w:val="0"/>
          <w:color w:val="1B365D"/>
          <w:sz w:val="26"/>
        </w:rPr>
        <w:t>5.4. Ràng buộc</w:t>
      </w:r>
    </w:p>
    <w:tbl>
      <w:tblPr>
        <w:tblStyle w:val="TableGrid"/>
        <w:tblW w:type="auto" w:w="0"/>
        <w:jc w:val="center"/>
        <w:tblLayout w:type="fixed"/>
        <w:tblLook w:firstColumn="1" w:firstRow="1" w:lastColumn="0" w:lastRow="0" w:noHBand="0" w:noVBand="1" w:val="04A0"/>
      </w:tblPr>
      <w:tblGrid>
        <w:gridCol w:w="1134"/>
        <w:gridCol w:w="7370"/>
      </w:tblGrid>
      <w:tr>
        <w:tc>
          <w:tcPr>
            <w:tcW w:type="dxa" w:w="113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Mã</w:t>
            </w:r>
          </w:p>
        </w:tc>
        <w:tc>
          <w:tcPr>
            <w:tcW w:type="dxa" w:w="7370"/>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Ràng buộc</w:t>
            </w:r>
          </w:p>
        </w:tc>
      </w:tr>
      <w:tr>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CT-01</w:t>
            </w:r>
          </w:p>
        </w:tc>
        <w:tc>
          <w:tcPr>
            <w:tcW w:type="dxa" w:w="737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Ngân sách phát triển tối đa 90.000.000 VNĐ cho giai đoạn xây dựng hệ thống (ước tính ở mục 9.1).</w:t>
            </w:r>
          </w:p>
        </w:tc>
      </w:tr>
      <w:tr>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CT-02</w:t>
            </w:r>
          </w:p>
        </w:tc>
        <w:tc>
          <w:tcPr>
            <w:tcW w:type="dxa" w:w="737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Thời gian triển khai tối đa 6 tháng kể từ khi BRD được Sign-off đến khi go-live.</w:t>
            </w:r>
          </w:p>
        </w:tc>
      </w:tr>
      <w:tr>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CT-03</w:t>
            </w:r>
          </w:p>
        </w:tc>
        <w:tc>
          <w:tcPr>
            <w:tcW w:type="dxa" w:w="737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chạy được trên hạ tầng chi phí thấp (hosting/PaaS phổ biến), không yêu cầu máy chủ riêng.</w:t>
            </w:r>
          </w:p>
        </w:tc>
      </w:tr>
      <w:tr>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CT-04</w:t>
            </w:r>
          </w:p>
        </w:tc>
        <w:tc>
          <w:tcPr>
            <w:tcW w:type="dxa" w:w="737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Toàn bộ nội dung hiển thị cho người dùng phải bằng tiếng Việt.</w:t>
            </w:r>
          </w:p>
        </w:tc>
      </w:tr>
      <w:tr>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CT-05</w:t>
            </w:r>
          </w:p>
        </w:tc>
        <w:tc>
          <w:tcPr>
            <w:tcW w:type="dxa" w:w="737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Việc tích hợp với đối tác giao vận và cổng thanh toán chỉ ở mức giả lập API (mock) phục vụ đồ án, không phát sinh chi phí hợp tác thực tế với nhà cung cấp bên thứ ba.</w:t>
            </w:r>
          </w:p>
        </w:tc>
      </w:tr>
      <w:tr>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CT-06</w:t>
            </w:r>
          </w:p>
        </w:tc>
        <w:tc>
          <w:tcPr>
            <w:tcW w:type="dxa" w:w="737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không vận hành kênh bán/thuê tại quầy hoặc cửa hàng vật lý nào; 100% đơn hàng/đơn thuê phát sinh và xử lý qua website.</w:t>
            </w:r>
          </w:p>
        </w:tc>
      </w:tr>
    </w:tbl>
    <w:p/>
    <w:p>
      <w:pPr>
        <w:pStyle w:val="Heading2"/>
      </w:pPr>
      <w:r>
        <w:rPr>
          <w:rFonts w:ascii="Calibri" w:hAnsi="Calibri"/>
          <w:b/>
          <w:i w:val="0"/>
          <w:color w:val="1B365D"/>
          <w:sz w:val="26"/>
        </w:rPr>
        <w:t>5.5. Phụ thuộc</w:t>
      </w:r>
    </w:p>
    <w:tbl>
      <w:tblPr>
        <w:tblStyle w:val="TableGrid"/>
        <w:tblW w:type="auto" w:w="0"/>
        <w:jc w:val="center"/>
        <w:tblLayout w:type="fixed"/>
        <w:tblLook w:firstColumn="1" w:firstRow="1" w:lastColumn="0" w:lastRow="0" w:noHBand="0" w:noVBand="1" w:val="04A0"/>
      </w:tblPr>
      <w:tblGrid>
        <w:gridCol w:w="1020"/>
        <w:gridCol w:w="2268"/>
        <w:gridCol w:w="3685"/>
        <w:gridCol w:w="1531"/>
      </w:tblGrid>
      <w:tr>
        <w:tc>
          <w:tcPr>
            <w:tcW w:type="dxa" w:w="1020"/>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Mã</w:t>
            </w:r>
          </w:p>
        </w:tc>
        <w:tc>
          <w:tcPr>
            <w:tcW w:type="dxa" w:w="2268"/>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Bên cung cấp</w:t>
            </w:r>
          </w:p>
        </w:tc>
        <w:tc>
          <w:tcPr>
            <w:tcW w:type="dxa" w:w="3685"/>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Nội dung phụ thuộc</w:t>
            </w:r>
          </w:p>
        </w:tc>
        <w:tc>
          <w:tcPr>
            <w:tcW w:type="dxa" w:w="153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Hạn chót</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DP-01</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Chủ đầu tư (giả định)</w:t>
            </w:r>
          </w:p>
        </w:tc>
        <w:tc>
          <w:tcPr>
            <w:tcW w:type="dxa" w:w="368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Phê duyệt bảng giá thuê/bán và chính sách cọc trước khi lập trình module tính giá.</w:t>
            </w:r>
          </w:p>
        </w:tc>
        <w:tc>
          <w:tcPr>
            <w:tcW w:type="dxa" w:w="153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Trước khi bắt đầu Giai đoạn 3 (SDD).</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DP-02</w:t>
            </w:r>
          </w:p>
        </w:tc>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Nhà cung cấp dịch vụ hosting/PaaS</w:t>
            </w:r>
          </w:p>
        </w:tc>
        <w:tc>
          <w:tcPr>
            <w:tcW w:type="dxa" w:w="368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Cấp môi trường chạy thử (staging) cho ứng dụng.</w:t>
            </w:r>
          </w:p>
        </w:tc>
        <w:tc>
          <w:tcPr>
            <w:tcW w:type="dxa" w:w="153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Trước khi bắt đầu Giai đoạn 4 (Lập trình).</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DP-03</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Green SM (giả định)</w:t>
            </w:r>
          </w:p>
        </w:tc>
        <w:tc>
          <w:tcPr>
            <w:tcW w:type="dxa" w:w="368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Cung cấp API tạo yêu cầu giao/lấy hàng, tính phí theo khoảng cách và webhook cập nhật trạng thái vận chuyển cho các chặng trong bán kính 20km.</w:t>
            </w:r>
          </w:p>
        </w:tc>
        <w:tc>
          <w:tcPr>
            <w:tcW w:type="dxa" w:w="153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Trước khi bắt đầu Giai đoạn 3 (SDD).</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DP-04</w:t>
            </w:r>
          </w:p>
        </w:tc>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MoMo (giả định)</w:t>
            </w:r>
          </w:p>
        </w:tc>
        <w:tc>
          <w:tcPr>
            <w:tcW w:type="dxa" w:w="368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Cung cấp API sinh mã QR động và webhook xác nhận thanh toán.</w:t>
            </w:r>
          </w:p>
        </w:tc>
        <w:tc>
          <w:tcPr>
            <w:tcW w:type="dxa" w:w="153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Trước khi bắt đầu Giai đoạn 3 (SDD).</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DP-05</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Shopee Express (giả định)</w:t>
            </w:r>
          </w:p>
        </w:tc>
        <w:tc>
          <w:tcPr>
            <w:tcW w:type="dxa" w:w="368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Cung cấp API tạo yêu cầu giao/lấy hàng, tính phí theo khoảng cách và webhook cập nhật trạng thái vận chuyển cho các chặng ngoài bán kính 20km.</w:t>
            </w:r>
          </w:p>
        </w:tc>
        <w:tc>
          <w:tcPr>
            <w:tcW w:type="dxa" w:w="153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Trước khi bắt đầu Giai đoạn 3 (SDD).</w:t>
            </w:r>
          </w:p>
        </w:tc>
      </w:tr>
    </w:tbl>
    <w:p/>
    <w:p>
      <w:pPr>
        <w:pStyle w:val="Heading1"/>
      </w:pPr>
      <w:r>
        <w:rPr>
          <w:rFonts w:ascii="Calibri" w:hAnsi="Calibri"/>
          <w:b/>
          <w:i w:val="0"/>
          <w:color w:val="1B365D"/>
          <w:sz w:val="32"/>
        </w:rPr>
        <w:t>6. Các bên liên quan</w:t>
      </w:r>
    </w:p>
    <w:p>
      <w:pPr>
        <w:spacing w:after="120"/>
      </w:pPr>
      <w:r>
        <w:rPr>
          <w:rFonts w:ascii="Calibri" w:hAnsi="Calibri"/>
          <w:b w:val="0"/>
          <w:i w:val="0"/>
          <w:color w:val="222222"/>
          <w:sz w:val="21"/>
        </w:rPr>
        <w:t>Chương này xác định ai bị ảnh hưởng, ai ra quyết định và ai cần tham gia trong suốt dự án.</w:t>
      </w:r>
    </w:p>
    <w:p>
      <w:pPr>
        <w:pStyle w:val="Heading2"/>
      </w:pPr>
      <w:r>
        <w:rPr>
          <w:rFonts w:ascii="Calibri" w:hAnsi="Calibri"/>
          <w:b/>
          <w:i w:val="0"/>
          <w:color w:val="1B365D"/>
          <w:sz w:val="26"/>
        </w:rPr>
        <w:t>6.1. Danh sách bên liên quan</w:t>
      </w:r>
    </w:p>
    <w:tbl>
      <w:tblPr>
        <w:tblStyle w:val="TableGrid"/>
        <w:tblW w:type="auto" w:w="0"/>
        <w:jc w:val="center"/>
        <w:tblLayout w:type="fixed"/>
        <w:tblLook w:firstColumn="1" w:firstRow="1" w:lastColumn="0" w:lastRow="0" w:noHBand="0" w:noVBand="1" w:val="04A0"/>
      </w:tblPr>
      <w:tblGrid>
        <w:gridCol w:w="2551"/>
        <w:gridCol w:w="1701"/>
        <w:gridCol w:w="4252"/>
      </w:tblGrid>
      <w:tr>
        <w:tc>
          <w:tcPr>
            <w:tcW w:type="dxa" w:w="255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Bên liên quan</w:t>
            </w:r>
          </w:p>
        </w:tc>
        <w:tc>
          <w:tcPr>
            <w:tcW w:type="dxa" w:w="170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Trong/Ngoài tổ chức</w:t>
            </w:r>
          </w:p>
        </w:tc>
        <w:tc>
          <w:tcPr>
            <w:tcW w:type="dxa" w:w="4252"/>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Mối quan tâm</w:t>
            </w:r>
          </w:p>
        </w:tc>
      </w:tr>
      <w:tr>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Khách cá nhân</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Bên ngoài</w:t>
            </w:r>
          </w:p>
        </w:tc>
        <w:tc>
          <w:tcPr>
            <w:tcW w:type="dxa" w:w="425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Thuê/mua board game nhanh, minh bạch tiền cọc, giao/nhận hàng đúng hẹn tận nơi.</w:t>
            </w:r>
          </w:p>
        </w:tc>
      </w:tr>
      <w:tr>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Khách nhóm/hội board game</w:t>
            </w:r>
          </w:p>
        </w:tc>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Bên ngoài</w:t>
            </w:r>
          </w:p>
        </w:tc>
        <w:tc>
          <w:tcPr>
            <w:tcW w:type="dxa" w:w="425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Thuê số lượng lớn cho sự kiện, cần giữ chỗ trước và biết chắc tồn kho.</w:t>
            </w:r>
          </w:p>
        </w:tc>
      </w:tr>
      <w:tr>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Nhân viên kho/xử lý đơn hàng (Staff)</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Bên trong</w:t>
            </w:r>
          </w:p>
        </w:tc>
        <w:tc>
          <w:tcPr>
            <w:tcW w:type="dxa" w:w="425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Công cụ kiểm đếm, xuất/nhập kho nhanh, giảm việc ghi chép tay.</w:t>
            </w:r>
          </w:p>
        </w:tc>
      </w:tr>
      <w:tr>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Quản lý vận hành (Admin)</w:t>
            </w:r>
          </w:p>
        </w:tc>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Bên trong</w:t>
            </w:r>
          </w:p>
        </w:tc>
        <w:tc>
          <w:tcPr>
            <w:tcW w:type="dxa" w:w="425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Số liệu báo cáo chính xác, kiểm soát được tồn kho và dòng tiền cọc.</w:t>
            </w:r>
          </w:p>
        </w:tc>
      </w:tr>
      <w:tr>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Chủ đầu tư</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Bên trong</w:t>
            </w:r>
          </w:p>
        </w:tc>
        <w:tc>
          <w:tcPr>
            <w:tcW w:type="dxa" w:w="425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Tăng doanh thu, kiểm soát chi phí đầu tư, thu hồi vốn trong thời gian hợp lý.</w:t>
            </w:r>
          </w:p>
        </w:tc>
      </w:tr>
      <w:tr>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Green SM (giả định)</w:t>
            </w:r>
          </w:p>
        </w:tc>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Bên ngoài</w:t>
            </w:r>
          </w:p>
        </w:tc>
        <w:tc>
          <w:tcPr>
            <w:tcW w:type="dxa" w:w="425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Nhận yêu cầu giao/lấy hàng rõ ràng qua API trong bán kính phục vụ, được thanh toán phí ship đúng và kịp thời.</w:t>
            </w:r>
          </w:p>
        </w:tc>
      </w:tr>
      <w:tr>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Shopee Express (giả định)</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Bên ngoài</w:t>
            </w:r>
          </w:p>
        </w:tc>
        <w:tc>
          <w:tcPr>
            <w:tcW w:type="dxa" w:w="425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Nhận yêu cầu giao/lấy hàng ngoài bán kính 20km qua API, được thanh toán phí ship đúng và kịp thời.</w:t>
            </w:r>
          </w:p>
        </w:tc>
      </w:tr>
      <w:tr>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Giảng viên hướng dẫn (vai trò phê duyệt giả định)</w:t>
            </w:r>
          </w:p>
        </w:tc>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Bên ngoài</w:t>
            </w:r>
          </w:p>
        </w:tc>
        <w:tc>
          <w:tcPr>
            <w:tcW w:type="dxa" w:w="425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Tài liệu đúng chuẩn phương pháp luận, có thể bảo vệ đồ án.</w:t>
            </w:r>
          </w:p>
        </w:tc>
      </w:tr>
    </w:tbl>
    <w:p/>
    <w:p>
      <w:pPr>
        <w:pStyle w:val="Heading2"/>
      </w:pPr>
      <w:r>
        <w:rPr>
          <w:rFonts w:ascii="Calibri" w:hAnsi="Calibri"/>
          <w:b/>
          <w:i w:val="0"/>
          <w:color w:val="1B365D"/>
          <w:sz w:val="26"/>
        </w:rPr>
        <w:t>6.2. Vai trò và trách nhiệm (RACI)</w:t>
      </w:r>
    </w:p>
    <w:tbl>
      <w:tblPr>
        <w:tblStyle w:val="TableGrid"/>
        <w:tblW w:type="auto" w:w="0"/>
        <w:jc w:val="center"/>
        <w:tblLayout w:type="fixed"/>
        <w:tblLook w:firstColumn="1" w:firstRow="1" w:lastColumn="0" w:lastRow="0" w:noHBand="0" w:noVBand="1" w:val="04A0"/>
      </w:tblPr>
      <w:tblGrid>
        <w:gridCol w:w="2551"/>
        <w:gridCol w:w="1134"/>
        <w:gridCol w:w="1247"/>
        <w:gridCol w:w="1247"/>
        <w:gridCol w:w="1247"/>
        <w:gridCol w:w="1417"/>
      </w:tblGrid>
      <w:tr>
        <w:tc>
          <w:tcPr>
            <w:tcW w:type="dxa" w:w="255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Hoạt động / Sản phẩm bàn giao</w:t>
            </w:r>
          </w:p>
        </w:tc>
        <w:tc>
          <w:tcPr>
            <w:tcW w:type="dxa" w:w="113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Chủ đầu tư</w:t>
            </w:r>
          </w:p>
        </w:tc>
        <w:tc>
          <w:tcPr>
            <w:tcW w:type="dxa" w:w="1247"/>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Quản lý vận hành</w:t>
            </w:r>
          </w:p>
        </w:tc>
        <w:tc>
          <w:tcPr>
            <w:tcW w:type="dxa" w:w="1247"/>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Nhân viên kho/xử lý đơn hàng</w:t>
            </w:r>
          </w:p>
        </w:tc>
        <w:tc>
          <w:tcPr>
            <w:tcW w:type="dxa" w:w="1247"/>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BA (tác giả)</w:t>
            </w:r>
          </w:p>
        </w:tc>
        <w:tc>
          <w:tcPr>
            <w:tcW w:type="dxa" w:w="1417"/>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PM / Dev / Designer</w:t>
            </w:r>
          </w:p>
        </w:tc>
      </w:tr>
      <w:tr>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Phê duyệt BRD</w:t>
            </w:r>
          </w:p>
        </w:tc>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w:t>
            </w:r>
          </w:p>
        </w:tc>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w:t>
            </w:r>
          </w:p>
        </w:tc>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I</w:t>
            </w:r>
          </w:p>
        </w:tc>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R</w:t>
            </w:r>
          </w:p>
        </w:tc>
        <w:tc>
          <w:tcPr>
            <w:tcW w:type="dxa" w:w="141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I</w:t>
            </w:r>
          </w:p>
        </w:tc>
      </w:tr>
      <w:tr>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Xác nhận quy trình nghiệp vụ (As-Is/To-Be)</w:t>
            </w:r>
          </w:p>
        </w:tc>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I</w:t>
            </w:r>
          </w:p>
        </w:tc>
        <w:tc>
          <w:tcPr>
            <w:tcW w:type="dxa" w:w="124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w:t>
            </w:r>
          </w:p>
        </w:tc>
        <w:tc>
          <w:tcPr>
            <w:tcW w:type="dxa" w:w="124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w:t>
            </w:r>
          </w:p>
        </w:tc>
        <w:tc>
          <w:tcPr>
            <w:tcW w:type="dxa" w:w="124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R</w:t>
            </w:r>
          </w:p>
        </w:tc>
        <w:tc>
          <w:tcPr>
            <w:tcW w:type="dxa" w:w="141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I</w:t>
            </w:r>
          </w:p>
        </w:tc>
      </w:tr>
      <w:tr>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Xây dựng Business Rules Catalog</w:t>
            </w:r>
          </w:p>
        </w:tc>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w:t>
            </w:r>
          </w:p>
        </w:tc>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w:t>
            </w:r>
          </w:p>
        </w:tc>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w:t>
            </w:r>
          </w:p>
        </w:tc>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R</w:t>
            </w:r>
          </w:p>
        </w:tc>
        <w:tc>
          <w:tcPr>
            <w:tcW w:type="dxa" w:w="141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I</w:t>
            </w:r>
          </w:p>
        </w:tc>
      </w:tr>
      <w:tr>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Thiết kế &amp; lập trình hệ thống</w:t>
            </w:r>
          </w:p>
        </w:tc>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I</w:t>
            </w:r>
          </w:p>
        </w:tc>
        <w:tc>
          <w:tcPr>
            <w:tcW w:type="dxa" w:w="124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I</w:t>
            </w:r>
          </w:p>
        </w:tc>
        <w:tc>
          <w:tcPr>
            <w:tcW w:type="dxa" w:w="124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I</w:t>
            </w:r>
          </w:p>
        </w:tc>
        <w:tc>
          <w:tcPr>
            <w:tcW w:type="dxa" w:w="124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w:t>
            </w:r>
          </w:p>
        </w:tc>
        <w:tc>
          <w:tcPr>
            <w:tcW w:type="dxa" w:w="141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R/A</w:t>
            </w:r>
          </w:p>
        </w:tc>
      </w:tr>
      <w:tr>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Đào tạo sử dụng hệ thống</w:t>
            </w:r>
          </w:p>
        </w:tc>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I</w:t>
            </w:r>
          </w:p>
        </w:tc>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w:t>
            </w:r>
          </w:p>
        </w:tc>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R</w:t>
            </w:r>
          </w:p>
        </w:tc>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R</w:t>
            </w:r>
          </w:p>
        </w:tc>
        <w:tc>
          <w:tcPr>
            <w:tcW w:type="dxa" w:w="141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w:t>
            </w:r>
          </w:p>
        </w:tc>
      </w:tr>
      <w:tr>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Nghiệm thu UAT</w:t>
            </w:r>
          </w:p>
        </w:tc>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I</w:t>
            </w:r>
          </w:p>
        </w:tc>
        <w:tc>
          <w:tcPr>
            <w:tcW w:type="dxa" w:w="124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w:t>
            </w:r>
          </w:p>
        </w:tc>
        <w:tc>
          <w:tcPr>
            <w:tcW w:type="dxa" w:w="124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R</w:t>
            </w:r>
          </w:p>
        </w:tc>
        <w:tc>
          <w:tcPr>
            <w:tcW w:type="dxa" w:w="124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w:t>
            </w:r>
          </w:p>
        </w:tc>
        <w:tc>
          <w:tcPr>
            <w:tcW w:type="dxa" w:w="141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w:t>
            </w:r>
          </w:p>
        </w:tc>
      </w:tr>
      <w:tr>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Phê duyệt go-live</w:t>
            </w:r>
          </w:p>
        </w:tc>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w:t>
            </w:r>
          </w:p>
        </w:tc>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R</w:t>
            </w:r>
          </w:p>
        </w:tc>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I</w:t>
            </w:r>
          </w:p>
        </w:tc>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w:t>
            </w:r>
          </w:p>
        </w:tc>
        <w:tc>
          <w:tcPr>
            <w:tcW w:type="dxa" w:w="141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w:t>
            </w:r>
          </w:p>
        </w:tc>
      </w:tr>
    </w:tbl>
    <w:p/>
    <w:p>
      <w:pPr>
        <w:pStyle w:val="Heading1"/>
      </w:pPr>
      <w:r>
        <w:rPr>
          <w:rFonts w:ascii="Calibri" w:hAnsi="Calibri"/>
          <w:b/>
          <w:i w:val="0"/>
          <w:color w:val="1B365D"/>
          <w:sz w:val="32"/>
        </w:rPr>
        <w:t>7. Giải pháp đề xuất (mức tổng quan)</w:t>
      </w:r>
    </w:p>
    <w:p>
      <w:pPr>
        <w:spacing w:after="120"/>
      </w:pPr>
      <w:r>
        <w:rPr>
          <w:rFonts w:ascii="Calibri" w:hAnsi="Calibri"/>
          <w:b w:val="0"/>
          <w:i w:val="0"/>
          <w:color w:val="222222"/>
          <w:sz w:val="21"/>
        </w:rPr>
        <w:t>Giải pháp được trình bày ở mức nghiệp vụ, chưa đi vào công nghệ cụ thể (phần này thuộc Tài liệu thiết kế hệ thống).</w:t>
      </w:r>
    </w:p>
    <w:p>
      <w:pPr>
        <w:pStyle w:val="Heading2"/>
      </w:pPr>
      <w:r>
        <w:rPr>
          <w:rFonts w:ascii="Calibri" w:hAnsi="Calibri"/>
          <w:b/>
          <w:i w:val="0"/>
          <w:color w:val="1B365D"/>
          <w:sz w:val="26"/>
        </w:rPr>
        <w:t>7.1. Mô tả giải pháp</w:t>
      </w:r>
    </w:p>
    <w:p>
      <w:pPr>
        <w:spacing w:after="120"/>
      </w:pPr>
      <w:r>
        <w:rPr>
          <w:rFonts w:ascii="Calibri" w:hAnsi="Calibri"/>
          <w:b w:val="0"/>
          <w:i w:val="0"/>
          <w:color w:val="222222"/>
          <w:sz w:val="21"/>
        </w:rPr>
        <w:t>PP-01 – Thất lạc linh kiện trong board game cho thuê: Cung cấp checklist linh kiện điện tử theo từng tựa game, bắt buộc nhân viên kiểm đếm và xác nhận khi xuất/nhập kho.</w:t>
      </w:r>
    </w:p>
    <w:p>
      <w:pPr>
        <w:spacing w:after="120"/>
      </w:pPr>
      <w:r>
        <w:rPr>
          <w:rFonts w:ascii="Calibri" w:hAnsi="Calibri"/>
          <w:b w:val="0"/>
          <w:i w:val="0"/>
          <w:color w:val="222222"/>
          <w:sz w:val="21"/>
        </w:rPr>
        <w:t>PP-02 – Nhầm lẫn/thất thoát tiền đặt cọc: Mọi khoản cọc được ghi nhận trong hệ thống với mã đơn tra cứu được, loại bỏ việc ghi tay vào sổ.</w:t>
      </w:r>
    </w:p>
    <w:p>
      <w:pPr>
        <w:spacing w:after="120"/>
      </w:pPr>
      <w:r>
        <w:rPr>
          <w:rFonts w:ascii="Calibri" w:hAnsi="Calibri"/>
          <w:b w:val="0"/>
          <w:i w:val="0"/>
          <w:color w:val="222222"/>
          <w:sz w:val="21"/>
        </w:rPr>
        <w:t>PP-03 – Trùng lịch thuê do không kiểm tra tồn kho theo thời gian thực: Hệ thống tự động kiểm tra tồn kho theo khoảng ngày thuê trước khi xác nhận đơn, ngăn trùng lịch.</w:t>
      </w:r>
    </w:p>
    <w:p>
      <w:pPr>
        <w:spacing w:after="120"/>
      </w:pPr>
      <w:r>
        <w:rPr>
          <w:rFonts w:ascii="Calibri" w:hAnsi="Calibri"/>
          <w:b w:val="0"/>
          <w:i w:val="0"/>
          <w:color w:val="222222"/>
          <w:sz w:val="21"/>
        </w:rPr>
        <w:t>PP-04 – Thời gian xử lý 1 đơn thuê kéo dài: Tự động hoá tính giá thuê theo quy tắc lũy tiến và tính cọc, giảm thao tác tính tay của nhân viên.</w:t>
      </w:r>
    </w:p>
    <w:p>
      <w:pPr>
        <w:spacing w:after="120"/>
      </w:pPr>
      <w:r>
        <w:rPr>
          <w:rFonts w:ascii="Calibri" w:hAnsi="Calibri"/>
          <w:b w:val="0"/>
          <w:i w:val="0"/>
          <w:color w:val="222222"/>
          <w:sz w:val="21"/>
        </w:rPr>
        <w:t>PP-05 – Không có dữ liệu tổng hợp để báo cáo: Hệ thống tổng hợp báo cáo doanh thu theo thời gian thực từ dữ liệu giao dịch, không cần cộng tay Excel.</w:t>
      </w:r>
    </w:p>
    <w:p>
      <w:pPr>
        <w:pStyle w:val="Heading2"/>
      </w:pPr>
      <w:r>
        <w:rPr>
          <w:rFonts w:ascii="Calibri" w:hAnsi="Calibri"/>
          <w:b/>
          <w:i w:val="0"/>
          <w:color w:val="1B365D"/>
          <w:sz w:val="26"/>
        </w:rPr>
        <w:t>7.2. Quy trình nghiệp vụ mong muốn (To-Be)</w:t>
      </w:r>
    </w:p>
    <w:p>
      <w:pPr>
        <w:shd w:val="clear" w:color="auto" w:fill="F3F4F6"/>
        <w:spacing w:after="40"/>
      </w:pPr>
      <w:r>
        <w:rPr>
          <w:rFonts w:ascii="Consolas" w:hAnsi="Consolas"/>
          <w:b w:val="0"/>
          <w:i w:val="0"/>
          <w:color w:val="1B1B1B"/>
          <w:sz w:val="19"/>
        </w:rPr>
        <w:t>@startuml</w:t>
        <w:br/>
      </w:r>
      <w:r>
        <w:rPr>
          <w:rFonts w:ascii="Consolas" w:hAnsi="Consolas"/>
          <w:b w:val="0"/>
          <w:i w:val="0"/>
          <w:color w:val="1B1B1B"/>
          <w:sz w:val="19"/>
        </w:rPr>
        <w:t>start</w:t>
        <w:br/>
      </w:r>
      <w:r>
        <w:rPr>
          <w:rFonts w:ascii="Consolas" w:hAnsi="Consolas"/>
          <w:b w:val="0"/>
          <w:i w:val="0"/>
          <w:color w:val="1B1B1B"/>
          <w:sz w:val="19"/>
        </w:rPr>
        <w:t>:Khách xem tồn kho thời gian thực trên website;</w:t>
        <w:br/>
      </w:r>
      <w:r>
        <w:rPr>
          <w:rFonts w:ascii="Consolas" w:hAnsi="Consolas"/>
          <w:b w:val="0"/>
          <w:i w:val="0"/>
          <w:color w:val="1B1B1B"/>
          <w:sz w:val="19"/>
        </w:rPr>
        <w:t>:Khách chọn ngày thuê, hệ thống tự kiểm tra trùng lịch;</w:t>
        <w:br/>
      </w:r>
      <w:r>
        <w:rPr>
          <w:rFonts w:ascii="Consolas" w:hAnsi="Consolas"/>
          <w:b w:val="0"/>
          <w:i w:val="0"/>
          <w:color w:val="1B1B1B"/>
          <w:sz w:val="19"/>
        </w:rPr>
        <w:t>if (Sản phẩm còn trống đúng khoảng ngày chọn?) then (Không)</w:t>
        <w:br/>
      </w:r>
      <w:r>
        <w:rPr>
          <w:rFonts w:ascii="Consolas" w:hAnsi="Consolas"/>
          <w:b w:val="0"/>
          <w:i w:val="0"/>
          <w:color w:val="1B1B1B"/>
          <w:sz w:val="19"/>
        </w:rPr>
        <w:t xml:space="preserve">  :Hệ thống gợi ý sản phẩm khác/ngày khác;</w:t>
        <w:br/>
      </w:r>
      <w:r>
        <w:rPr>
          <w:rFonts w:ascii="Consolas" w:hAnsi="Consolas"/>
          <w:b w:val="0"/>
          <w:i w:val="0"/>
          <w:color w:val="1B1B1B"/>
          <w:sz w:val="19"/>
        </w:rPr>
        <w:t xml:space="preserve">  stop</w:t>
        <w:br/>
      </w:r>
      <w:r>
        <w:rPr>
          <w:rFonts w:ascii="Consolas" w:hAnsi="Consolas"/>
          <w:b w:val="0"/>
          <w:i w:val="0"/>
          <w:color w:val="1B1B1B"/>
          <w:sz w:val="19"/>
        </w:rPr>
        <w:t>else (Có)</w:t>
        <w:br/>
      </w:r>
      <w:r>
        <w:rPr>
          <w:rFonts w:ascii="Consolas" w:hAnsi="Consolas"/>
          <w:b w:val="0"/>
          <w:i w:val="0"/>
          <w:color w:val="1B1B1B"/>
          <w:sz w:val="19"/>
        </w:rPr>
        <w:t xml:space="preserve">  :Khách đặt thuê &amp; thanh toán cọc online (BRU-01);</w:t>
        <w:br/>
      </w:r>
      <w:r>
        <w:rPr>
          <w:rFonts w:ascii="Consolas" w:hAnsi="Consolas"/>
          <w:b w:val="0"/>
          <w:i w:val="0"/>
          <w:color w:val="1B1B1B"/>
          <w:sz w:val="19"/>
        </w:rPr>
        <w:t>endif</w:t>
        <w:br/>
      </w:r>
      <w:r>
        <w:rPr>
          <w:rFonts w:ascii="Consolas" w:hAnsi="Consolas"/>
          <w:b w:val="0"/>
          <w:i w:val="0"/>
          <w:color w:val="1B1B1B"/>
          <w:sz w:val="19"/>
        </w:rPr>
        <w:t>:Hệ thống tự tính tiền thuê theo biểu giá lũy tiến (BRU-02);</w:t>
        <w:br/>
      </w:r>
      <w:r>
        <w:rPr>
          <w:rFonts w:ascii="Consolas" w:hAnsi="Consolas"/>
          <w:b w:val="0"/>
          <w:i w:val="0"/>
          <w:color w:val="1B1B1B"/>
          <w:sz w:val="19"/>
        </w:rPr>
        <w:t>:Nhân viên xác nhận đơn và bàn giao cho đối tác giao vận mang đến tận nơi cho khách;</w:t>
        <w:br/>
      </w:r>
      <w:r>
        <w:rPr>
          <w:rFonts w:ascii="Consolas" w:hAnsi="Consolas"/>
          <w:b w:val="0"/>
          <w:i w:val="0"/>
          <w:color w:val="1B1B1B"/>
          <w:sz w:val="19"/>
        </w:rPr>
        <w:t>:Hệ thống tự nhắc hạn trả trước ngày hết hạn (BR-06);</w:t>
        <w:br/>
      </w:r>
      <w:r>
        <w:rPr>
          <w:rFonts w:ascii="Consolas" w:hAnsi="Consolas"/>
          <w:b w:val="0"/>
          <w:i w:val="0"/>
          <w:color w:val="1B1B1B"/>
          <w:sz w:val="19"/>
        </w:rPr>
        <w:t>:Đối tác giao vận đến lấy hàng trả, nhân viên kiểm đếm theo checklist điện tử khi hàng về kho;</w:t>
        <w:br/>
      </w:r>
      <w:r>
        <w:rPr>
          <w:rFonts w:ascii="Consolas" w:hAnsi="Consolas"/>
          <w:b w:val="0"/>
          <w:i w:val="0"/>
          <w:color w:val="1B1B1B"/>
          <w:sz w:val="19"/>
        </w:rPr>
        <w:t>if (Đủ linh kiện, đúng hạn?) then (Không)</w:t>
        <w:br/>
      </w:r>
      <w:r>
        <w:rPr>
          <w:rFonts w:ascii="Consolas" w:hAnsi="Consolas"/>
          <w:b w:val="0"/>
          <w:i w:val="0"/>
          <w:color w:val="1B1B1B"/>
          <w:sz w:val="19"/>
        </w:rPr>
        <w:t xml:space="preserve">  :Hệ thống tự tính phạt trễ hạn/đền bù (BRU-03, BRU-04);</w:t>
        <w:br/>
      </w:r>
      <w:r>
        <w:rPr>
          <w:rFonts w:ascii="Consolas" w:hAnsi="Consolas"/>
          <w:b w:val="0"/>
          <w:i w:val="0"/>
          <w:color w:val="1B1B1B"/>
          <w:sz w:val="19"/>
        </w:rPr>
        <w:t>else (Có / sau khi tính phạt)</w:t>
        <w:br/>
      </w:r>
      <w:r>
        <w:rPr>
          <w:rFonts w:ascii="Consolas" w:hAnsi="Consolas"/>
          <w:b w:val="0"/>
          <w:i w:val="0"/>
          <w:color w:val="1B1B1B"/>
          <w:sz w:val="19"/>
        </w:rPr>
        <w:t>endif</w:t>
        <w:br/>
      </w:r>
      <w:r>
        <w:rPr>
          <w:rFonts w:ascii="Consolas" w:hAnsi="Consolas"/>
          <w:b w:val="0"/>
          <w:i w:val="0"/>
          <w:color w:val="1B1B1B"/>
          <w:sz w:val="19"/>
        </w:rPr>
        <w:t>:Hệ thống tự tính và thực hiện hoàn cọc, gửi phiếu xác nhận;</w:t>
        <w:br/>
      </w:r>
      <w:r>
        <w:rPr>
          <w:rFonts w:ascii="Consolas" w:hAnsi="Consolas"/>
          <w:b w:val="0"/>
          <w:i w:val="0"/>
          <w:color w:val="1B1B1B"/>
          <w:sz w:val="19"/>
        </w:rPr>
        <w:t>stop</w:t>
        <w:br/>
      </w:r>
      <w:r>
        <w:rPr>
          <w:rFonts w:ascii="Consolas" w:hAnsi="Consolas"/>
          <w:b w:val="0"/>
          <w:i w:val="0"/>
          <w:color w:val="1B1B1B"/>
          <w:sz w:val="19"/>
        </w:rPr>
        <w:t>@enduml</w:t>
      </w:r>
    </w:p>
    <w:p/>
    <w:p>
      <w:pPr>
        <w:spacing w:after="240"/>
        <w:jc w:val="center"/>
      </w:pPr>
      <w:r>
        <w:rPr>
          <w:rFonts w:ascii="Calibri" w:hAnsi="Calibri"/>
          <w:b/>
          <w:i/>
          <w:color w:val="444444"/>
          <w:sz w:val="19"/>
        </w:rPr>
        <w:t>Hình 7.1 – Quy trình thuê/trả board game với hệ thống BoardVerse (To-Be)</w:t>
      </w:r>
    </w:p>
    <w:p>
      <w:pPr>
        <w:spacing w:after="120"/>
      </w:pPr>
      <w:r>
        <w:rPr>
          <w:rFonts w:ascii="Calibri" w:hAnsi="Calibri"/>
          <w:b/>
          <w:i w:val="0"/>
          <w:color w:val="222222"/>
          <w:sz w:val="21"/>
        </w:rPr>
        <w:t>Bảng so sánh As-Is và To-Be:</w:t>
      </w:r>
    </w:p>
    <w:tbl>
      <w:tblPr>
        <w:tblStyle w:val="TableGrid"/>
        <w:tblW w:type="auto" w:w="0"/>
        <w:jc w:val="center"/>
        <w:tblLayout w:type="fixed"/>
        <w:tblLook w:firstColumn="1" w:firstRow="1" w:lastColumn="0" w:lastRow="0" w:noHBand="0" w:noVBand="1" w:val="04A0"/>
      </w:tblPr>
      <w:tblGrid>
        <w:gridCol w:w="1984"/>
        <w:gridCol w:w="3118"/>
        <w:gridCol w:w="3402"/>
      </w:tblGrid>
      <w:tr>
        <w:tc>
          <w:tcPr>
            <w:tcW w:type="dxa" w:w="198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Tiêu chí</w:t>
            </w:r>
          </w:p>
        </w:tc>
        <w:tc>
          <w:tcPr>
            <w:tcW w:type="dxa" w:w="3118"/>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As-Is (hiện tại)</w:t>
            </w:r>
          </w:p>
        </w:tc>
        <w:tc>
          <w:tcPr>
            <w:tcW w:type="dxa" w:w="3402"/>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To-Be (với BoardVerse)</w:t>
            </w:r>
          </w:p>
        </w:tc>
      </w:tr>
      <w:tr>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Kiểm tra tồn kho</w:t>
            </w:r>
          </w:p>
        </w:tc>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Tra sổ/Excel thủ công, dễ trùng lịch</w:t>
            </w:r>
          </w:p>
        </w:tc>
        <w:tc>
          <w:tcPr>
            <w:tcW w:type="dxa" w:w="34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Kiểm tra tự động theo thời gian thực</w:t>
            </w:r>
          </w:p>
        </w:tc>
      </w:tr>
      <w:tr>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Tính tiền cọc/thuê</w:t>
            </w:r>
          </w:p>
        </w:tc>
        <w:tc>
          <w:tcPr>
            <w:tcW w:type="dxa" w:w="311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Tính tay, dễ sai</w:t>
            </w:r>
          </w:p>
        </w:tc>
        <w:tc>
          <w:tcPr>
            <w:tcW w:type="dxa" w:w="34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Tự động theo BRU-01, BRU-02</w:t>
            </w:r>
          </w:p>
        </w:tc>
      </w:tr>
      <w:tr>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Kiểm đếm linh kiện</w:t>
            </w:r>
          </w:p>
        </w:tc>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Bằng mắt, không checklist</w:t>
            </w:r>
          </w:p>
        </w:tc>
        <w:tc>
          <w:tcPr>
            <w:tcW w:type="dxa" w:w="34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Checklist điện tử bắt buộc theo từng game</w:t>
            </w:r>
          </w:p>
        </w:tc>
      </w:tr>
      <w:tr>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Hoàn cọc/phạt trễ hạn</w:t>
            </w:r>
          </w:p>
        </w:tc>
        <w:tc>
          <w:tcPr>
            <w:tcW w:type="dxa" w:w="311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Ghi tay, không phiếu xác nhận</w:t>
            </w:r>
          </w:p>
        </w:tc>
        <w:tc>
          <w:tcPr>
            <w:tcW w:type="dxa" w:w="34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Tự động theo BRU-03, BRU-04, có phiếu điện tử</w:t>
            </w:r>
          </w:p>
        </w:tc>
      </w:tr>
      <w:tr>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Thời gian xử lý 1 đơn</w:t>
            </w:r>
          </w:p>
        </w:tc>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~15 phút</w:t>
            </w:r>
          </w:p>
        </w:tc>
        <w:tc>
          <w:tcPr>
            <w:tcW w:type="dxa" w:w="34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Mục tiêu ≤ 3 phút</w:t>
            </w:r>
          </w:p>
        </w:tc>
      </w:tr>
    </w:tbl>
    <w:p/>
    <w:p>
      <w:pPr>
        <w:pStyle w:val="Heading2"/>
      </w:pPr>
      <w:r>
        <w:rPr>
          <w:rFonts w:ascii="Calibri" w:hAnsi="Calibri"/>
          <w:b/>
          <w:i w:val="0"/>
          <w:color w:val="1B365D"/>
          <w:sz w:val="26"/>
        </w:rPr>
        <w:t>7.3. Các phương án đã cân nhắc</w:t>
      </w:r>
    </w:p>
    <w:tbl>
      <w:tblPr>
        <w:tblStyle w:val="TableGrid"/>
        <w:tblW w:type="auto" w:w="0"/>
        <w:jc w:val="center"/>
        <w:tblLayout w:type="fixed"/>
        <w:tblLook w:firstColumn="1" w:firstRow="1" w:lastColumn="0" w:lastRow="0" w:noHBand="0" w:noVBand="1" w:val="04A0"/>
      </w:tblPr>
      <w:tblGrid>
        <w:gridCol w:w="2438"/>
        <w:gridCol w:w="2438"/>
        <w:gridCol w:w="2835"/>
        <w:gridCol w:w="794"/>
      </w:tblGrid>
      <w:tr>
        <w:tc>
          <w:tcPr>
            <w:tcW w:type="dxa" w:w="2438"/>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Phương án</w:t>
            </w:r>
          </w:p>
        </w:tc>
        <w:tc>
          <w:tcPr>
            <w:tcW w:type="dxa" w:w="2438"/>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Ưu điểm</w:t>
            </w:r>
          </w:p>
        </w:tc>
        <w:tc>
          <w:tcPr>
            <w:tcW w:type="dxa" w:w="2835"/>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Nhược điểm</w:t>
            </w:r>
          </w:p>
        </w:tc>
        <w:tc>
          <w:tcPr>
            <w:tcW w:type="dxa" w:w="79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Kết luận</w:t>
            </w:r>
          </w:p>
        </w:tc>
      </w:tr>
      <w:tr>
        <w:tc>
          <w:tcPr>
            <w:tcW w:type="dxa" w:w="243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Không làm gì (giữ nguyên thủ công)</w:t>
            </w:r>
          </w:p>
        </w:tc>
        <w:tc>
          <w:tcPr>
            <w:tcW w:type="dxa" w:w="243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Không tốn chi phí đầu tư</w:t>
            </w:r>
          </w:p>
        </w:tc>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Vấn đề PP-01..PP-05 tiếp tục kéo dài, mất cơ hội tăng doanh thu</w:t>
            </w:r>
          </w:p>
        </w:tc>
        <w:tc>
          <w:tcPr>
            <w:tcW w:type="dxa" w:w="79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Không chọn</w:t>
            </w:r>
          </w:p>
        </w:tc>
      </w:tr>
      <w:tr>
        <w:tc>
          <w:tcPr>
            <w:tcW w:type="dxa" w:w="243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Mua phần mềm quản lý cho thuê có sẵn trên thị trường</w:t>
            </w:r>
          </w:p>
        </w:tc>
        <w:tc>
          <w:tcPr>
            <w:tcW w:type="dxa" w:w="243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Triển khai nhanh</w:t>
            </w:r>
          </w:p>
        </w:tc>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Chi phí thuê bao dài hạn cao, không tuỳ biến quy tắc giá riêng (BRU-01..06)</w:t>
            </w:r>
          </w:p>
        </w:tc>
        <w:tc>
          <w:tcPr>
            <w:tcW w:type="dxa" w:w="79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Không chọn</w:t>
            </w:r>
          </w:p>
        </w:tc>
      </w:tr>
      <w:tr>
        <w:tc>
          <w:tcPr>
            <w:tcW w:type="dxa" w:w="243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Tự xây dựng hệ thống riêng (BoardVerse)</w:t>
            </w:r>
          </w:p>
        </w:tc>
        <w:tc>
          <w:tcPr>
            <w:tcW w:type="dxa" w:w="243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Tuỳ biến đúng quy tắc nghiệp vụ, chi phí một lần thấp hơn về dài hạn, phù hợp mục tiêu học tập/portfolio</w:t>
            </w:r>
          </w:p>
        </w:tc>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Cần thời gian phát triển ban đầu</w:t>
            </w:r>
          </w:p>
        </w:tc>
        <w:tc>
          <w:tcPr>
            <w:tcW w:type="dxa" w:w="79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Chọn phương án này</w:t>
            </w:r>
          </w:p>
        </w:tc>
      </w:tr>
    </w:tbl>
    <w:p/>
    <w:p>
      <w:pPr>
        <w:pStyle w:val="Heading1"/>
      </w:pPr>
      <w:r>
        <w:rPr>
          <w:rFonts w:ascii="Calibri" w:hAnsi="Calibri"/>
          <w:b/>
          <w:i w:val="0"/>
          <w:color w:val="1B365D"/>
          <w:sz w:val="32"/>
        </w:rPr>
        <w:t>8. Yêu cầu kinh doanh</w:t>
      </w:r>
    </w:p>
    <w:p>
      <w:pPr>
        <w:spacing w:after="120"/>
      </w:pPr>
      <w:r>
        <w:rPr>
          <w:rFonts w:ascii="Calibri" w:hAnsi="Calibri"/>
          <w:b w:val="0"/>
          <w:i w:val="0"/>
          <w:color w:val="222222"/>
          <w:sz w:val="21"/>
        </w:rPr>
        <w:t>Mọi yêu cầu trong chương này là đầu vào trực tiếp để xây dựng Tài liệu đặc tả yêu cầu phần mềm (SRS).</w:t>
      </w:r>
    </w:p>
    <w:p>
      <w:pPr>
        <w:pStyle w:val="Heading2"/>
      </w:pPr>
      <w:r>
        <w:rPr>
          <w:rFonts w:ascii="Calibri" w:hAnsi="Calibri"/>
          <w:b/>
          <w:i w:val="0"/>
          <w:color w:val="1B365D"/>
          <w:sz w:val="26"/>
        </w:rPr>
        <w:t>8.1. Yêu cầu nghiệp vụ (BR)</w:t>
      </w:r>
    </w:p>
    <w:tbl>
      <w:tblPr>
        <w:tblStyle w:val="TableGrid"/>
        <w:tblW w:type="auto" w:w="0"/>
        <w:jc w:val="center"/>
        <w:tblLayout w:type="fixed"/>
        <w:tblLook w:firstColumn="1" w:firstRow="1" w:lastColumn="0" w:lastRow="0" w:noHBand="0" w:noVBand="1" w:val="04A0"/>
      </w:tblPr>
      <w:tblGrid>
        <w:gridCol w:w="907"/>
        <w:gridCol w:w="5102"/>
        <w:gridCol w:w="1361"/>
        <w:gridCol w:w="1134"/>
      </w:tblGrid>
      <w:tr>
        <w:tc>
          <w:tcPr>
            <w:tcW w:type="dxa" w:w="907"/>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Mã</w:t>
            </w:r>
          </w:p>
        </w:tc>
        <w:tc>
          <w:tcPr>
            <w:tcW w:type="dxa" w:w="5102"/>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Yêu cầu nghiệp vụ</w:t>
            </w:r>
          </w:p>
        </w:tc>
        <w:tc>
          <w:tcPr>
            <w:tcW w:type="dxa" w:w="136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BO liên quan</w:t>
            </w:r>
          </w:p>
        </w:tc>
        <w:tc>
          <w:tcPr>
            <w:tcW w:type="dxa" w:w="113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Ưu tiên (MoSCoW)</w:t>
            </w:r>
          </w:p>
        </w:tc>
      </w:tr>
      <w:tr>
        <w:tc>
          <w:tcPr>
            <w:tcW w:type="dxa" w:w="90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BR-01</w:t>
            </w:r>
          </w:p>
        </w:tc>
        <w:tc>
          <w:tcPr>
            <w:tcW w:type="dxa" w:w="51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cho phép khách hàng tạo đơn thuê board game theo khoảng ngày do khách chọn.</w:t>
            </w:r>
          </w:p>
        </w:tc>
        <w:tc>
          <w:tcPr>
            <w:tcW w:type="dxa" w:w="136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BO-02</w:t>
            </w:r>
          </w:p>
        </w:tc>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Must</w:t>
            </w:r>
          </w:p>
        </w:tc>
      </w:tr>
      <w:tr>
        <w:tc>
          <w:tcPr>
            <w:tcW w:type="dxa" w:w="90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BR-02</w:t>
            </w:r>
          </w:p>
        </w:tc>
        <w:tc>
          <w:tcPr>
            <w:tcW w:type="dxa" w:w="51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tính tiền cọc và tiền thuê tự động theo quy tắc BRU-01, BRU-02.</w:t>
            </w:r>
          </w:p>
        </w:tc>
        <w:tc>
          <w:tcPr>
            <w:tcW w:type="dxa" w:w="136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BO-03, BO-05</w:t>
            </w:r>
          </w:p>
        </w:tc>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Must</w:t>
            </w:r>
          </w:p>
        </w:tc>
      </w:tr>
      <w:tr>
        <w:tc>
          <w:tcPr>
            <w:tcW w:type="dxa" w:w="90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BR-03</w:t>
            </w:r>
          </w:p>
        </w:tc>
        <w:tc>
          <w:tcPr>
            <w:tcW w:type="dxa" w:w="51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cho phép nhân viên kho ghi nhận kết quả kiểm đếm linh kiện khi nhập/xuất kho theo checklist từng tựa game.</w:t>
            </w:r>
          </w:p>
        </w:tc>
        <w:tc>
          <w:tcPr>
            <w:tcW w:type="dxa" w:w="136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BO-01</w:t>
            </w:r>
          </w:p>
        </w:tc>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Must</w:t>
            </w:r>
          </w:p>
        </w:tc>
      </w:tr>
      <w:tr>
        <w:tc>
          <w:tcPr>
            <w:tcW w:type="dxa" w:w="90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BR-04</w:t>
            </w:r>
          </w:p>
        </w:tc>
        <w:tc>
          <w:tcPr>
            <w:tcW w:type="dxa" w:w="51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tính tiền phạt trễ hạn và số tiền hoàn cọc tự động theo quy tắc BRU-03, BRU-04.</w:t>
            </w:r>
          </w:p>
        </w:tc>
        <w:tc>
          <w:tcPr>
            <w:tcW w:type="dxa" w:w="136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BO-05</w:t>
            </w:r>
          </w:p>
        </w:tc>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Must</w:t>
            </w:r>
          </w:p>
        </w:tc>
      </w:tr>
      <w:tr>
        <w:tc>
          <w:tcPr>
            <w:tcW w:type="dxa" w:w="90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BR-05</w:t>
            </w:r>
          </w:p>
        </w:tc>
        <w:tc>
          <w:tcPr>
            <w:tcW w:type="dxa" w:w="51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ngăn việc đặt thuê một sản phẩm trùng khoảng ngày với một đơn thuê khác đang còn hiệu lực trên sản phẩm đó.</w:t>
            </w:r>
          </w:p>
        </w:tc>
        <w:tc>
          <w:tcPr>
            <w:tcW w:type="dxa" w:w="136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BO-02, BO-03</w:t>
            </w:r>
          </w:p>
        </w:tc>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Must</w:t>
            </w:r>
          </w:p>
        </w:tc>
      </w:tr>
      <w:tr>
        <w:tc>
          <w:tcPr>
            <w:tcW w:type="dxa" w:w="90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BR-06</w:t>
            </w:r>
          </w:p>
        </w:tc>
        <w:tc>
          <w:tcPr>
            <w:tcW w:type="dxa" w:w="51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nên gửi thông báo nhắc hạn trả hàng cho khách trước ngày hết hạn thuê.</w:t>
            </w:r>
          </w:p>
        </w:tc>
        <w:tc>
          <w:tcPr>
            <w:tcW w:type="dxa" w:w="136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BO-01</w:t>
            </w:r>
          </w:p>
        </w:tc>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Should</w:t>
            </w:r>
          </w:p>
        </w:tc>
      </w:tr>
      <w:tr>
        <w:tc>
          <w:tcPr>
            <w:tcW w:type="dxa" w:w="90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BR-07</w:t>
            </w:r>
          </w:p>
        </w:tc>
        <w:tc>
          <w:tcPr>
            <w:tcW w:type="dxa" w:w="51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nên cung cấp báo cáo doanh thu bán/thuê theo tháng cho Admin.</w:t>
            </w:r>
          </w:p>
        </w:tc>
        <w:tc>
          <w:tcPr>
            <w:tcW w:type="dxa" w:w="136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BO-04</w:t>
            </w:r>
          </w:p>
        </w:tc>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Should</w:t>
            </w:r>
          </w:p>
        </w:tc>
      </w:tr>
      <w:tr>
        <w:tc>
          <w:tcPr>
            <w:tcW w:type="dxa" w:w="90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BR-08</w:t>
            </w:r>
          </w:p>
        </w:tc>
        <w:tc>
          <w:tcPr>
            <w:tcW w:type="dxa" w:w="51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có thể cho phép khách hàng xem lịch sử đơn mua/thuê của chính mình.</w:t>
            </w:r>
          </w:p>
        </w:tc>
        <w:tc>
          <w:tcPr>
            <w:tcW w:type="dxa" w:w="136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BO-02</w:t>
            </w:r>
          </w:p>
        </w:tc>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Could</w:t>
            </w:r>
          </w:p>
        </w:tc>
      </w:tr>
      <w:tr>
        <w:tc>
          <w:tcPr>
            <w:tcW w:type="dxa" w:w="90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BR-09</w:t>
            </w:r>
          </w:p>
        </w:tc>
        <w:tc>
          <w:tcPr>
            <w:tcW w:type="dxa" w:w="51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giao hàng và lấy hàng trả tận nơi cho khách ở cả hai chiều thông qua đối tác giao vận (không có hình thức tự đến lấy/tự mang trả), tự động chọn đối tác và tính phí giao vận theo khoảng cách giao nhận.</w:t>
            </w:r>
          </w:p>
        </w:tc>
        <w:tc>
          <w:tcPr>
            <w:tcW w:type="dxa" w:w="136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BO-02, BO-04</w:t>
            </w:r>
          </w:p>
        </w:tc>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Must</w:t>
            </w:r>
          </w:p>
        </w:tc>
      </w:tr>
      <w:tr>
        <w:tc>
          <w:tcPr>
            <w:tcW w:type="dxa" w:w="90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BR-10</w:t>
            </w:r>
          </w:p>
        </w:tc>
        <w:tc>
          <w:tcPr>
            <w:tcW w:type="dxa" w:w="51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cho phép khách hàng thanh toán trực tuyến bằng mã QR qua cổng thanh toán (ví điện tử/ngân hàng), và hoàn tiền vào ví điện tử nội bộ trên hệ thống khi cần hoàn cọc.</w:t>
            </w:r>
          </w:p>
        </w:tc>
        <w:tc>
          <w:tcPr>
            <w:tcW w:type="dxa" w:w="136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BO-02, BO-05</w:t>
            </w:r>
          </w:p>
        </w:tc>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Must</w:t>
            </w:r>
          </w:p>
        </w:tc>
      </w:tr>
      <w:tr>
        <w:tc>
          <w:tcPr>
            <w:tcW w:type="dxa" w:w="90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BR-11</w:t>
            </w:r>
          </w:p>
        </w:tc>
        <w:tc>
          <w:tcPr>
            <w:tcW w:type="dxa" w:w="51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cho phép Admin đăng nhập riêng biệt với khách hàng, và tạo/sửa/khoá tài khoản nhân viên (Staff).</w:t>
            </w:r>
          </w:p>
        </w:tc>
        <w:tc>
          <w:tcPr>
            <w:tcW w:type="dxa" w:w="136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BO-03</w:t>
            </w:r>
          </w:p>
        </w:tc>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Must</w:t>
            </w:r>
          </w:p>
        </w:tc>
      </w:tr>
      <w:tr>
        <w:tc>
          <w:tcPr>
            <w:tcW w:type="dxa" w:w="90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BR-12</w:t>
            </w:r>
          </w:p>
        </w:tc>
        <w:tc>
          <w:tcPr>
            <w:tcW w:type="dxa" w:w="51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cho phép Admin thêm/sửa/xoá sản phẩm, cập nhật giá bán và giá thuê.</w:t>
            </w:r>
          </w:p>
        </w:tc>
        <w:tc>
          <w:tcPr>
            <w:tcW w:type="dxa" w:w="136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BO-04</w:t>
            </w:r>
          </w:p>
        </w:tc>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Must</w:t>
            </w:r>
          </w:p>
        </w:tc>
      </w:tr>
      <w:tr>
        <w:tc>
          <w:tcPr>
            <w:tcW w:type="dxa" w:w="90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BR-13</w:t>
            </w:r>
          </w:p>
        </w:tc>
        <w:tc>
          <w:tcPr>
            <w:tcW w:type="dxa" w:w="51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nên cung cấp cho Admin báo cáo tổng hợp tồn kho và trạng thái đơn hàng/đơn thuê, ngoài báo cáo doanh thu (BR-07).</w:t>
            </w:r>
          </w:p>
        </w:tc>
        <w:tc>
          <w:tcPr>
            <w:tcW w:type="dxa" w:w="136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BO-04, BO-05</w:t>
            </w:r>
          </w:p>
        </w:tc>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Should</w:t>
            </w:r>
          </w:p>
        </w:tc>
      </w:tr>
      <w:tr>
        <w:tc>
          <w:tcPr>
            <w:tcW w:type="dxa" w:w="90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BR-14</w:t>
            </w:r>
          </w:p>
        </w:tc>
        <w:tc>
          <w:tcPr>
            <w:tcW w:type="dxa" w:w="51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cho phép khách hàng tự cập nhật thông tin cá nhân của chính mình (họ tên, số điện thoại, địa chỉ, đổi mật khẩu).</w:t>
            </w:r>
          </w:p>
        </w:tc>
        <w:tc>
          <w:tcPr>
            <w:tcW w:type="dxa" w:w="136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BO-02</w:t>
            </w:r>
          </w:p>
        </w:tc>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Must</w:t>
            </w:r>
          </w:p>
        </w:tc>
      </w:tr>
      <w:tr>
        <w:tc>
          <w:tcPr>
            <w:tcW w:type="dxa" w:w="90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BR-15</w:t>
            </w:r>
          </w:p>
        </w:tc>
        <w:tc>
          <w:tcPr>
            <w:tcW w:type="dxa" w:w="51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nên cho phép khách hàng đánh giá (số sao) và nhận xét sản phẩm đã mua/thuê, hiển thị điểm trung bình cho sản phẩm đó.</w:t>
            </w:r>
          </w:p>
        </w:tc>
        <w:tc>
          <w:tcPr>
            <w:tcW w:type="dxa" w:w="136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BO-04</w:t>
            </w:r>
          </w:p>
        </w:tc>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Should</w:t>
            </w:r>
          </w:p>
        </w:tc>
      </w:tr>
      <w:tr>
        <w:tc>
          <w:tcPr>
            <w:tcW w:type="dxa" w:w="90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BR-16</w:t>
            </w:r>
          </w:p>
        </w:tc>
        <w:tc>
          <w:tcPr>
            <w:tcW w:type="dxa" w:w="51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cho phép khách hàng rút tiền từ ví điện tử nội bộ về tài khoản ngân hàng của chính mình.</w:t>
            </w:r>
          </w:p>
        </w:tc>
        <w:tc>
          <w:tcPr>
            <w:tcW w:type="dxa" w:w="136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BO-05</w:t>
            </w:r>
          </w:p>
        </w:tc>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Must</w:t>
            </w:r>
          </w:p>
        </w:tc>
      </w:tr>
    </w:tbl>
    <w:p/>
    <w:p>
      <w:pPr>
        <w:pStyle w:val="Heading2"/>
      </w:pPr>
      <w:r>
        <w:rPr>
          <w:rFonts w:ascii="Calibri" w:hAnsi="Calibri"/>
          <w:b/>
          <w:i w:val="0"/>
          <w:color w:val="1B365D"/>
          <w:sz w:val="26"/>
        </w:rPr>
        <w:t>8.2. Quy tắc nghiệp vụ</w:t>
      </w:r>
    </w:p>
    <w:p>
      <w:pPr>
        <w:spacing w:after="120"/>
      </w:pPr>
      <w:r>
        <w:rPr>
          <w:rFonts w:ascii="Calibri" w:hAnsi="Calibri"/>
          <w:b/>
          <w:i w:val="0"/>
          <w:color w:val="222222"/>
          <w:sz w:val="21"/>
        </w:rPr>
        <w:t>BRU-01 – Đặt cọc khi thuê</w:t>
      </w:r>
    </w:p>
    <w:p>
      <w:pPr>
        <w:spacing w:after="120"/>
      </w:pPr>
      <w:r>
        <w:rPr>
          <w:rFonts w:ascii="Calibri" w:hAnsi="Calibri"/>
          <w:b w:val="0"/>
          <w:i w:val="0"/>
          <w:color w:val="222222"/>
          <w:sz w:val="21"/>
        </w:rPr>
        <w:t>Nếu khách đặt thuê một sản phẩm thì hệ thống phải thu cọc trước khi xuất kho, với số tiền cọc = giá niêm yết bán của sản phẩm (100%) + phí giao vận ước tính theo BRU-05 cho chiều giao hàng đến khách × 2 (dự trù cho cả chiều giao và chiều lấy hàng trả, vì cả hai chiều đều bắt buộc qua giao vận — hệ thống không còn hình thức tự đến lấy/tự mang trả). Chênh lệch phí ship giữa số đã giữ cọc và số thực tế phát sinh ở chiều trả hàng (do khoảng cách lấy hàng khác khoảng cách giao hàng, hoặc đổi đối tác giao vận) được điều chỉnh (hoàn thêm hoặc thu thêm) khi quyết toán hoàn cọc, cùng lúc với phạt trễ hạn (BRU-03) và đền bù (BRU-04) nếu có.</w:t>
      </w:r>
    </w:p>
    <w:p>
      <w:pPr>
        <w:spacing w:after="120"/>
      </w:pPr>
      <w:r>
        <w:rPr>
          <w:rFonts w:ascii="Calibri" w:hAnsi="Calibri"/>
          <w:b w:val="0"/>
          <w:i/>
          <w:color w:val="444444"/>
          <w:sz w:val="19"/>
        </w:rPr>
        <w:t>Căn cứ: Chính sách nội bộ chủ đầu tư (giả định)  |  Yêu cầu liên quan: BR-02, BR-09</w:t>
      </w:r>
    </w:p>
    <w:p>
      <w:pPr>
        <w:spacing w:after="120"/>
      </w:pPr>
      <w:r>
        <w:rPr>
          <w:rFonts w:ascii="Calibri" w:hAnsi="Calibri"/>
          <w:b/>
          <w:i w:val="0"/>
          <w:color w:val="222222"/>
          <w:sz w:val="21"/>
        </w:rPr>
        <w:t>BRU-02 – Đơn giá thuê theo ngày (lũy tiến giảm)</w:t>
      </w:r>
    </w:p>
    <w:p>
      <w:pPr>
        <w:spacing w:after="120"/>
      </w:pPr>
      <w:r>
        <w:rPr>
          <w:rFonts w:ascii="Calibri" w:hAnsi="Calibri"/>
          <w:b w:val="0"/>
          <w:i w:val="0"/>
          <w:color w:val="222222"/>
          <w:sz w:val="21"/>
        </w:rPr>
        <w:t>Nếu khách thuê N ngày thì đơn giá thuê = 10% giá niêm yết cho ngày thứ 1, 7% giá niêm yết cho mỗi ngày từ ngày thứ 2 đến ngày thứ 10, và 5% giá niêm yết cho mỗi ngày từ ngày thứ 11 trở đi; tổng tiền thuê = tổng đơn giá các ngày.</w:t>
      </w:r>
    </w:p>
    <w:p>
      <w:pPr>
        <w:spacing w:after="120"/>
      </w:pPr>
      <w:r>
        <w:rPr>
          <w:rFonts w:ascii="Calibri" w:hAnsi="Calibri"/>
          <w:b w:val="0"/>
          <w:i/>
          <w:color w:val="444444"/>
          <w:sz w:val="19"/>
        </w:rPr>
        <w:t>Căn cứ: Chính sách giá nội bộ chủ đầu tư (giả định)  |  Yêu cầu liên quan: BR-02</w:t>
      </w:r>
    </w:p>
    <w:p>
      <w:pPr>
        <w:spacing w:after="120"/>
      </w:pPr>
      <w:r>
        <w:rPr>
          <w:rFonts w:ascii="Calibri" w:hAnsi="Calibri"/>
          <w:b/>
          <w:i w:val="0"/>
          <w:color w:val="222222"/>
          <w:sz w:val="21"/>
        </w:rPr>
        <w:t>BRU-03 – Phạt trễ hạn trả hàng</w:t>
      </w:r>
    </w:p>
    <w:p>
      <w:pPr>
        <w:spacing w:after="120"/>
      </w:pPr>
      <w:r>
        <w:rPr>
          <w:rFonts w:ascii="Calibri" w:hAnsi="Calibri"/>
          <w:b w:val="0"/>
          <w:i w:val="0"/>
          <w:color w:val="222222"/>
          <w:sz w:val="21"/>
        </w:rPr>
        <w:t>Nếu khách trả hàng sau ngày hết hạn thuê thì mỗi ngày trễ bị phạt 15% giá niêm yết của sản phẩm, tổng mức phạt tối đa không vượt quá 100% giá niêm yết (bằng đúng số tiền cọc đã giữ).</w:t>
      </w:r>
    </w:p>
    <w:p>
      <w:pPr>
        <w:spacing w:after="120"/>
      </w:pPr>
      <w:r>
        <w:rPr>
          <w:rFonts w:ascii="Calibri" w:hAnsi="Calibri"/>
          <w:b w:val="0"/>
          <w:i/>
          <w:color w:val="444444"/>
          <w:sz w:val="19"/>
        </w:rPr>
        <w:t>Căn cứ: Chính sách nội bộ chủ đầu tư (giả định)  |  Yêu cầu liên quan: BR-04</w:t>
      </w:r>
    </w:p>
    <w:p>
      <w:pPr>
        <w:spacing w:after="120"/>
      </w:pPr>
      <w:r>
        <w:rPr>
          <w:rFonts w:ascii="Calibri" w:hAnsi="Calibri"/>
          <w:b/>
          <w:i w:val="0"/>
          <w:color w:val="222222"/>
          <w:sz w:val="21"/>
        </w:rPr>
        <w:t>BRU-04 – Quy chế đền bù khi mất/hư hỏng linh kiện</w:t>
      </w:r>
    </w:p>
    <w:p>
      <w:pPr>
        <w:spacing w:after="120"/>
      </w:pPr>
      <w:r>
        <w:rPr>
          <w:rFonts w:ascii="Calibri" w:hAnsi="Calibri"/>
          <w:b w:val="0"/>
          <w:i w:val="0"/>
          <w:color w:val="222222"/>
          <w:sz w:val="21"/>
        </w:rPr>
        <w:t>Nếu linh kiện bị mất/hư hỏng khi trả hàng thì: (a) với linh kiện độc bản không thể mua lẻ thay thế, khách đền 100% giá trị nguyên bộ sản phẩm; (b) với phụ kiện có thể mua lẻ thay thế, khách đền theo giá linh kiện lẻ niêm yết, hoặc 20% giá trị nguyên bộ nếu nhà phân phối không bán lẻ linh kiện đó.</w:t>
      </w:r>
    </w:p>
    <w:p>
      <w:pPr>
        <w:spacing w:after="120"/>
      </w:pPr>
      <w:r>
        <w:rPr>
          <w:rFonts w:ascii="Calibri" w:hAnsi="Calibri"/>
          <w:b w:val="0"/>
          <w:i/>
          <w:color w:val="444444"/>
          <w:sz w:val="19"/>
        </w:rPr>
        <w:t>Căn cứ: Chính sách nội bộ chủ đầu tư (giả định)  |  Yêu cầu liên quan: BR-04</w:t>
      </w:r>
    </w:p>
    <w:p>
      <w:pPr>
        <w:spacing w:after="120"/>
      </w:pPr>
      <w:r>
        <w:rPr>
          <w:rFonts w:ascii="Calibri" w:hAnsi="Calibri"/>
          <w:b/>
          <w:i w:val="0"/>
          <w:color w:val="222222"/>
          <w:sz w:val="21"/>
        </w:rPr>
        <w:t>BRU-05 – Chọn đối tác và tính phí giao vận theo khoảng cách</w:t>
      </w:r>
    </w:p>
    <w:p>
      <w:pPr>
        <w:spacing w:after="120"/>
      </w:pPr>
      <w:r>
        <w:rPr>
          <w:rFonts w:ascii="Calibri" w:hAnsi="Calibri"/>
          <w:b w:val="0"/>
          <w:i w:val="0"/>
          <w:color w:val="222222"/>
          <w:sz w:val="21"/>
        </w:rPr>
        <w:t>Mỗi chiều giao vận (giao hàng đến khách hoặc lấy hàng trả về kho) đều được hệ thống tự động chọn đối tác dựa trên khoảng cách đường chim bay giữa địa chỉ kho và địa chỉ của khách ở chiều đó: nếu khoảng cách ≤ 20km thì dùng Green SM (giao nhanh trong ngày); nếu &gt; 20km thì dùng Shopee Express (thời gian vận chuyển lâu hơn, thường 1-3 ngày). Phí giao vận của chiều đó do đối tác được chọn báo giá qua API tại thời điểm đặt, dựa trên khoảng cách thực tế; hệ thống không có hình thức tự đến lấy/tự mang trả.</w:t>
      </w:r>
    </w:p>
    <w:p>
      <w:pPr>
        <w:spacing w:after="120"/>
      </w:pPr>
      <w:r>
        <w:rPr>
          <w:rFonts w:ascii="Calibri" w:hAnsi="Calibri"/>
          <w:b w:val="0"/>
          <w:i/>
          <w:color w:val="444444"/>
          <w:sz w:val="19"/>
        </w:rPr>
        <w:t>Căn cứ: Chính sách nội bộ chủ đầu tư, báo giá giả định của Green SM/Shopee Express  |  Yêu cầu liên quan: BR-09</w:t>
      </w:r>
    </w:p>
    <w:p>
      <w:pPr>
        <w:spacing w:after="120"/>
      </w:pPr>
      <w:r>
        <w:rPr>
          <w:rFonts w:ascii="Calibri" w:hAnsi="Calibri"/>
          <w:b/>
          <w:i w:val="0"/>
          <w:color w:val="222222"/>
          <w:sz w:val="21"/>
        </w:rPr>
        <w:t>BRU-06 – Thanh toán trực tuyến qua mã QR và hoàn tiền vào ví điện tử nội bộ</w:t>
      </w:r>
    </w:p>
    <w:p>
      <w:pPr>
        <w:spacing w:after="120"/>
      </w:pPr>
      <w:r>
        <w:rPr>
          <w:rFonts w:ascii="Calibri" w:hAnsi="Calibri"/>
          <w:b w:val="0"/>
          <w:i w:val="0"/>
          <w:color w:val="222222"/>
          <w:sz w:val="21"/>
        </w:rPr>
        <w:t>Nếu khách chọn thanh toán trực tuyến thì hệ thống phải gọi cổng thanh toán MoMo (giả định) để sinh mã QR động gắn với đúng mã đơn và số tiền cần thu (cọc, tiền hàng hoặc tiền còn thiếu khi quyết toán); đơn chỉ được xác nhận là đã thanh toán sau khi hệ thống nhận được webhook xác nhận thành công từ MoMo, không chấp nhận xác nhận thủ công bằng lời khách báo. Khi cần hoàn tiền cho khách (hoàn cọc, hoàn chênh lệch ship), hệ thống cộng tiền vào Ví điện tử nội bộ của khách trên hệ thống (không hoàn trực tiếp qua MoMo); khách có thể dùng số dư ví để thanh toán cho đơn khác hoặc yêu cầu rút về tài khoản ngân hàng của chính mình (BR-16).</w:t>
      </w:r>
    </w:p>
    <w:p>
      <w:pPr>
        <w:spacing w:after="120"/>
      </w:pPr>
      <w:r>
        <w:rPr>
          <w:rFonts w:ascii="Calibri" w:hAnsi="Calibri"/>
          <w:b w:val="0"/>
          <w:i/>
          <w:color w:val="444444"/>
          <w:sz w:val="19"/>
        </w:rPr>
        <w:t>Căn cứ: Chính sách nội bộ chủ đầu tư (giả định)  |  Yêu cầu liên quan: BR-10, BR-16</w:t>
      </w:r>
    </w:p>
    <w:p>
      <w:pPr>
        <w:spacing w:after="120"/>
      </w:pPr>
      <w:r>
        <w:rPr>
          <w:rFonts w:ascii="Calibri" w:hAnsi="Calibri"/>
          <w:b/>
          <w:i w:val="0"/>
          <w:color w:val="222222"/>
          <w:sz w:val="21"/>
        </w:rPr>
        <w:t>BRU-07 – Ưu tiên theo thời điểm thanh toán thành công (không giữ chỗ trước)</w:t>
      </w:r>
    </w:p>
    <w:p>
      <w:pPr>
        <w:spacing w:after="120"/>
      </w:pPr>
      <w:r>
        <w:rPr>
          <w:rFonts w:ascii="Calibri" w:hAnsi="Calibri"/>
          <w:b w:val="0"/>
          <w:i w:val="0"/>
          <w:color w:val="222222"/>
          <w:sz w:val="21"/>
        </w:rPr>
        <w:t>Hệ thống không giữ chỗ/khoá tạm sản phẩm khi khách thêm vào giỏ hoặc bắt đầu thanh toán. Khi nhiều khách cùng thanh toán cho cùng một hộp game/khoảng ngày thuê trùng nhau, hệ thống chỉ xác nhận đơn cho khách có webhook thanh toán thành công đến trước (theo đúng thời điểm xử lý tại hệ thống); các khách còn lại nhận thông báo sản phẩm đã được người khác mua/thuê trước và được hoàn tiền ngay vào ví điện tử nội bộ nếu đã trừ tiền.</w:t>
      </w:r>
    </w:p>
    <w:p>
      <w:pPr>
        <w:spacing w:after="120"/>
      </w:pPr>
      <w:r>
        <w:rPr>
          <w:rFonts w:ascii="Calibri" w:hAnsi="Calibri"/>
          <w:b w:val="0"/>
          <w:i/>
          <w:color w:val="444444"/>
          <w:sz w:val="19"/>
        </w:rPr>
        <w:t>Căn cứ: Quyết định của chủ đầu tư (giả định), ưu tiên đơn giản hoá so với giữ chỗ tạm  |  Yêu cầu liên quan: BR-01, BR-05</w:t>
      </w:r>
    </w:p>
    <w:p>
      <w:pPr>
        <w:spacing w:after="120"/>
      </w:pPr>
      <w:r>
        <w:rPr>
          <w:rFonts w:ascii="Calibri" w:hAnsi="Calibri"/>
          <w:b/>
          <w:i w:val="0"/>
          <w:color w:val="222222"/>
          <w:sz w:val="21"/>
        </w:rPr>
        <w:t>Bảng tổng hợp quy tắc nghiệp vụ (Catalog):</w:t>
      </w:r>
    </w:p>
    <w:tbl>
      <w:tblPr>
        <w:tblStyle w:val="TableGrid"/>
        <w:tblW w:type="auto" w:w="0"/>
        <w:jc w:val="center"/>
        <w:tblLayout w:type="fixed"/>
        <w:tblLook w:firstColumn="1" w:firstRow="1" w:lastColumn="0" w:lastRow="0" w:noHBand="0" w:noVBand="1" w:val="04A0"/>
      </w:tblPr>
      <w:tblGrid>
        <w:gridCol w:w="1134"/>
        <w:gridCol w:w="3969"/>
        <w:gridCol w:w="3402"/>
      </w:tblGrid>
      <w:tr>
        <w:tc>
          <w:tcPr>
            <w:tcW w:type="dxa" w:w="113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Mã</w:t>
            </w:r>
          </w:p>
        </w:tc>
        <w:tc>
          <w:tcPr>
            <w:tcW w:type="dxa" w:w="3969"/>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Tên quy tắc</w:t>
            </w:r>
          </w:p>
        </w:tc>
        <w:tc>
          <w:tcPr>
            <w:tcW w:type="dxa" w:w="3402"/>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Yêu cầu BR liên quan</w:t>
            </w:r>
          </w:p>
        </w:tc>
      </w:tr>
      <w:tr>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BRU-01</w:t>
            </w:r>
          </w:p>
        </w:tc>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Đặt cọc khi thuê</w:t>
            </w:r>
          </w:p>
        </w:tc>
        <w:tc>
          <w:tcPr>
            <w:tcW w:type="dxa" w:w="34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BR-02, BR-09</w:t>
            </w:r>
          </w:p>
        </w:tc>
      </w:tr>
      <w:tr>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BRU-02</w:t>
            </w:r>
          </w:p>
        </w:tc>
        <w:tc>
          <w:tcPr>
            <w:tcW w:type="dxa" w:w="396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Đơn giá thuê theo ngày (lũy tiến giảm)</w:t>
            </w:r>
          </w:p>
        </w:tc>
        <w:tc>
          <w:tcPr>
            <w:tcW w:type="dxa" w:w="34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BR-02</w:t>
            </w:r>
          </w:p>
        </w:tc>
      </w:tr>
      <w:tr>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BRU-03</w:t>
            </w:r>
          </w:p>
        </w:tc>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Phạt trễ hạn trả hàng</w:t>
            </w:r>
          </w:p>
        </w:tc>
        <w:tc>
          <w:tcPr>
            <w:tcW w:type="dxa" w:w="34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BR-04</w:t>
            </w:r>
          </w:p>
        </w:tc>
      </w:tr>
      <w:tr>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BRU-04</w:t>
            </w:r>
          </w:p>
        </w:tc>
        <w:tc>
          <w:tcPr>
            <w:tcW w:type="dxa" w:w="396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Quy chế đền bù khi mất/hư hỏng linh kiện</w:t>
            </w:r>
          </w:p>
        </w:tc>
        <w:tc>
          <w:tcPr>
            <w:tcW w:type="dxa" w:w="34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BR-04</w:t>
            </w:r>
          </w:p>
        </w:tc>
      </w:tr>
      <w:tr>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BRU-05</w:t>
            </w:r>
          </w:p>
        </w:tc>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Chọn đối tác và tính phí giao vận theo khoảng cách</w:t>
            </w:r>
          </w:p>
        </w:tc>
        <w:tc>
          <w:tcPr>
            <w:tcW w:type="dxa" w:w="34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BR-09</w:t>
            </w:r>
          </w:p>
        </w:tc>
      </w:tr>
      <w:tr>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BRU-06</w:t>
            </w:r>
          </w:p>
        </w:tc>
        <w:tc>
          <w:tcPr>
            <w:tcW w:type="dxa" w:w="396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Thanh toán trực tuyến qua mã QR và hoàn tiền vào ví điện tử nội bộ</w:t>
            </w:r>
          </w:p>
        </w:tc>
        <w:tc>
          <w:tcPr>
            <w:tcW w:type="dxa" w:w="34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BR-10, BR-16</w:t>
            </w:r>
          </w:p>
        </w:tc>
      </w:tr>
      <w:tr>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BRU-07</w:t>
            </w:r>
          </w:p>
        </w:tc>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Ưu tiên theo thời điểm thanh toán thành công (không giữ chỗ trước)</w:t>
            </w:r>
          </w:p>
        </w:tc>
        <w:tc>
          <w:tcPr>
            <w:tcW w:type="dxa" w:w="34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BR-01, BR-05</w:t>
            </w:r>
          </w:p>
        </w:tc>
      </w:tr>
    </w:tbl>
    <w:p/>
    <w:p>
      <w:pPr>
        <w:pStyle w:val="Heading2"/>
      </w:pPr>
      <w:r>
        <w:rPr>
          <w:rFonts w:ascii="Calibri" w:hAnsi="Calibri"/>
          <w:b/>
          <w:i w:val="0"/>
          <w:color w:val="1B365D"/>
          <w:sz w:val="26"/>
        </w:rPr>
        <w:t>8.3. Nhóm người dùng và nhu cầu chính</w:t>
      </w:r>
    </w:p>
    <w:tbl>
      <w:tblPr>
        <w:tblStyle w:val="TableGrid"/>
        <w:tblW w:type="auto" w:w="0"/>
        <w:jc w:val="center"/>
        <w:tblLayout w:type="fixed"/>
        <w:tblLook w:firstColumn="1" w:firstRow="1" w:lastColumn="0" w:lastRow="0" w:noHBand="0" w:noVBand="1" w:val="04A0"/>
      </w:tblPr>
      <w:tblGrid>
        <w:gridCol w:w="2268"/>
        <w:gridCol w:w="4535"/>
        <w:gridCol w:w="1701"/>
      </w:tblGrid>
      <w:tr>
        <w:tc>
          <w:tcPr>
            <w:tcW w:type="dxa" w:w="2268"/>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Nhóm người dùng</w:t>
            </w:r>
          </w:p>
        </w:tc>
        <w:tc>
          <w:tcPr>
            <w:tcW w:type="dxa" w:w="4535"/>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Nhu cầu chính</w:t>
            </w:r>
          </w:p>
        </w:tc>
        <w:tc>
          <w:tcPr>
            <w:tcW w:type="dxa" w:w="170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BR liên quan</w:t>
            </w:r>
          </w:p>
        </w:tc>
      </w:tr>
      <w:tr>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Khách cá nhân/nhóm</w:t>
            </w:r>
          </w:p>
        </w:tc>
        <w:tc>
          <w:tcPr>
            <w:tcW w:type="dxa" w:w="45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Xem sản phẩm, đặt mua/đặt thuê, thanh toán online, theo dõi giao vận hai chiều, đánh giá sản phẩm, quản lý hồ sơ và ví điện tử, nhận hoàn cọc đúng hạn.</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BR-01, BR-02, BR-08, BR-09, BR-10, BR-14, BR-15, BR-16</w:t>
            </w:r>
          </w:p>
        </w:tc>
      </w:tr>
      <w:tr>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Nhân viên kho/xử lý đơn hàng</w:t>
            </w:r>
          </w:p>
        </w:tc>
        <w:tc>
          <w:tcPr>
            <w:tcW w:type="dxa" w:w="45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Xác nhận đơn, kiểm đếm linh kiện, xuất/nhập kho nhanh và chính xác, bàn giao cho đối tác giao vận.</w:t>
            </w:r>
          </w:p>
        </w:tc>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BR-03</w:t>
            </w:r>
          </w:p>
        </w:tc>
      </w:tr>
      <w:tr>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Quản lý vận hành (Admin)</w:t>
            </w:r>
          </w:p>
        </w:tc>
        <w:tc>
          <w:tcPr>
            <w:tcW w:type="dxa" w:w="45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Đăng nhập riêng, quản lý tài khoản nhân viên, quản lý danh mục sản phẩm và giá, xem báo cáo, theo dõi tồn kho.</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BR-07, BR-11, BR-12, BR-13</w:t>
            </w:r>
          </w:p>
        </w:tc>
      </w:tr>
    </w:tbl>
    <w:p/>
    <w:p>
      <w:pPr>
        <w:pStyle w:val="Heading2"/>
      </w:pPr>
      <w:r>
        <w:rPr>
          <w:rFonts w:ascii="Calibri" w:hAnsi="Calibri"/>
          <w:b/>
          <w:i w:val="0"/>
          <w:color w:val="1B365D"/>
          <w:sz w:val="26"/>
        </w:rPr>
        <w:t>8.4. Yêu cầu phi chức năng ở mức nghiệp vụ</w:t>
      </w:r>
    </w:p>
    <w:tbl>
      <w:tblPr>
        <w:tblStyle w:val="TableGrid"/>
        <w:tblW w:type="auto" w:w="0"/>
        <w:jc w:val="center"/>
        <w:tblLayout w:type="fixed"/>
        <w:tblLook w:firstColumn="1" w:firstRow="1" w:lastColumn="0" w:lastRow="0" w:noHBand="0" w:noVBand="1" w:val="04A0"/>
      </w:tblPr>
      <w:tblGrid>
        <w:gridCol w:w="1984"/>
        <w:gridCol w:w="6520"/>
      </w:tblGrid>
      <w:tr>
        <w:tc>
          <w:tcPr>
            <w:tcW w:type="dxa" w:w="198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Khía cạnh</w:t>
            </w:r>
          </w:p>
        </w:tc>
        <w:tc>
          <w:tcPr>
            <w:tcW w:type="dxa" w:w="6520"/>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Kỳ vọng</w:t>
            </w:r>
          </w:p>
        </w:tc>
      </w:tr>
      <w:tr>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Hiệu năng</w:t>
            </w:r>
          </w:p>
        </w:tc>
        <w:tc>
          <w:tcPr>
            <w:tcW w:type="dxa" w:w="65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Trang danh sách sản phẩm phải hiển thị trong vòng 3 giây với đường truyền 4G thông thường.</w:t>
            </w:r>
          </w:p>
        </w:tc>
      </w:tr>
      <w:tr>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Bảo mật</w:t>
            </w:r>
          </w:p>
        </w:tc>
        <w:tc>
          <w:tcPr>
            <w:tcW w:type="dxa" w:w="65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Thông tin tài khoản, ví điện tử và lịch sử giao dịch của khách phải được bảo vệ, chỉ chủ tài khoản và Admin truy cập được.</w:t>
            </w:r>
          </w:p>
        </w:tc>
      </w:tr>
      <w:tr>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Dễ dùng</w:t>
            </w:r>
          </w:p>
        </w:tc>
        <w:tc>
          <w:tcPr>
            <w:tcW w:type="dxa" w:w="65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Nhân viên mới phải thao tác được luồng xác nhận đơn thuê cơ bản sau tối đa 30 phút hướng dẫn.</w:t>
            </w:r>
          </w:p>
        </w:tc>
      </w:tr>
    </w:tbl>
    <w:p/>
    <w:p>
      <w:pPr>
        <w:pStyle w:val="Heading2"/>
      </w:pPr>
      <w:r>
        <w:rPr>
          <w:rFonts w:ascii="Calibri" w:hAnsi="Calibri"/>
          <w:b/>
          <w:i w:val="0"/>
          <w:color w:val="1B365D"/>
          <w:sz w:val="26"/>
        </w:rPr>
        <w:t>8.5. Yêu cầu chuyển đổi và triển khai</w:t>
      </w:r>
    </w:p>
    <w:tbl>
      <w:tblPr>
        <w:tblStyle w:val="TableGrid"/>
        <w:tblW w:type="auto" w:w="0"/>
        <w:jc w:val="center"/>
        <w:tblLayout w:type="fixed"/>
        <w:tblLook w:firstColumn="1" w:firstRow="1" w:lastColumn="0" w:lastRow="0" w:noHBand="0" w:noVBand="1" w:val="04A0"/>
      </w:tblPr>
      <w:tblGrid>
        <w:gridCol w:w="1587"/>
        <w:gridCol w:w="3118"/>
        <w:gridCol w:w="1701"/>
        <w:gridCol w:w="2098"/>
      </w:tblGrid>
      <w:tr>
        <w:tc>
          <w:tcPr>
            <w:tcW w:type="dxa" w:w="1587"/>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Hạng mục</w:t>
            </w:r>
          </w:p>
        </w:tc>
        <w:tc>
          <w:tcPr>
            <w:tcW w:type="dxa" w:w="3118"/>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Nội dung</w:t>
            </w:r>
          </w:p>
        </w:tc>
        <w:tc>
          <w:tcPr>
            <w:tcW w:type="dxa" w:w="170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Người phụ trách</w:t>
            </w:r>
          </w:p>
        </w:tc>
        <w:tc>
          <w:tcPr>
            <w:tcW w:type="dxa" w:w="2098"/>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Điều kiện hoàn thành</w:t>
            </w:r>
          </w:p>
        </w:tc>
      </w:tr>
      <w:tr>
        <w:tc>
          <w:tcPr>
            <w:tcW w:type="dxa" w:w="158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Chuyển dữ liệu</w:t>
            </w:r>
          </w:p>
        </w:tc>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Nhập lại danh mục ~500 sản phẩm hiện có từ file Excel vào hệ thống mới trước go-live.</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Quản lý vận hành</w:t>
            </w:r>
          </w:p>
        </w:tc>
        <w:tc>
          <w:tcPr>
            <w:tcW w:type="dxa" w:w="209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100% sản phẩm đang kinh doanh có trong hệ thống.</w:t>
            </w:r>
          </w:p>
        </w:tc>
      </w:tr>
      <w:tr>
        <w:tc>
          <w:tcPr>
            <w:tcW w:type="dxa" w:w="158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Đào tạo</w:t>
            </w:r>
          </w:p>
        </w:tc>
        <w:tc>
          <w:tcPr>
            <w:tcW w:type="dxa" w:w="311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Đào tạo 5 nhân viên kho/xử lý đơn hàng và 1 Admin sử dụng hệ thống.</w:t>
            </w:r>
          </w:p>
        </w:tc>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Quản lý vận hành</w:t>
            </w:r>
          </w:p>
        </w:tc>
        <w:tc>
          <w:tcPr>
            <w:tcW w:type="dxa" w:w="209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Toàn bộ nhân sự hoàn thành checklist thao tác mẫu.</w:t>
            </w:r>
          </w:p>
        </w:tc>
      </w:tr>
      <w:tr>
        <w:tc>
          <w:tcPr>
            <w:tcW w:type="dxa" w:w="158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Chạy song song</w:t>
            </w:r>
          </w:p>
        </w:tc>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Chạy song song hệ thống mới và sổ sách/Excel cũ trong 2 tuần đầu để đối chiếu.</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Quản lý vận hành</w:t>
            </w:r>
          </w:p>
        </w:tc>
        <w:tc>
          <w:tcPr>
            <w:tcW w:type="dxa" w:w="209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Không phát sinh sai lệch dữ liệu giữa 2 hệ thống trong 2 tuần.</w:t>
            </w:r>
          </w:p>
        </w:tc>
      </w:tr>
    </w:tbl>
    <w:p/>
    <w:p>
      <w:pPr>
        <w:pStyle w:val="Heading1"/>
      </w:pPr>
      <w:r>
        <w:rPr>
          <w:rFonts w:ascii="Calibri" w:hAnsi="Calibri"/>
          <w:b/>
          <w:i w:val="0"/>
          <w:color w:val="1B365D"/>
          <w:sz w:val="32"/>
        </w:rPr>
        <w:t>9. Phân tích tài chính</w:t>
      </w:r>
    </w:p>
    <w:p>
      <w:pPr>
        <w:spacing w:after="120"/>
      </w:pPr>
      <w:r>
        <w:rPr>
          <w:rFonts w:ascii="Calibri" w:hAnsi="Calibri"/>
          <w:b w:val="0"/>
          <w:i w:val="0"/>
          <w:color w:val="222222"/>
          <w:sz w:val="21"/>
        </w:rPr>
        <w:t>Toàn bộ số liệu tài chính là giả định của tác giả, dùng VNĐ, phân tích theo kỳ năm.</w:t>
      </w:r>
    </w:p>
    <w:p>
      <w:pPr>
        <w:pStyle w:val="Heading2"/>
      </w:pPr>
      <w:r>
        <w:rPr>
          <w:rFonts w:ascii="Calibri" w:hAnsi="Calibri"/>
          <w:b/>
          <w:i w:val="0"/>
          <w:color w:val="1B365D"/>
          <w:sz w:val="26"/>
        </w:rPr>
        <w:t>9.1. Chi phí</w:t>
      </w:r>
    </w:p>
    <w:p>
      <w:pPr>
        <w:spacing w:after="120"/>
      </w:pPr>
      <w:r>
        <w:rPr>
          <w:rFonts w:ascii="Calibri" w:hAnsi="Calibri"/>
          <w:b/>
          <w:i w:val="0"/>
          <w:color w:val="222222"/>
          <w:sz w:val="21"/>
        </w:rPr>
        <w:t>Chi phí một lần (đầu tư ban đầu):</w:t>
      </w:r>
    </w:p>
    <w:tbl>
      <w:tblPr>
        <w:tblStyle w:val="TableGrid"/>
        <w:tblW w:type="auto" w:w="0"/>
        <w:jc w:val="center"/>
        <w:tblLayout w:type="fixed"/>
        <w:tblLook w:firstColumn="1" w:firstRow="1" w:lastColumn="0" w:lastRow="0" w:noHBand="0" w:noVBand="1" w:val="04A0"/>
      </w:tblPr>
      <w:tblGrid>
        <w:gridCol w:w="2835"/>
        <w:gridCol w:w="1701"/>
        <w:gridCol w:w="3969"/>
      </w:tblGrid>
      <w:tr>
        <w:tc>
          <w:tcPr>
            <w:tcW w:type="dxa" w:w="2835"/>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Hạng mục</w:t>
            </w:r>
          </w:p>
        </w:tc>
        <w:tc>
          <w:tcPr>
            <w:tcW w:type="dxa" w:w="170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Chi phí</w:t>
            </w:r>
          </w:p>
        </w:tc>
        <w:tc>
          <w:tcPr>
            <w:tcW w:type="dxa" w:w="3969"/>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Cách ước tính / giả định</w:t>
            </w:r>
          </w:p>
        </w:tc>
      </w:tr>
      <w:tr>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Phân tích &amp; thiết kế nghiệp vụ (BA)</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28.000.000 VNĐ</w:t>
            </w:r>
          </w:p>
        </w:tc>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Quy đổi 2 tháng công BA x 14.000.000 VNĐ/tháng (mức lương BA thị trường, giả định)</w:t>
            </w:r>
          </w:p>
        </w:tc>
      </w:tr>
      <w:tr>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Phát triển phần mềm (lập trình, có AI hỗ trợ)</w:t>
            </w:r>
          </w:p>
        </w:tc>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45.000.000 VNĐ</w:t>
            </w:r>
          </w:p>
        </w:tc>
        <w:tc>
          <w:tcPr>
            <w:tcW w:type="dxa" w:w="396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Quy đổi 1,5 tháng công lập trình viên x 30.000.000 VNĐ/tháng (mức lương dev thị trường, giả định)</w:t>
            </w:r>
          </w:p>
        </w:tc>
      </w:tr>
      <w:tr>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Thiết kế UI/UX (wireframe, mockup)</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5.000.000 VNĐ</w:t>
            </w:r>
          </w:p>
        </w:tc>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Quy đổi công thiết kế 10 giờ</w:t>
            </w:r>
          </w:p>
        </w:tc>
      </w:tr>
      <w:tr>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Mua tên miền &amp; chứng chỉ SSL (năm đầu)</w:t>
            </w:r>
          </w:p>
        </w:tc>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600.000 VNĐ</w:t>
            </w:r>
          </w:p>
        </w:tc>
        <w:tc>
          <w:tcPr>
            <w:tcW w:type="dxa" w:w="396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Giá niêm yết nhà cung cấp domain phổ biến</w:t>
            </w:r>
          </w:p>
        </w:tc>
      </w:tr>
    </w:tbl>
    <w:p/>
    <w:p>
      <w:pPr>
        <w:spacing w:after="120"/>
      </w:pPr>
      <w:r>
        <w:rPr>
          <w:rFonts w:ascii="Calibri" w:hAnsi="Calibri"/>
          <w:b/>
          <w:i w:val="0"/>
          <w:color w:val="222222"/>
          <w:sz w:val="21"/>
        </w:rPr>
        <w:t>Tổng chi phí một lần: 78.600.000 VNĐ</w:t>
      </w:r>
    </w:p>
    <w:p>
      <w:pPr>
        <w:spacing w:after="120"/>
      </w:pPr>
      <w:r>
        <w:rPr>
          <w:rFonts w:ascii="Calibri" w:hAnsi="Calibri"/>
          <w:b/>
          <w:i w:val="0"/>
          <w:color w:val="222222"/>
          <w:sz w:val="21"/>
        </w:rPr>
        <w:t>Chi phí định kỳ (vận hành hàng năm):</w:t>
      </w:r>
    </w:p>
    <w:tbl>
      <w:tblPr>
        <w:tblStyle w:val="TableGrid"/>
        <w:tblW w:type="auto" w:w="0"/>
        <w:jc w:val="center"/>
        <w:tblLayout w:type="fixed"/>
        <w:tblLook w:firstColumn="1" w:firstRow="1" w:lastColumn="0" w:lastRow="0" w:noHBand="0" w:noVBand="1" w:val="04A0"/>
      </w:tblPr>
      <w:tblGrid>
        <w:gridCol w:w="2835"/>
        <w:gridCol w:w="1701"/>
        <w:gridCol w:w="3969"/>
      </w:tblGrid>
      <w:tr>
        <w:tc>
          <w:tcPr>
            <w:tcW w:type="dxa" w:w="2835"/>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Hạng mục</w:t>
            </w:r>
          </w:p>
        </w:tc>
        <w:tc>
          <w:tcPr>
            <w:tcW w:type="dxa" w:w="170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Chi phí/năm</w:t>
            </w:r>
          </w:p>
        </w:tc>
        <w:tc>
          <w:tcPr>
            <w:tcW w:type="dxa" w:w="3969"/>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Cách ước tính / giả định</w:t>
            </w:r>
          </w:p>
        </w:tc>
      </w:tr>
      <w:tr>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Hosting/PaaS (web + CSDL)</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3.600.000 VNĐ/năm</w:t>
            </w:r>
          </w:p>
        </w:tc>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Gói cơ bản nhà cung cấp PaaS phổ biến, quy đổi 300.000đ/tháng</w:t>
            </w:r>
          </w:p>
        </w:tc>
      </w:tr>
      <w:tr>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Duy trì tên miền</w:t>
            </w:r>
          </w:p>
        </w:tc>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600.000 VNĐ/năm</w:t>
            </w:r>
          </w:p>
        </w:tc>
        <w:tc>
          <w:tcPr>
            <w:tcW w:type="dxa" w:w="396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Phí gia hạn hàng năm</w:t>
            </w:r>
          </w:p>
        </w:tc>
      </w:tr>
      <w:tr>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Bảo trì &amp; sửa lỗi nhỏ</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6.000.000 VNĐ/năm</w:t>
            </w:r>
          </w:p>
        </w:tc>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Quy đổi 12 giờ công/năm x 500.000đ/giờ</w:t>
            </w:r>
          </w:p>
        </w:tc>
      </w:tr>
    </w:tbl>
    <w:p/>
    <w:p>
      <w:pPr>
        <w:spacing w:after="120"/>
      </w:pPr>
      <w:r>
        <w:rPr>
          <w:rFonts w:ascii="Calibri" w:hAnsi="Calibri"/>
          <w:b/>
          <w:i w:val="0"/>
          <w:color w:val="222222"/>
          <w:sz w:val="21"/>
        </w:rPr>
        <w:t>Tổng chi phí vận hành: 10.200.000 VNĐ/năm</w:t>
      </w:r>
    </w:p>
    <w:p>
      <w:pPr>
        <w:pStyle w:val="Heading2"/>
      </w:pPr>
      <w:r>
        <w:rPr>
          <w:rFonts w:ascii="Calibri" w:hAnsi="Calibri"/>
          <w:b/>
          <w:i w:val="0"/>
          <w:color w:val="1B365D"/>
          <w:sz w:val="26"/>
        </w:rPr>
        <w:t>9.2. Lợi ích</w:t>
      </w:r>
    </w:p>
    <w:tbl>
      <w:tblPr>
        <w:tblStyle w:val="TableGrid"/>
        <w:tblW w:type="auto" w:w="0"/>
        <w:jc w:val="center"/>
        <w:tblLayout w:type="fixed"/>
        <w:tblLook w:firstColumn="1" w:firstRow="1" w:lastColumn="0" w:lastRow="0" w:noHBand="0" w:noVBand="1" w:val="04A0"/>
      </w:tblPr>
      <w:tblGrid>
        <w:gridCol w:w="3969"/>
        <w:gridCol w:w="1417"/>
        <w:gridCol w:w="3118"/>
      </w:tblGrid>
      <w:tr>
        <w:tc>
          <w:tcPr>
            <w:tcW w:type="dxa" w:w="3969"/>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Lợi ích</w:t>
            </w:r>
          </w:p>
        </w:tc>
        <w:tc>
          <w:tcPr>
            <w:tcW w:type="dxa" w:w="1417"/>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Loại</w:t>
            </w:r>
          </w:p>
        </w:tc>
        <w:tc>
          <w:tcPr>
            <w:tcW w:type="dxa" w:w="3118"/>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Quy đổi/năm</w:t>
            </w:r>
          </w:p>
        </w:tc>
      </w:tr>
      <w:tr>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Tăng 20% doanh thu cho thuê (BO-04)</w:t>
            </w:r>
          </w:p>
        </w:tc>
        <w:tc>
          <w:tcPr>
            <w:tcW w:type="dxa" w:w="141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Hữu hình</w:t>
            </w:r>
          </w:p>
        </w:tc>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+72.000.000 VNĐ/năm (nền 360.000.000 VNĐ/năm)</w:t>
            </w:r>
          </w:p>
        </w:tc>
      </w:tr>
      <w:tr>
        <w:tc>
          <w:tcPr>
            <w:tcW w:type="dxa" w:w="396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Giảm thất thoát do mất linh kiện (BO-01)</w:t>
            </w:r>
          </w:p>
        </w:tc>
        <w:tc>
          <w:tcPr>
            <w:tcW w:type="dxa" w:w="141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Hữu hình</w:t>
            </w:r>
          </w:p>
        </w:tc>
        <w:tc>
          <w:tcPr>
            <w:tcW w:type="dxa" w:w="311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+6.000.000 VNĐ/năm</w:t>
            </w:r>
          </w:p>
        </w:tc>
      </w:tr>
      <w:tr>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Giảm giờ công xử lý đơn và báo cáo thủ công (BO-03, BO-05)</w:t>
            </w:r>
          </w:p>
        </w:tc>
        <w:tc>
          <w:tcPr>
            <w:tcW w:type="dxa" w:w="141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Hữu hình</w:t>
            </w:r>
          </w:p>
        </w:tc>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+6.000.000 VNĐ/năm</w:t>
            </w:r>
          </w:p>
        </w:tc>
      </w:tr>
      <w:tr>
        <w:tc>
          <w:tcPr>
            <w:tcW w:type="dxa" w:w="396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Nâng cao uy tín với khách nhóm/sự kiện nhờ minh bạch tiền cọc (BO-05)</w:t>
            </w:r>
          </w:p>
        </w:tc>
        <w:tc>
          <w:tcPr>
            <w:tcW w:type="dxa" w:w="141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Vô hình</w:t>
            </w:r>
          </w:p>
        </w:tc>
        <w:tc>
          <w:tcPr>
            <w:tcW w:type="dxa" w:w="311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Không quy đổi — tăng khả năng giữ chân khách hàng nhóm</w:t>
            </w:r>
          </w:p>
        </w:tc>
      </w:tr>
    </w:tbl>
    <w:p/>
    <w:p>
      <w:pPr>
        <w:pStyle w:val="Heading2"/>
      </w:pPr>
      <w:r>
        <w:rPr>
          <w:rFonts w:ascii="Calibri" w:hAnsi="Calibri"/>
          <w:b/>
          <w:i w:val="0"/>
          <w:color w:val="1B365D"/>
          <w:sz w:val="26"/>
        </w:rPr>
        <w:t>9.3. Hiệu quả đầu tư</w:t>
      </w:r>
    </w:p>
    <w:p>
      <w:pPr>
        <w:spacing w:after="120"/>
      </w:pPr>
      <w:r>
        <w:rPr>
          <w:rFonts w:ascii="Calibri" w:hAnsi="Calibri"/>
          <w:b w:val="0"/>
          <w:i w:val="0"/>
          <w:color w:val="222222"/>
          <w:sz w:val="21"/>
        </w:rPr>
        <w:t>Công thức: ROI = (Lợi ích ròng năm 1 − Chi phí đầu tư) ÷ Chi phí đầu tư. Thời gian hoàn vốn = Chi phí đầu tư ÷ Lợi ích ròng mỗi năm. NPV tính với tỷ lệ chiết khấu giả định 10%/năm, kỳ phân tích 2 năm.</w:t>
      </w:r>
    </w:p>
    <w:tbl>
      <w:tblPr>
        <w:tblStyle w:val="TableGrid"/>
        <w:tblW w:type="auto" w:w="0"/>
        <w:jc w:val="center"/>
        <w:tblLayout w:type="fixed"/>
        <w:tblLook w:firstColumn="1" w:firstRow="1" w:lastColumn="0" w:lastRow="0" w:noHBand="0" w:noVBand="1" w:val="04A0"/>
      </w:tblPr>
      <w:tblGrid>
        <w:gridCol w:w="4535"/>
        <w:gridCol w:w="3969"/>
      </w:tblGrid>
      <w:tr>
        <w:tc>
          <w:tcPr>
            <w:tcW w:type="dxa" w:w="4535"/>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Chỉ tiêu</w:t>
            </w:r>
          </w:p>
        </w:tc>
        <w:tc>
          <w:tcPr>
            <w:tcW w:type="dxa" w:w="3969"/>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Giá trị</w:t>
            </w:r>
          </w:p>
        </w:tc>
      </w:tr>
      <w:tr>
        <w:tc>
          <w:tcPr>
            <w:tcW w:type="dxa" w:w="45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Tổng lợi ích năm 1</w:t>
            </w:r>
          </w:p>
        </w:tc>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84.000.000 VNĐ</w:t>
            </w:r>
          </w:p>
        </w:tc>
      </w:tr>
      <w:tr>
        <w:tc>
          <w:tcPr>
            <w:tcW w:type="dxa" w:w="45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Chi phí vận hành năm 1</w:t>
            </w:r>
          </w:p>
        </w:tc>
        <w:tc>
          <w:tcPr>
            <w:tcW w:type="dxa" w:w="396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10.200.000 VNĐ</w:t>
            </w:r>
          </w:p>
        </w:tc>
      </w:tr>
      <w:tr>
        <w:tc>
          <w:tcPr>
            <w:tcW w:type="dxa" w:w="45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Lợi ích ròng năm 1</w:t>
            </w:r>
          </w:p>
        </w:tc>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73.800.000 VNĐ</w:t>
            </w:r>
          </w:p>
        </w:tc>
      </w:tr>
      <w:tr>
        <w:tc>
          <w:tcPr>
            <w:tcW w:type="dxa" w:w="45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Chi phí đầu tư ban đầu</w:t>
            </w:r>
          </w:p>
        </w:tc>
        <w:tc>
          <w:tcPr>
            <w:tcW w:type="dxa" w:w="396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78.600.000 VNĐ</w:t>
            </w:r>
          </w:p>
        </w:tc>
      </w:tr>
      <w:tr>
        <w:tc>
          <w:tcPr>
            <w:tcW w:type="dxa" w:w="45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Thời gian hoàn vốn (Payback period)</w:t>
            </w:r>
          </w:p>
        </w:tc>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 12,8 tháng</w:t>
            </w:r>
          </w:p>
        </w:tc>
      </w:tr>
      <w:tr>
        <w:tc>
          <w:tcPr>
            <w:tcW w:type="dxa" w:w="45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ROI năm 1</w:t>
            </w:r>
          </w:p>
        </w:tc>
        <w:tc>
          <w:tcPr>
            <w:tcW w:type="dxa" w:w="396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 -6,1%</w:t>
            </w:r>
          </w:p>
        </w:tc>
      </w:tr>
      <w:tr>
        <w:tc>
          <w:tcPr>
            <w:tcW w:type="dxa" w:w="45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NPV (2 năm, chiết khấu 10%/năm)</w:t>
            </w:r>
          </w:p>
        </w:tc>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 +49.480.000 VNĐ</w:t>
            </w:r>
          </w:p>
        </w:tc>
      </w:tr>
    </w:tbl>
    <w:p/>
    <w:p>
      <w:pPr>
        <w:spacing w:after="120"/>
      </w:pPr>
      <w:r>
        <w:rPr>
          <w:rFonts w:ascii="Calibri" w:hAnsi="Calibri"/>
          <w:b w:val="0"/>
          <w:i w:val="0"/>
          <w:color w:val="222222"/>
          <w:sz w:val="21"/>
        </w:rPr>
        <w:t>Diễn giải: ROI năm 1 âm vì chi phí đầu tư ban đầu chưa được thu hồi hết trong năm đầu, nhưng thời gian hoàn vốn khoảng 12,8 tháng (dưới 13 tháng) và NPV 2 năm dương cho thấy dự án vẫn đáng đầu tư về mặt tài chính trong kịch bản giả định này.</w:t>
      </w:r>
    </w:p>
    <w:p>
      <w:pPr>
        <w:pStyle w:val="Heading1"/>
      </w:pPr>
      <w:r>
        <w:rPr>
          <w:rFonts w:ascii="Calibri" w:hAnsi="Calibri"/>
          <w:b/>
          <w:i w:val="0"/>
          <w:color w:val="1B365D"/>
          <w:sz w:val="32"/>
        </w:rPr>
        <w:t>10. Phân tích rủi ro</w:t>
      </w:r>
    </w:p>
    <w:p>
      <w:pPr>
        <w:spacing w:after="120"/>
      </w:pPr>
      <w:r>
        <w:rPr>
          <w:rFonts w:ascii="Calibri" w:hAnsi="Calibri"/>
          <w:b w:val="0"/>
          <w:i w:val="0"/>
          <w:color w:val="222222"/>
          <w:sz w:val="21"/>
        </w:rPr>
        <w:t>Phân tích ở cấp độ dự án, không đi sâu rủi ro kỹ thuật chi tiết (thuộc phạm vi SDD).</w:t>
      </w:r>
    </w:p>
    <w:p>
      <w:pPr>
        <w:pStyle w:val="Heading2"/>
      </w:pPr>
      <w:r>
        <w:rPr>
          <w:rFonts w:ascii="Calibri" w:hAnsi="Calibri"/>
          <w:b/>
          <w:i w:val="0"/>
          <w:color w:val="1B365D"/>
          <w:sz w:val="26"/>
        </w:rPr>
        <w:t>10.1. Đánh giá rủi ro</w:t>
      </w:r>
    </w:p>
    <w:tbl>
      <w:tblPr>
        <w:tblStyle w:val="TableGrid"/>
        <w:tblW w:type="auto" w:w="0"/>
        <w:jc w:val="center"/>
        <w:tblLayout w:type="fixed"/>
        <w:tblLook w:firstColumn="1" w:firstRow="1" w:lastColumn="0" w:lastRow="0" w:noHBand="0" w:noVBand="1" w:val="04A0"/>
      </w:tblPr>
      <w:tblGrid>
        <w:gridCol w:w="1020"/>
        <w:gridCol w:w="3685"/>
        <w:gridCol w:w="1247"/>
        <w:gridCol w:w="1247"/>
        <w:gridCol w:w="2438"/>
      </w:tblGrid>
      <w:tr>
        <w:tc>
          <w:tcPr>
            <w:tcW w:type="dxa" w:w="1020"/>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Mã</w:t>
            </w:r>
          </w:p>
        </w:tc>
        <w:tc>
          <w:tcPr>
            <w:tcW w:type="dxa" w:w="3685"/>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Nếu... thì...</w:t>
            </w:r>
          </w:p>
        </w:tc>
        <w:tc>
          <w:tcPr>
            <w:tcW w:type="dxa" w:w="1247"/>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Xác suất</w:t>
            </w:r>
          </w:p>
        </w:tc>
        <w:tc>
          <w:tcPr>
            <w:tcW w:type="dxa" w:w="1247"/>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Tác động</w:t>
            </w:r>
          </w:p>
        </w:tc>
        <w:tc>
          <w:tcPr>
            <w:tcW w:type="dxa" w:w="2438"/>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Biện pháp ứng phó</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RISK-01</w:t>
            </w:r>
          </w:p>
        </w:tc>
        <w:tc>
          <w:tcPr>
            <w:tcW w:type="dxa" w:w="368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Nhân viên không tuân thủ checklist kiểm đếm linh kiện trên hệ thống mới.</w:t>
            </w:r>
          </w:p>
        </w:tc>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Trung bình</w:t>
            </w:r>
          </w:p>
        </w:tc>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Cao</w:t>
            </w:r>
          </w:p>
        </w:tc>
        <w:tc>
          <w:tcPr>
            <w:tcW w:type="dxa" w:w="243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Đào tạo kỹ, gắn kiểm đếm vào luồng xuất/nhập kho bắt buộc, không cho bỏ qua bước.</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RISK-02</w:t>
            </w:r>
          </w:p>
        </w:tc>
        <w:tc>
          <w:tcPr>
            <w:tcW w:type="dxa" w:w="368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Khách hàng không quen tự đặt thuê trên website, vẫn gọi điện/nhắn Zalo cho nhân viên hỗ trợ đặt hộ như cũ.</w:t>
            </w:r>
          </w:p>
        </w:tc>
        <w:tc>
          <w:tcPr>
            <w:tcW w:type="dxa" w:w="124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Cao</w:t>
            </w:r>
          </w:p>
        </w:tc>
        <w:tc>
          <w:tcPr>
            <w:tcW w:type="dxa" w:w="124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Trung bình</w:t>
            </w:r>
          </w:p>
        </w:tc>
        <w:tc>
          <w:tcPr>
            <w:tcW w:type="dxa" w:w="243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Ưu đãi nhỏ cho đơn khách tự đặt online trong tháng đầu, nhân viên hỗ trợ trực tuyến hướng dẫn khách qua điện thoại/chat.</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RISK-03</w:t>
            </w:r>
          </w:p>
        </w:tc>
        <w:tc>
          <w:tcPr>
            <w:tcW w:type="dxa" w:w="368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Sai sót khi nhập lại danh mục ~500 sản phẩm từ Excel cũ.</w:t>
            </w:r>
          </w:p>
        </w:tc>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Trung bình</w:t>
            </w:r>
          </w:p>
        </w:tc>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Trung bình</w:t>
            </w:r>
          </w:p>
        </w:tc>
        <w:tc>
          <w:tcPr>
            <w:tcW w:type="dxa" w:w="243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Chạy song song 2 tuần (mục 8.5) để đối chiếu trước khi tắt hệ thống cũ.</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RISK-04</w:t>
            </w:r>
          </w:p>
        </w:tc>
        <w:tc>
          <w:tcPr>
            <w:tcW w:type="dxa" w:w="368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Hạ tầng PaaS miễn phí/giá rẻ giới hạn tài nguyên khi lượng truy cập tăng.</w:t>
            </w:r>
          </w:p>
        </w:tc>
        <w:tc>
          <w:tcPr>
            <w:tcW w:type="dxa" w:w="124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Thấp</w:t>
            </w:r>
          </w:p>
        </w:tc>
        <w:tc>
          <w:tcPr>
            <w:tcW w:type="dxa" w:w="124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Trung bình</w:t>
            </w:r>
          </w:p>
        </w:tc>
        <w:tc>
          <w:tcPr>
            <w:tcW w:type="dxa" w:w="243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Theo dõi tải hệ thống, có phương án nâng cấp gói trả phí khi cần.</w:t>
            </w:r>
          </w:p>
        </w:tc>
      </w:tr>
    </w:tbl>
    <w:p/>
    <w:p>
      <w:pPr>
        <w:pStyle w:val="Heading2"/>
      </w:pPr>
      <w:r>
        <w:rPr>
          <w:rFonts w:ascii="Calibri" w:hAnsi="Calibri"/>
          <w:b/>
          <w:i w:val="0"/>
          <w:color w:val="1B365D"/>
          <w:sz w:val="26"/>
        </w:rPr>
        <w:t>10.2. Kế hoạch dự phòng cho rủi ro mức cao</w:t>
      </w:r>
    </w:p>
    <w:p>
      <w:pPr>
        <w:spacing w:after="120"/>
      </w:pPr>
      <w:r>
        <w:rPr>
          <w:rFonts w:ascii="Calibri" w:hAnsi="Calibri"/>
          <w:b/>
          <w:i w:val="0"/>
          <w:color w:val="222222"/>
          <w:sz w:val="21"/>
        </w:rPr>
        <w:t>RISK-01: Nhân viên không tuân thủ checklist kiểm đếm linh kiện trên hệ thống mới.</w:t>
      </w:r>
    </w:p>
    <w:p>
      <w:pPr>
        <w:spacing w:after="120"/>
      </w:pPr>
      <w:r>
        <w:rPr>
          <w:rFonts w:ascii="Calibri" w:hAnsi="Calibri"/>
          <w:b w:val="0"/>
          <w:i w:val="0"/>
          <w:color w:val="222222"/>
          <w:sz w:val="21"/>
        </w:rPr>
        <w:t>Dấu hiệu nhận biết: tỷ lệ/ số vụ liên quan tăng bất thường so với baseline ở Chương 4. Hành động: Đào tạo kỹ, gắn kiểm đếm vào luồng xuất/nhập kho bắt buộc, không cho bỏ qua bước. Người quyết định: Quản lý vận hành.</w:t>
      </w:r>
    </w:p>
    <w:p>
      <w:pPr>
        <w:spacing w:after="120"/>
      </w:pPr>
      <w:r>
        <w:rPr>
          <w:rFonts w:ascii="Calibri" w:hAnsi="Calibri"/>
          <w:b/>
          <w:i w:val="0"/>
          <w:color w:val="222222"/>
          <w:sz w:val="21"/>
        </w:rPr>
        <w:t>RISK-02: Khách hàng không quen tự đặt thuê trên website, vẫn gọi điện/nhắn Zalo cho nhân viên hỗ trợ đặt hộ như cũ.</w:t>
      </w:r>
    </w:p>
    <w:p>
      <w:pPr>
        <w:spacing w:after="120"/>
      </w:pPr>
      <w:r>
        <w:rPr>
          <w:rFonts w:ascii="Calibri" w:hAnsi="Calibri"/>
          <w:b w:val="0"/>
          <w:i w:val="0"/>
          <w:color w:val="222222"/>
          <w:sz w:val="21"/>
        </w:rPr>
        <w:t>Dấu hiệu nhận biết: tỷ lệ/ số vụ liên quan tăng bất thường so với baseline ở Chương 4. Hành động: Ưu đãi nhỏ cho đơn khách tự đặt online trong tháng đầu, nhân viên hỗ trợ trực tuyến hướng dẫn khách qua điện thoại/chat. Người quyết định: Quản lý vận hành.</w:t>
      </w:r>
    </w:p>
    <w:p>
      <w:pPr>
        <w:pStyle w:val="Heading1"/>
      </w:pPr>
      <w:r>
        <w:rPr>
          <w:rFonts w:ascii="Calibri" w:hAnsi="Calibri"/>
          <w:b/>
          <w:i w:val="0"/>
          <w:color w:val="1B365D"/>
          <w:sz w:val="32"/>
        </w:rPr>
        <w:t>11. Kế hoạch triển khai tổng quan</w:t>
      </w:r>
    </w:p>
    <w:p>
      <w:pPr>
        <w:spacing w:after="120"/>
      </w:pPr>
      <w:r>
        <w:rPr>
          <w:rFonts w:ascii="Calibri" w:hAnsi="Calibri"/>
          <w:b w:val="0"/>
          <w:i w:val="0"/>
          <w:color w:val="222222"/>
          <w:sz w:val="21"/>
        </w:rPr>
        <w:t>Kế hoạch chi tiết (WBS) được quản lý riêng trong "Kế_Hoạch_Chi_Tiết_Checklist_BoardVerse.docx"; chương này chỉ nêu các mốc lớn.</w:t>
      </w:r>
    </w:p>
    <w:p>
      <w:pPr>
        <w:pStyle w:val="Heading2"/>
      </w:pPr>
      <w:r>
        <w:rPr>
          <w:rFonts w:ascii="Calibri" w:hAnsi="Calibri"/>
          <w:b/>
          <w:i w:val="0"/>
          <w:color w:val="1B365D"/>
          <w:sz w:val="26"/>
        </w:rPr>
        <w:t>11.1. Giai đoạn và cột mốc</w:t>
      </w:r>
    </w:p>
    <w:tbl>
      <w:tblPr>
        <w:tblStyle w:val="TableGrid"/>
        <w:tblW w:type="auto" w:w="0"/>
        <w:jc w:val="center"/>
        <w:tblLayout w:type="fixed"/>
        <w:tblLook w:firstColumn="1" w:firstRow="1" w:lastColumn="0" w:lastRow="0" w:noHBand="0" w:noVBand="1" w:val="04A0"/>
      </w:tblPr>
      <w:tblGrid>
        <w:gridCol w:w="3402"/>
        <w:gridCol w:w="3685"/>
        <w:gridCol w:w="1701"/>
      </w:tblGrid>
      <w:tr>
        <w:tc>
          <w:tcPr>
            <w:tcW w:type="dxa" w:w="3402"/>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Giai đoạn</w:t>
            </w:r>
          </w:p>
        </w:tc>
        <w:tc>
          <w:tcPr>
            <w:tcW w:type="dxa" w:w="3685"/>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Sản phẩm bàn giao</w:t>
            </w:r>
          </w:p>
        </w:tc>
        <w:tc>
          <w:tcPr>
            <w:tcW w:type="dxa" w:w="170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Thời lượng ước tính</w:t>
            </w:r>
          </w:p>
        </w:tc>
      </w:tr>
      <w:tr>
        <w:tc>
          <w:tcPr>
            <w:tcW w:type="dxa" w:w="34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1. Tài liệu yêu cầu nghiệp vụ (BRD)</w:t>
            </w:r>
          </w:p>
        </w:tc>
        <w:tc>
          <w:tcPr>
            <w:tcW w:type="dxa" w:w="368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BRD_BoardVerse_v1.0.docx đã Sign-off</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3 tuần</w:t>
            </w:r>
          </w:p>
        </w:tc>
      </w:tr>
      <w:tr>
        <w:tc>
          <w:tcPr>
            <w:tcW w:type="dxa" w:w="34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 Tài liệu đặc tả yêu cầu phần mềm (SRS)</w:t>
            </w:r>
          </w:p>
        </w:tc>
        <w:tc>
          <w:tcPr>
            <w:tcW w:type="dxa" w:w="368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SRS_BoardVerse_v1.0.docx đã Scope Freeze</w:t>
            </w:r>
          </w:p>
        </w:tc>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3 tuần</w:t>
            </w:r>
          </w:p>
        </w:tc>
      </w:tr>
      <w:tr>
        <w:tc>
          <w:tcPr>
            <w:tcW w:type="dxa" w:w="34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3. Tài liệu thiết kế hệ thống (SDD)</w:t>
            </w:r>
          </w:p>
        </w:tc>
        <w:tc>
          <w:tcPr>
            <w:tcW w:type="dxa" w:w="368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SDD_BoardVerse_v1.0.docx đã phê duyệt kỹ thuật</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 tuần</w:t>
            </w:r>
          </w:p>
        </w:tc>
      </w:tr>
      <w:tr>
        <w:tc>
          <w:tcPr>
            <w:tcW w:type="dxa" w:w="34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4. Lập trình hệ thống (Development)</w:t>
            </w:r>
          </w:p>
        </w:tc>
        <w:tc>
          <w:tcPr>
            <w:tcW w:type="dxa" w:w="368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hoàn thiện theo đặc tả SDD, sẵn sàng kiểm thử</w:t>
            </w:r>
          </w:p>
        </w:tc>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6 tuần</w:t>
            </w:r>
          </w:p>
        </w:tc>
      </w:tr>
      <w:tr>
        <w:tc>
          <w:tcPr>
            <w:tcW w:type="dxa" w:w="34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5. Kiểm thử hệ thống &amp; UAT</w:t>
            </w:r>
          </w:p>
        </w:tc>
        <w:tc>
          <w:tcPr>
            <w:tcW w:type="dxa" w:w="368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Biên bản kiểm thử và biên bản nghiệm thu UAT đã ký</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 tuần</w:t>
            </w:r>
          </w:p>
        </w:tc>
      </w:tr>
      <w:tr>
        <w:tc>
          <w:tcPr>
            <w:tcW w:type="dxa" w:w="34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6. Triển khai &amp; đào tạo (Go-live)</w:t>
            </w:r>
          </w:p>
        </w:tc>
        <w:tc>
          <w:tcPr>
            <w:tcW w:type="dxa" w:w="368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vận hành chính thức thay quy trình thủ công, nhân sự đã đào tạo</w:t>
            </w:r>
          </w:p>
        </w:tc>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1 tuần</w:t>
            </w:r>
          </w:p>
        </w:tc>
      </w:tr>
    </w:tbl>
    <w:p/>
    <w:p>
      <w:pPr>
        <w:pStyle w:val="Heading2"/>
      </w:pPr>
      <w:r>
        <w:rPr>
          <w:rFonts w:ascii="Calibri" w:hAnsi="Calibri"/>
          <w:b/>
          <w:i w:val="0"/>
          <w:color w:val="1B365D"/>
          <w:sz w:val="26"/>
        </w:rPr>
        <w:t>11.2. Nguồn lực</w:t>
      </w:r>
    </w:p>
    <w:tbl>
      <w:tblPr>
        <w:tblStyle w:val="TableGrid"/>
        <w:tblW w:type="auto" w:w="0"/>
        <w:jc w:val="center"/>
        <w:tblLayout w:type="fixed"/>
        <w:tblLook w:firstColumn="1" w:firstRow="1" w:lastColumn="0" w:lastRow="0" w:noHBand="0" w:noVBand="1" w:val="04A0"/>
      </w:tblPr>
      <w:tblGrid>
        <w:gridCol w:w="3402"/>
        <w:gridCol w:w="2835"/>
        <w:gridCol w:w="2551"/>
      </w:tblGrid>
      <w:tr>
        <w:tc>
          <w:tcPr>
            <w:tcW w:type="dxa" w:w="3402"/>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Vai trò</w:t>
            </w:r>
          </w:p>
        </w:tc>
        <w:tc>
          <w:tcPr>
            <w:tcW w:type="dxa" w:w="2835"/>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Số lượng</w:t>
            </w:r>
          </w:p>
        </w:tc>
        <w:tc>
          <w:tcPr>
            <w:tcW w:type="dxa" w:w="255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Ghi chú</w:t>
            </w:r>
          </w:p>
        </w:tc>
      </w:tr>
      <w:tr>
        <w:tc>
          <w:tcPr>
            <w:tcW w:type="dxa" w:w="34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Business Analyst (tác giả)</w:t>
            </w:r>
          </w:p>
        </w:tc>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1</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Tác giả đồ án, phụ trách toàn bộ phân tích nghiệp vụ và soạn tài liệu BRD/SRS/SDD.</w:t>
            </w:r>
          </w:p>
        </w:tc>
      </w:tr>
      <w:tr>
        <w:tc>
          <w:tcPr>
            <w:tcW w:type="dxa" w:w="34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Project Manager (giả định)</w:t>
            </w:r>
          </w:p>
        </w:tc>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1</w:t>
            </w:r>
          </w:p>
        </w:tc>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Điều phối tiến độ, ngân sách và rủi ro dự án.</w:t>
            </w:r>
          </w:p>
        </w:tc>
      </w:tr>
      <w:tr>
        <w:tc>
          <w:tcPr>
            <w:tcW w:type="dxa" w:w="34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Product Owner (giả định)</w:t>
            </w:r>
          </w:p>
        </w:tc>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1</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Đại diện quyết định ưu tiên nghiệp vụ, phê duyệt backlog ở các giai đoạn sau.</w:t>
            </w:r>
          </w:p>
        </w:tc>
      </w:tr>
      <w:tr>
        <w:tc>
          <w:tcPr>
            <w:tcW w:type="dxa" w:w="34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Developer (giả định)</w:t>
            </w:r>
          </w:p>
        </w:tc>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1</w:t>
            </w:r>
          </w:p>
        </w:tc>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Lập trình hệ thống theo đặc tả SRS/SDD.</w:t>
            </w:r>
          </w:p>
        </w:tc>
      </w:tr>
      <w:tr>
        <w:tc>
          <w:tcPr>
            <w:tcW w:type="dxa" w:w="34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UI/UX Designer (giả định)</w:t>
            </w:r>
          </w:p>
        </w:tc>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1</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Thiết kế wireframe, mockup giao diện.</w:t>
            </w:r>
          </w:p>
        </w:tc>
      </w:tr>
      <w:tr>
        <w:tc>
          <w:tcPr>
            <w:tcW w:type="dxa" w:w="34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Ngân sách</w:t>
            </w:r>
          </w:p>
        </w:tc>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78.600.000 VNĐ (một lần) + 10.200.000 VNĐ/năm</w:t>
            </w:r>
          </w:p>
        </w:tc>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Khớp mục 9.1.</w:t>
            </w:r>
          </w:p>
        </w:tc>
      </w:tr>
      <w:tr>
        <w:tc>
          <w:tcPr>
            <w:tcW w:type="dxa" w:w="34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Công cụ/hạ tầng</w:t>
            </w:r>
          </w:p>
        </w:tc>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Next.js, Prisma, PostgreSQL, Vercel, GitHub</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Chi tiết tại Tài liệu thiết kế hệ thống (SDD).</w:t>
            </w:r>
          </w:p>
        </w:tc>
      </w:tr>
    </w:tbl>
    <w:p/>
    <w:p>
      <w:pPr>
        <w:pStyle w:val="Heading2"/>
      </w:pPr>
      <w:r>
        <w:rPr>
          <w:rFonts w:ascii="Calibri" w:hAnsi="Calibri"/>
          <w:b/>
          <w:i w:val="0"/>
          <w:color w:val="1B365D"/>
          <w:sz w:val="26"/>
        </w:rPr>
        <w:t>11.3. Quản lý thay đổi và truyền thông</w:t>
      </w:r>
    </w:p>
    <w:p>
      <w:pPr>
        <w:spacing w:after="120"/>
      </w:pPr>
      <w:r>
        <w:rPr>
          <w:rFonts w:ascii="Calibri" w:hAnsi="Calibri"/>
          <w:b w:val="0"/>
          <w:i w:val="0"/>
          <w:color w:val="222222"/>
          <w:sz w:val="21"/>
        </w:rPr>
        <w:t>Áp dụng chiến lược giao tiếp theo từng nhóm bên liên quan (Chương 6): báo cáo tiến độ hàng tuần cho Chủ đầu tư/Quản lý vận hành; tổ chức 1 buổi đào tạo trực tiếp cho nhân viên kho/xử lý đơn hàng trước go-live; thông báo thay đổi chính sách giá cho khách qua trang web.</w:t>
      </w:r>
    </w:p>
    <w:p>
      <w:pPr>
        <w:pStyle w:val="Heading1"/>
      </w:pPr>
      <w:r>
        <w:rPr>
          <w:rFonts w:ascii="Calibri" w:hAnsi="Calibri"/>
          <w:b/>
          <w:i w:val="0"/>
          <w:color w:val="1B365D"/>
          <w:sz w:val="32"/>
        </w:rPr>
        <w:t>12. Tiêu chí nghiệm thu và phê duyệt</w:t>
      </w:r>
    </w:p>
    <w:p>
      <w:pPr>
        <w:pStyle w:val="Heading2"/>
      </w:pPr>
      <w:r>
        <w:rPr>
          <w:rFonts w:ascii="Calibri" w:hAnsi="Calibri"/>
          <w:b/>
          <w:i w:val="0"/>
          <w:color w:val="1B365D"/>
          <w:sz w:val="26"/>
        </w:rPr>
        <w:t>12.1. Tiêu chí nghiệm thu</w:t>
      </w:r>
    </w:p>
    <w:tbl>
      <w:tblPr>
        <w:tblStyle w:val="TableGrid"/>
        <w:tblW w:type="auto" w:w="0"/>
        <w:jc w:val="center"/>
        <w:tblLayout w:type="fixed"/>
        <w:tblLook w:firstColumn="1" w:firstRow="1" w:lastColumn="0" w:lastRow="0" w:noHBand="0" w:noVBand="1" w:val="04A0"/>
      </w:tblPr>
      <w:tblGrid>
        <w:gridCol w:w="4252"/>
        <w:gridCol w:w="1984"/>
        <w:gridCol w:w="2268"/>
      </w:tblGrid>
      <w:tr>
        <w:tc>
          <w:tcPr>
            <w:tcW w:type="dxa" w:w="4252"/>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Tiêu chí</w:t>
            </w:r>
          </w:p>
        </w:tc>
        <w:tc>
          <w:tcPr>
            <w:tcW w:type="dxa" w:w="198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BR/KPI liên quan</w:t>
            </w:r>
          </w:p>
        </w:tc>
        <w:tc>
          <w:tcPr>
            <w:tcW w:type="dxa" w:w="2268"/>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Người nghiệm thu</w:t>
            </w:r>
          </w:p>
        </w:tc>
      </w:tr>
      <w:tr>
        <w:tc>
          <w:tcPr>
            <w:tcW w:type="dxa" w:w="425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tính đúng tiền cọc/thuê/phạt theo BRU-01..04 trên tối thiểu 10 kịch bản kiểm thử</w:t>
            </w:r>
          </w:p>
        </w:tc>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BR-02, BR-04</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Quản lý vận hành</w:t>
            </w:r>
          </w:p>
        </w:tc>
      </w:tr>
      <w:tr>
        <w:tc>
          <w:tcPr>
            <w:tcW w:type="dxa" w:w="425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chặn được 100% các lượt đặt thuê trùng lịch trong kiểm thử</w:t>
            </w:r>
          </w:p>
        </w:tc>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BR-05</w:t>
            </w:r>
          </w:p>
        </w:tc>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Quản lý vận hành</w:t>
            </w:r>
          </w:p>
        </w:tc>
      </w:tr>
      <w:tr>
        <w:tc>
          <w:tcPr>
            <w:tcW w:type="dxa" w:w="425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Checklist kiểm đếm linh kiện khả dụng cho toàn bộ 5 tựa game mẫu</w:t>
            </w:r>
          </w:p>
        </w:tc>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BR-03</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Nhân viên kho/xử lý đơn hàng</w:t>
            </w:r>
          </w:p>
        </w:tc>
      </w:tr>
      <w:tr>
        <w:tc>
          <w:tcPr>
            <w:tcW w:type="dxa" w:w="425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tính đúng phí giao vận theo khoảng cách và chọn đúng đối tác theo bán kính 20km (BRU-05), số tiền cọc có cộng ship (BRU-01) trên tối thiểu 6 kịch bản kiểm thử</w:t>
            </w:r>
          </w:p>
        </w:tc>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BR-09</w:t>
            </w:r>
          </w:p>
        </w:tc>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Quản lý vận hành</w:t>
            </w:r>
          </w:p>
        </w:tc>
      </w:tr>
      <w:tr>
        <w:tc>
          <w:tcPr>
            <w:tcW w:type="dxa" w:w="425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chỉ xác nhận đơn đã thanh toán sau khi nhận webhook thành công từ cổng thanh toán giả định (BRU-06)</w:t>
            </w:r>
          </w:p>
        </w:tc>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BR-10</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Quản lý vận hành</w:t>
            </w:r>
          </w:p>
        </w:tc>
      </w:tr>
      <w:tr>
        <w:tc>
          <w:tcPr>
            <w:tcW w:type="dxa" w:w="425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Thời gian xử lý 1 đơn thuê mẫu từ lúc khách đặt đến lúc nhân viên xác nhận ≤ 3 phút</w:t>
            </w:r>
          </w:p>
        </w:tc>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BO-03 / KPI tương ứng</w:t>
            </w:r>
          </w:p>
        </w:tc>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Quản lý vận hành</w:t>
            </w:r>
          </w:p>
        </w:tc>
      </w:tr>
    </w:tbl>
    <w:p/>
    <w:p>
      <w:pPr>
        <w:pStyle w:val="Heading2"/>
      </w:pPr>
      <w:r>
        <w:rPr>
          <w:rFonts w:ascii="Calibri" w:hAnsi="Calibri"/>
          <w:b/>
          <w:i w:val="0"/>
          <w:color w:val="1B365D"/>
          <w:sz w:val="26"/>
        </w:rPr>
        <w:t>12.2. Quy trình thay đổi yêu cầu</w:t>
      </w:r>
    </w:p>
    <w:p>
      <w:pPr>
        <w:pStyle w:val="ListNumber"/>
      </w:pPr>
      <w:r>
        <w:rPr>
          <w:rFonts w:ascii="Calibri" w:hAnsi="Calibri"/>
          <w:b w:val="0"/>
          <w:i w:val="0"/>
          <w:color w:val="222222"/>
          <w:sz w:val="21"/>
        </w:rPr>
        <w:t>Bên đề xuất (Chủ đầu tư, Quản lý vận hành hoặc đội dự án) gửi yêu cầu thay đổi bằng văn bản/email.</w:t>
      </w:r>
    </w:p>
    <w:p>
      <w:pPr>
        <w:pStyle w:val="ListNumber"/>
      </w:pPr>
      <w:r>
        <w:rPr>
          <w:rFonts w:ascii="Calibri" w:hAnsi="Calibri"/>
          <w:b w:val="0"/>
          <w:i w:val="0"/>
          <w:color w:val="222222"/>
          <w:sz w:val="21"/>
        </w:rPr>
        <w:t>BA (tác giả) đánh giá tác động đến phạm vi, chi phí, thời gian và các mục tiêu BO-xx liên quan.</w:t>
      </w:r>
    </w:p>
    <w:p>
      <w:pPr>
        <w:pStyle w:val="ListNumber"/>
      </w:pPr>
      <w:r>
        <w:rPr>
          <w:rFonts w:ascii="Calibri" w:hAnsi="Calibri"/>
          <w:b w:val="0"/>
          <w:i w:val="0"/>
          <w:color w:val="222222"/>
          <w:sz w:val="21"/>
        </w:rPr>
        <w:t>Chủ đầu tư phê duyệt hoặc từ chối thay đổi dựa trên đánh giá tác động.</w:t>
      </w:r>
    </w:p>
    <w:p>
      <w:pPr>
        <w:pStyle w:val="ListNumber"/>
      </w:pPr>
      <w:r>
        <w:rPr>
          <w:rFonts w:ascii="Calibri" w:hAnsi="Calibri"/>
          <w:b w:val="0"/>
          <w:i w:val="0"/>
          <w:color w:val="222222"/>
          <w:sz w:val="21"/>
        </w:rPr>
        <w:t>Nếu được duyệt, tài liệu BRD được cập nhật, tăng số phiên bản và ghi vào Lịch sử phiên bản.</w:t>
      </w:r>
    </w:p>
    <w:p>
      <w:pPr>
        <w:pStyle w:val="Heading2"/>
      </w:pPr>
      <w:r>
        <w:rPr>
          <w:rFonts w:ascii="Calibri" w:hAnsi="Calibri"/>
          <w:b/>
          <w:i w:val="0"/>
          <w:color w:val="1B365D"/>
          <w:sz w:val="26"/>
        </w:rPr>
        <w:t>12.3. Phê duyệt tài liệu</w:t>
      </w:r>
    </w:p>
    <w:p>
      <w:pPr>
        <w:spacing w:after="120"/>
      </w:pPr>
      <w:r>
        <w:rPr>
          <w:rFonts w:ascii="Calibri" w:hAnsi="Calibri"/>
          <w:b w:val="0"/>
          <w:i w:val="0"/>
          <w:color w:val="222222"/>
          <w:sz w:val="21"/>
        </w:rPr>
        <w:t>Tài liệu này được xem là chính thức phê duyệt (Sign-off) khi có đầy đủ xác nhận của các vai trò dưới đây.</w:t>
      </w:r>
    </w:p>
    <w:tbl>
      <w:tblPr>
        <w:tblStyle w:val="TableGrid"/>
        <w:tblW w:type="auto" w:w="0"/>
        <w:jc w:val="center"/>
        <w:tblLayout w:type="fixed"/>
        <w:tblLook w:firstColumn="1" w:firstRow="1" w:lastColumn="0" w:lastRow="0" w:noHBand="0" w:noVBand="1" w:val="04A0"/>
      </w:tblPr>
      <w:tblGrid>
        <w:gridCol w:w="2835"/>
        <w:gridCol w:w="3118"/>
        <w:gridCol w:w="1701"/>
        <w:gridCol w:w="1417"/>
      </w:tblGrid>
      <w:tr>
        <w:tc>
          <w:tcPr>
            <w:tcW w:type="dxa" w:w="2835"/>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Họ tên / Đại diện</w:t>
            </w:r>
          </w:p>
        </w:tc>
        <w:tc>
          <w:tcPr>
            <w:tcW w:type="dxa" w:w="3118"/>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Vai trò</w:t>
            </w:r>
          </w:p>
        </w:tc>
        <w:tc>
          <w:tcPr>
            <w:tcW w:type="dxa" w:w="170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Chữ ký</w:t>
            </w:r>
          </w:p>
        </w:tc>
        <w:tc>
          <w:tcPr>
            <w:tcW w:type="dxa" w:w="1417"/>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Ngày ký</w:t>
            </w:r>
          </w:p>
        </w:tc>
      </w:tr>
      <w:tr>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Chủ đầu tư (giả định)</w:t>
            </w:r>
          </w:p>
        </w:tc>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Đại diện bên đặt hàng</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r>
          </w:p>
        </w:tc>
        <w:tc>
          <w:tcPr>
            <w:tcW w:type="dxa" w:w="141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r>
          </w:p>
        </w:tc>
      </w:tr>
      <w:tr>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Quản lý vận hành (giả định)</w:t>
            </w:r>
          </w:p>
        </w:tc>
        <w:tc>
          <w:tcPr>
            <w:tcW w:type="dxa" w:w="311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Đại diện nghiệp vụ</w:t>
            </w:r>
          </w:p>
        </w:tc>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r>
          </w:p>
        </w:tc>
        <w:tc>
          <w:tcPr>
            <w:tcW w:type="dxa" w:w="141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r>
          </w:p>
        </w:tc>
      </w:tr>
      <w:tr>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Giảng viên hướng dẫn (giả định)</w:t>
            </w:r>
          </w:p>
        </w:tc>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Vai trò phê duyệt độc lập (giả định)</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r>
          </w:p>
        </w:tc>
        <w:tc>
          <w:tcPr>
            <w:tcW w:type="dxa" w:w="141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r>
          </w:p>
        </w:tc>
      </w:tr>
    </w:tbl>
    <w:p/>
    <w:p>
      <w:pPr>
        <w:pStyle w:val="Heading1"/>
      </w:pPr>
      <w:r>
        <w:rPr>
          <w:rFonts w:ascii="Calibri" w:hAnsi="Calibri"/>
          <w:b/>
          <w:i w:val="0"/>
          <w:color w:val="1B365D"/>
          <w:sz w:val="32"/>
        </w:rPr>
        <w:t>Phụ lục A. Ma trận truy vết sơ bộ BO – BR</w:t>
      </w:r>
    </w:p>
    <w:tbl>
      <w:tblPr>
        <w:tblStyle w:val="TableGrid"/>
        <w:tblW w:type="auto" w:w="0"/>
        <w:jc w:val="center"/>
        <w:tblLayout w:type="fixed"/>
        <w:tblLook w:firstColumn="1" w:firstRow="1" w:lastColumn="0" w:lastRow="0" w:noHBand="0" w:noVBand="1" w:val="04A0"/>
      </w:tblPr>
      <w:tblGrid>
        <w:gridCol w:w="2268"/>
        <w:gridCol w:w="6236"/>
      </w:tblGrid>
      <w:tr>
        <w:tc>
          <w:tcPr>
            <w:tcW w:type="dxa" w:w="2268"/>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Mục tiêu kinh doanh (BO)</w:t>
            </w:r>
          </w:p>
        </w:tc>
        <w:tc>
          <w:tcPr>
            <w:tcW w:type="dxa" w:w="6236"/>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Yêu cầu nghiệp vụ (BR) truy vết</w:t>
            </w:r>
          </w:p>
        </w:tc>
      </w:tr>
      <w:tr>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BO-01</w:t>
            </w:r>
          </w:p>
        </w:tc>
        <w:tc>
          <w:tcPr>
            <w:tcW w:type="dxa" w:w="6236"/>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BR-03, BR-06</w:t>
            </w:r>
          </w:p>
        </w:tc>
      </w:tr>
      <w:tr>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BO-02</w:t>
            </w:r>
          </w:p>
        </w:tc>
        <w:tc>
          <w:tcPr>
            <w:tcW w:type="dxa" w:w="6236"/>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BR-01, BR-05, BR-08, BR-09, BR-10, BR-14</w:t>
            </w:r>
          </w:p>
        </w:tc>
      </w:tr>
      <w:tr>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BO-03</w:t>
            </w:r>
          </w:p>
        </w:tc>
        <w:tc>
          <w:tcPr>
            <w:tcW w:type="dxa" w:w="6236"/>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BR-02, BR-05, BR-11</w:t>
            </w:r>
          </w:p>
        </w:tc>
      </w:tr>
      <w:tr>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BO-04</w:t>
            </w:r>
          </w:p>
        </w:tc>
        <w:tc>
          <w:tcPr>
            <w:tcW w:type="dxa" w:w="6236"/>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BR-07, BR-09, BR-12, BR-13, BR-15</w:t>
            </w:r>
          </w:p>
        </w:tc>
      </w:tr>
      <w:tr>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BO-05</w:t>
            </w:r>
          </w:p>
        </w:tc>
        <w:tc>
          <w:tcPr>
            <w:tcW w:type="dxa" w:w="6236"/>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BR-02, BR-04, BR-10, BR-13, BR-16</w:t>
            </w:r>
          </w:p>
        </w:tc>
      </w:tr>
    </w:tbl>
    <w:p/>
    <w:p>
      <w:pPr>
        <w:pStyle w:val="Heading1"/>
      </w:pPr>
      <w:r>
        <w:rPr>
          <w:rFonts w:ascii="Calibri" w:hAnsi="Calibri"/>
          <w:b/>
          <w:i w:val="0"/>
          <w:color w:val="1B365D"/>
          <w:sz w:val="32"/>
        </w:rPr>
        <w:t>Phụ lục B. Tài liệu bổ sung</w:t>
      </w:r>
    </w:p>
    <w:tbl>
      <w:tblPr>
        <w:tblStyle w:val="TableGrid"/>
        <w:tblW w:type="auto" w:w="0"/>
        <w:jc w:val="center"/>
        <w:tblLayout w:type="fixed"/>
        <w:tblLook w:firstColumn="1" w:firstRow="1" w:lastColumn="0" w:lastRow="0" w:noHBand="0" w:noVBand="1" w:val="04A0"/>
      </w:tblPr>
      <w:tblGrid>
        <w:gridCol w:w="3118"/>
        <w:gridCol w:w="3118"/>
        <w:gridCol w:w="2268"/>
      </w:tblGrid>
      <w:tr>
        <w:tc>
          <w:tcPr>
            <w:tcW w:type="dxa" w:w="3118"/>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Tài liệu</w:t>
            </w:r>
          </w:p>
        </w:tc>
        <w:tc>
          <w:tcPr>
            <w:tcW w:type="dxa" w:w="3118"/>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Nguồn</w:t>
            </w:r>
          </w:p>
        </w:tc>
        <w:tc>
          <w:tcPr>
            <w:tcW w:type="dxa" w:w="2268"/>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Dùng ở mục</w:t>
            </w:r>
          </w:p>
        </w:tc>
      </w:tr>
      <w:tr>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Bảng giá bán/thuê 5 tựa game mẫu</w:t>
            </w:r>
          </w:p>
        </w:tc>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Giả định của tác giả</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Mục 9.1, 9.2; dùng lại ở SDD (seed data)</w:t>
            </w:r>
          </w:p>
        </w:tc>
      </w:tr>
      <w:tr>
        <w:tc>
          <w:tcPr>
            <w:tcW w:type="dxa" w:w="311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Biên bản khảo sát hiện trạng (giả định)</w:t>
            </w:r>
          </w:p>
        </w:tc>
        <w:tc>
          <w:tcPr>
            <w:tcW w:type="dxa" w:w="311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Giả định của tác giả, thay thế Phụ lục phỏng vấn thực tế</w:t>
            </w:r>
          </w:p>
        </w:tc>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Mục 3.3</w:t>
            </w:r>
          </w:p>
        </w:tc>
      </w:tr>
      <w:tr>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Sổ tay quy tắc nghiệp vụ nội bộ (giả định)</w:t>
            </w:r>
          </w:p>
        </w:tc>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Giả định của tác giả</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Mục 8.2</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i w:val="0"/>
      <w:color w:val="1B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i w:val="0"/>
      <w:color w:val="1B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i w:val="0"/>
      <w:color w:val="1B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