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0" w:after="240" w:line="360" w:lineRule="auto"/>
        <w:jc w:val="both"/>
        <w:rPr>
          <w:rFonts w:hint="default" w:asciiTheme="minorAscii" w:hAnsiTheme="minorAscii"/>
          <w:sz w:val="24"/>
          <w:szCs w:val="24"/>
        </w:rPr>
      </w:pPr>
      <w:r>
        <w:rPr>
          <w:rFonts w:hint="default" w:asciiTheme="minorAscii" w:hAnsiTheme="minorAscii"/>
          <w:sz w:val="24"/>
          <w:szCs w:val="24"/>
        </w:rPr>
        <w:t>CHAPTER ONE</w:t>
      </w:r>
    </w:p>
    <w:p>
      <w:pPr>
        <w:pStyle w:val="2"/>
        <w:spacing w:before="0" w:after="480" w:line="360" w:lineRule="auto"/>
        <w:jc w:val="both"/>
        <w:rPr>
          <w:rFonts w:hint="default" w:asciiTheme="minorAscii" w:hAnsiTheme="minorAscii"/>
          <w:sz w:val="24"/>
          <w:szCs w:val="24"/>
        </w:rPr>
      </w:pPr>
      <w:r>
        <w:rPr>
          <w:rFonts w:hint="default" w:asciiTheme="minorAscii" w:hAnsiTheme="minorAscii"/>
          <w:sz w:val="24"/>
          <w:szCs w:val="24"/>
        </w:rPr>
        <w:t>INTRODUCTION</w:t>
      </w:r>
    </w:p>
    <w:p>
      <w:pPr>
        <w:pStyle w:val="3"/>
        <w:spacing w:before="480" w:after="240" w:line="360" w:lineRule="auto"/>
        <w:jc w:val="both"/>
        <w:rPr>
          <w:rFonts w:hint="default" w:asciiTheme="minorAscii" w:hAnsiTheme="minorAscii"/>
          <w:sz w:val="24"/>
          <w:szCs w:val="24"/>
        </w:rPr>
      </w:pPr>
      <w:bookmarkStart w:id="0" w:name="_GoBack"/>
      <w:r>
        <w:rPr>
          <w:rFonts w:hint="default" w:asciiTheme="minorAscii" w:hAnsiTheme="minorAscii"/>
          <w:sz w:val="24"/>
          <w:szCs w:val="24"/>
        </w:rPr>
        <w:t>1.1 Background to the Study</w:t>
      </w:r>
    </w:p>
    <w:p>
      <w:pPr>
        <w:keepNext w:val="0"/>
        <w:keepLines w:val="0"/>
        <w:widowControl/>
        <w:suppressLineNumbers w:val="0"/>
        <w:jc w:val="left"/>
        <w:rPr>
          <w:color w:val="FF0000"/>
        </w:rPr>
      </w:pPr>
      <w:r>
        <w:rPr>
          <w:rFonts w:hint="default" w:eastAsia="SimSun" w:cs="SimSun" w:asciiTheme="minorAscii" w:hAnsiTheme="minorAscii"/>
          <w:color w:val="FF0000"/>
          <w:kern w:val="0"/>
          <w:sz w:val="24"/>
          <w:szCs w:val="24"/>
          <w:lang w:val="en-US" w:eastAsia="zh-CN" w:bidi="ar"/>
        </w:rPr>
        <w:t xml:space="preserve">Student retention and academic success represent critical challenges confronting higher education institutions worldwide. National data highlights significant shifts in postsecondary persistence; for instance, the average adjusted cohort graduation rate (ACGR) for public high school students has risen to </w:t>
      </w:r>
      <w:r>
        <w:rPr>
          <w:rFonts w:hint="default" w:eastAsia="SimSun" w:cs="SimSun" w:asciiTheme="minorAscii" w:hAnsiTheme="minorAscii"/>
          <w:b/>
          <w:bCs/>
          <w:color w:val="FF0000"/>
          <w:kern w:val="0"/>
          <w:sz w:val="24"/>
          <w:szCs w:val="24"/>
          <w:lang w:val="en-US" w:eastAsia="zh-CN" w:bidi="ar"/>
        </w:rPr>
        <w:t>87 percent</w:t>
      </w:r>
      <w:r>
        <w:rPr>
          <w:rFonts w:hint="default" w:eastAsia="SimSun" w:cs="SimSun" w:asciiTheme="minorAscii" w:hAnsiTheme="minorAscii"/>
          <w:color w:val="FF0000"/>
          <w:kern w:val="0"/>
          <w:sz w:val="24"/>
          <w:szCs w:val="24"/>
          <w:lang w:val="en-US" w:eastAsia="zh-CN" w:bidi="ar"/>
        </w:rPr>
        <w:t xml:space="preserve"> as of the 2021–22 school year, indicating a recovery to pre-pandemic trajectories. Despite these gains in completion at the secondary level, undergraduate enrollment in degree-granting institutions has faced a decade-long decline, decreasing by </w:t>
      </w:r>
      <w:r>
        <w:rPr>
          <w:rFonts w:hint="default" w:eastAsia="SimSun" w:cs="SimSun" w:asciiTheme="minorAscii" w:hAnsiTheme="minorAscii"/>
          <w:b/>
          <w:bCs/>
          <w:color w:val="FF0000"/>
          <w:kern w:val="0"/>
          <w:sz w:val="24"/>
          <w:szCs w:val="24"/>
          <w:lang w:val="en-US" w:eastAsia="zh-CN" w:bidi="ar"/>
        </w:rPr>
        <w:t>13 percent</w:t>
      </w:r>
      <w:r>
        <w:rPr>
          <w:rFonts w:hint="default" w:eastAsia="SimSun" w:cs="SimSun" w:asciiTheme="minorAscii" w:hAnsiTheme="minorAscii"/>
          <w:color w:val="FF0000"/>
          <w:kern w:val="0"/>
          <w:sz w:val="24"/>
          <w:szCs w:val="24"/>
          <w:lang w:val="en-US" w:eastAsia="zh-CN" w:bidi="ar"/>
        </w:rPr>
        <w:t xml:space="preserve"> between fall 2012 and fall 2022. This attrition and enrollment volatility represent not only significant personal and economic costs for individual students but also substantial challenges for institutional sustainability, resource allocation, and educational mission fulfillment </w:t>
      </w:r>
      <w:r>
        <w:rPr>
          <w:rFonts w:ascii="SimSun" w:hAnsi="SimSun" w:eastAsia="SimSun" w:cs="SimSun"/>
          <w:color w:val="FF0000"/>
          <w:kern w:val="0"/>
          <w:sz w:val="24"/>
          <w:szCs w:val="24"/>
          <w:lang w:val="en-US" w:eastAsia="zh-CN" w:bidi="ar"/>
        </w:rPr>
        <w:t>\parencite{NCES2024}.</w:t>
      </w:r>
    </w:p>
    <w:p>
      <w:pPr>
        <w:keepNext w:val="0"/>
        <w:keepLines w:val="0"/>
        <w:widowControl/>
        <w:suppressLineNumbers w:val="0"/>
        <w:spacing w:line="360" w:lineRule="auto"/>
        <w:jc w:val="both"/>
        <w:rPr>
          <w:rFonts w:hint="default" w:eastAsia="SimSun" w:cs="SimSun" w:asciiTheme="minorAscii" w:hAnsiTheme="minorAscii"/>
          <w:color w:val="FF0000"/>
          <w:kern w:val="0"/>
          <w:sz w:val="24"/>
          <w:szCs w:val="24"/>
          <w:lang w:val="en-US" w:eastAsia="zh-CN" w:bidi="ar"/>
        </w:rPr>
      </w:pPr>
    </w:p>
    <w:p>
      <w:pPr>
        <w:keepNext w:val="0"/>
        <w:keepLines w:val="0"/>
        <w:widowControl/>
        <w:suppressLineNumbers w:val="0"/>
        <w:spacing w:line="360" w:lineRule="auto"/>
        <w:jc w:val="both"/>
        <w:rPr>
          <w:rFonts w:hint="default" w:eastAsia="SimSun" w:cs="SimSun" w:asciiTheme="minorAscii" w:hAnsiTheme="minorAscii"/>
          <w:color w:val="FF0000"/>
          <w:kern w:val="0"/>
          <w:sz w:val="24"/>
          <w:szCs w:val="24"/>
          <w:lang w:val="en-US" w:eastAsia="zh-CN" w:bidi="ar"/>
        </w:rPr>
      </w:pPr>
    </w:p>
    <w:p>
      <w:pPr>
        <w:spacing w:after="240" w:line="360" w:lineRule="auto"/>
        <w:ind w:firstLine="720"/>
        <w:jc w:val="both"/>
        <w:rPr>
          <w:rFonts w:hint="default" w:asciiTheme="minorAscii" w:hAnsiTheme="minorAscii"/>
          <w:color w:val="FF0000"/>
          <w:sz w:val="24"/>
          <w:szCs w:val="24"/>
        </w:rPr>
      </w:pPr>
      <w:r>
        <w:rPr>
          <w:rFonts w:hint="default" w:asciiTheme="minorAscii" w:hAnsiTheme="minorAscii"/>
          <w:color w:val="FF0000"/>
          <w:sz w:val="24"/>
          <w:szCs w:val="24"/>
        </w:rPr>
        <w:t>The advent of artificial intelligence and machine learning technologies has revolutionized approaches to student success analytics in higher education. Contemporary predictive analytics platforms have evolved beyond simple grade tracking to become comprehensive ecosystem monitors that analyze diverse data points to forecast student outcomes \parencite{Mapademics2025}. These sophisticated systems are increasingly vital as the educational landscape shifts; for instance, while the percentage of 25- to 34-year-olds in the United States with a postsecondary degree rose from 44 percent in 2012 to 51 percent in 2022, overall undergraduate enrollment saw a 13 percent decline in that same period \parencite{NCES2024}. Systems like those at Georgia State University exemplify this transformation, tracking hundreds of risk factors to generate targeted interventions \parencite{Mapademics2025}. By processing vast institutional datasets, machine learning algorithms can now identify subtle patterns of disengagement or academic difficulty—such as those reflected in the varying graduation rates across different demographics—with accuracy levels reaching 88--92\% \parencite{ScientificReports2025, NCES2024}.</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In the African context, and specifically within Kenya, higher education institutions face distinctive challenges that compound the global retention crisis. Kenya's public universities have experienced dramatic enrollment expansion, with student populations increasing substantially over the past decade while institutional resources have struggled to keep pace \parencite{Musasia2025}. Recent data indicates that while postgraduate student retention rates improved from 75\% in 2015 to 87\% in 2024, substantial attrition remains a systemic concern \parencite{AJER2025}. Kenyan institutions confront multifaceted challenges including severe funding gaps; currently, government capitation covers only 57\% of the Differentiated Unit Cost (DUC) against a target of 80\% \parencite{KIPPRA2024}. This is compounded by infrastructure deficits and a shortage of qualified academic staff, with some lecturers handling up to triple their contracted student load \parencite{Visualdo2024}. The financial constraints are particularly acute, with public universities accumulating pending bills of approximately Ksh 62 billion as of early 2022, threatening both payroll stability and the continuity of essential academic services \parencite{DailyNation2024}.</w:t>
      </w:r>
    </w:p>
    <w:p>
      <w:pPr>
        <w:spacing w:after="240" w:line="360" w:lineRule="auto"/>
        <w:ind w:firstLine="720"/>
        <w:jc w:val="both"/>
        <w:rPr>
          <w:rFonts w:hint="default" w:asciiTheme="minorAscii" w:hAnsiTheme="minorAscii"/>
          <w:sz w:val="24"/>
          <w:szCs w:val="24"/>
        </w:rPr>
      </w:pPr>
    </w:p>
    <w:bookmarkEnd w:id="0"/>
    <w:p>
      <w:pPr>
        <w:spacing w:after="240" w:line="360" w:lineRule="auto"/>
        <w:ind w:firstLine="720"/>
        <w:jc w:val="both"/>
        <w:rPr>
          <w:rFonts w:hint="default" w:asciiTheme="minorAscii" w:hAnsiTheme="minorAscii"/>
          <w:sz w:val="24"/>
          <w:szCs w:val="24"/>
        </w:rPr>
      </w:pP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Strathmore University, as one of Kenya's leading private institutions, operates within this challenging landscape while maintaining distinct characteristics. The university serves a diverse student population across five schools: the School of Computing and Engineering Sciences (SCES), Strathmore Business School (SBS), the School of Tourism and Hospitality (STH), Strathmore Law School (SLS), and the School of Humanities and Social Sciences (SHSS). Like other Kenyan institutions, Strathmore has implemented critical academic policies designed to maintain educational quality, including a minimum 67% attendance requirement for examination eligibility and a 2.0 GPA threshold for good academic standing. However, despite collecting extensive student data through Student Information Systems (SIS), Learning Management Systems (LMS), and attendance tracking mechanisms, the university lacks integrated, automated tools to proactively identify students at risk of academic failure, course failure, or program delays. The current reactive approach—addressing student difficulties only after grades decline or dropout occurs—represents a missed opportunity for timely intervention that could significantly improve student outcomes.</w:t>
      </w:r>
    </w:p>
    <w:p>
      <w:pPr>
        <w:spacing w:after="48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The technological gap in Kenyan higher education is substantial. While universities collect vast amounts of student data across multiple systems, this information remains largely siloed and underutilized for predictive purposes. Recent research demonstrates that machine learning models, particularly ensemble methods combining Random Forest, XGBoost, and Gradient Boosting algorithms, can achieve prediction accuracies exceeding 88% for student performance outcomes when properly trained on comprehensive educational datasets </w:t>
      </w:r>
      <w:r>
        <w:rPr>
          <w:rFonts w:hint="default" w:asciiTheme="minorAscii" w:hAnsiTheme="minorAscii"/>
          <w:i/>
          <w:iCs/>
          <w:sz w:val="24"/>
          <w:szCs w:val="24"/>
        </w:rPr>
        <w:t>(Turkmenbayev et al., 2025; Scientific Reports, 2025)</w:t>
      </w:r>
      <w:r>
        <w:rPr>
          <w:rFonts w:hint="default" w:asciiTheme="minorAscii" w:hAnsiTheme="minorAscii"/>
          <w:sz w:val="24"/>
          <w:szCs w:val="24"/>
        </w:rPr>
        <w:t xml:space="preserve">. However, the successful implementation of such systems requires not only technical sophistication but also careful attention to explainability and actionability. Educational stakeholders need transparent, interpretable models that provide clear insights into why particular students are flagged as at-risk and what specific interventions might prove most effective </w:t>
      </w:r>
      <w:r>
        <w:rPr>
          <w:rFonts w:hint="default" w:asciiTheme="minorAscii" w:hAnsiTheme="minorAscii"/>
          <w:i/>
          <w:iCs/>
          <w:sz w:val="24"/>
          <w:szCs w:val="24"/>
        </w:rPr>
        <w:t>(Frontiers in Education, 2025)</w:t>
      </w:r>
      <w:r>
        <w:rPr>
          <w:rFonts w:hint="default" w:asciiTheme="minorAscii" w:hAnsiTheme="minorAscii"/>
          <w:sz w:val="24"/>
          <w:szCs w:val="24"/>
        </w:rPr>
        <w:t>.</w:t>
      </w:r>
    </w:p>
    <w:p>
      <w:pPr>
        <w:pStyle w:val="3"/>
        <w:spacing w:before="480" w:after="240" w:line="360" w:lineRule="auto"/>
        <w:jc w:val="both"/>
        <w:rPr>
          <w:rFonts w:hint="default" w:asciiTheme="minorAscii" w:hAnsiTheme="minorAscii"/>
          <w:sz w:val="24"/>
          <w:szCs w:val="24"/>
        </w:rPr>
      </w:pPr>
      <w:r>
        <w:rPr>
          <w:rFonts w:hint="default" w:asciiTheme="minorAscii" w:hAnsiTheme="minorAscii"/>
          <w:sz w:val="24"/>
          <w:szCs w:val="24"/>
        </w:rPr>
        <w:t>1.2 Statement of the Problem</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Strathmore University, like many African higher education institutions, faces significant challenges in identifying and supporting at-risk students before academic failure occurs. The university maintains three critical systems that generate substantial student data: a Student Information System tracking demographics, enrollments, grades, and academic standing; a Learning Management System capturing engagement metrics including login frequency, assignment submissions, and resource access; and an attendance tracking system monitoring class participation. However, these systems operate independently without integrated analytics capabilities, resulting in fragmented data that cannot effectively inform proactive intervention strategies.</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The absence of an automated early warning system creates several critical gaps in student support. First, at-risk students are typically identified only after academic performance has deteriorated significantly—often at mid-semester or end-of-term grade postings—when intervention opportunities have substantially diminished. Second, the university's strict 67% attendance policy creates a binary threshold where students who fall below this requirement automatically become ineligible for examinations and face course failure, yet no systematic mechanism exists to flag students approaching this critical boundary before they cross it. Third, academic advisors and mentors lack data-driven tools to prioritize their limited time and resources toward students who would benefit most from intervention, resulting in reactive rather than proactive support strategies. Fourth, the university cannot systematically identify patterns or predictors of student risk across its diverse programs and schools, limiting its ability to develop evidence-based institutional policies and support services.</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This problem has direct consequences for student outcomes and institutional effectiveness. Students who might have succeeded with timely support instead face academic probation, course failures, program delays, or departure from the institution entirely. The university expends resources on recruitment and enrollment without corresponding mechanisms to protect that investment through retention support. Academic departments and schools lack visibility into emerging risk patterns that could inform curriculum adjustments or teaching practice improvements. Most critically, the institution's mission to produce successful graduates is compromised when preventable student failures occur due to the absence of systematic early intervention capabilities.</w:t>
      </w:r>
    </w:p>
    <w:p>
      <w:pPr>
        <w:spacing w:after="48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Recent advances in educational data mining and machine learning provide proven approaches to address these challenges. Studies demonstrate that predictive analytics systems can identify at-risk students with accuracies ranging from 85% to 92% when trained on comprehensive multi-source data including academic performance, attendance, engagement, and demographic factors </w:t>
      </w:r>
      <w:r>
        <w:rPr>
          <w:rFonts w:hint="default" w:asciiTheme="minorAscii" w:hAnsiTheme="minorAscii"/>
          <w:i/>
          <w:iCs/>
          <w:sz w:val="24"/>
          <w:szCs w:val="24"/>
        </w:rPr>
        <w:t>(Ahmed et al., 2024; Turkmenbayev et al., 2025; Scientific Reports, 2025)</w:t>
      </w:r>
      <w:r>
        <w:rPr>
          <w:rFonts w:hint="default" w:asciiTheme="minorAscii" w:hAnsiTheme="minorAscii"/>
          <w:sz w:val="24"/>
          <w:szCs w:val="24"/>
        </w:rPr>
        <w:t xml:space="preserve">. Furthermore, research shows that institutions implementing comprehensive student success analytics platforms report measurable improvements in retention rates and resource allocation efficiency </w:t>
      </w:r>
      <w:r>
        <w:rPr>
          <w:rFonts w:hint="default" w:asciiTheme="minorAscii" w:hAnsiTheme="minorAscii"/>
          <w:i/>
          <w:iCs/>
          <w:sz w:val="24"/>
          <w:szCs w:val="24"/>
        </w:rPr>
        <w:t>(Modern Campus, 2025; Liaison, 2025)</w:t>
      </w:r>
      <w:r>
        <w:rPr>
          <w:rFonts w:hint="default" w:asciiTheme="minorAscii" w:hAnsiTheme="minorAscii"/>
          <w:sz w:val="24"/>
          <w:szCs w:val="24"/>
        </w:rPr>
        <w:t>. However, Strathmore University currently lacks such a system, representing both a significant gap in student support infrastructure and an opportunity for meaningful innovation in the Kenyan higher education context.</w:t>
      </w:r>
    </w:p>
    <w:p>
      <w:pPr>
        <w:pStyle w:val="3"/>
        <w:spacing w:before="480" w:after="240" w:line="360" w:lineRule="auto"/>
        <w:jc w:val="both"/>
        <w:rPr>
          <w:rFonts w:hint="default" w:asciiTheme="minorAscii" w:hAnsiTheme="minorAscii"/>
          <w:sz w:val="24"/>
          <w:szCs w:val="24"/>
        </w:rPr>
      </w:pPr>
      <w:r>
        <w:rPr>
          <w:rFonts w:hint="default" w:asciiTheme="minorAscii" w:hAnsiTheme="minorAscii"/>
          <w:sz w:val="24"/>
          <w:szCs w:val="24"/>
        </w:rPr>
        <w:t>1.3 Research Objectives</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1.3.1 Main Objective</w:t>
      </w:r>
    </w:p>
    <w:p>
      <w:pPr>
        <w:spacing w:after="360" w:line="360" w:lineRule="auto"/>
        <w:ind w:firstLine="720"/>
        <w:jc w:val="both"/>
        <w:rPr>
          <w:rFonts w:hint="default" w:asciiTheme="minorAscii" w:hAnsiTheme="minorAscii"/>
          <w:sz w:val="24"/>
          <w:szCs w:val="24"/>
        </w:rPr>
      </w:pPr>
      <w:r>
        <w:rPr>
          <w:rFonts w:hint="default" w:asciiTheme="minorAscii" w:hAnsiTheme="minorAscii"/>
          <w:sz w:val="24"/>
          <w:szCs w:val="24"/>
        </w:rPr>
        <w:t>The main objective of this study is to design, develop, and evaluate a machine learning-based predictive analytics platform for early identification of at-risk students at Strathmore University.</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1.3.2 Specific Objectives</w:t>
      </w:r>
    </w:p>
    <w:p>
      <w:pPr>
        <w:spacing w:after="180" w:line="360" w:lineRule="auto"/>
        <w:jc w:val="both"/>
        <w:rPr>
          <w:rFonts w:hint="default" w:asciiTheme="minorAscii" w:hAnsiTheme="minorAscii"/>
          <w:sz w:val="24"/>
          <w:szCs w:val="24"/>
        </w:rPr>
      </w:pPr>
      <w:r>
        <w:rPr>
          <w:rFonts w:hint="default" w:asciiTheme="minorAscii" w:hAnsiTheme="minorAscii"/>
          <w:sz w:val="24"/>
          <w:szCs w:val="24"/>
        </w:rPr>
        <w:t>The specific objectives of this research are:</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To integrate and aggregate student data from multiple institutional sources (Student Information System, Learning Management System, and attendance tracking system) into a unified analytics repository.</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To develop and train machine learning models that predict three key risk categories: dropout risk, course failure risk, and program completion delay risk.</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To design and implement role-based dashboards that provide university administrators, school administrators, and academic mentors with actionable risk predictions and intervention recommendations.</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To evaluate the accuracy and predictive performance of the developed machine learning models using historical student data and established evaluation metrics.</w:t>
      </w:r>
    </w:p>
    <w:p>
      <w:pPr>
        <w:pStyle w:val="14"/>
        <w:numPr>
          <w:ilvl w:val="0"/>
          <w:numId w:val="1"/>
        </w:numPr>
        <w:spacing w:after="480" w:line="360" w:lineRule="auto"/>
        <w:jc w:val="both"/>
        <w:rPr>
          <w:rFonts w:hint="default" w:asciiTheme="minorAscii" w:hAnsiTheme="minorAscii"/>
          <w:sz w:val="24"/>
          <w:szCs w:val="24"/>
        </w:rPr>
      </w:pPr>
      <w:r>
        <w:rPr>
          <w:rFonts w:hint="default" w:asciiTheme="minorAscii" w:hAnsiTheme="minorAscii"/>
          <w:sz w:val="24"/>
          <w:szCs w:val="24"/>
        </w:rPr>
        <w:t>To assess the usability, perceived usefulness, and potential institutional impact of the system through evaluation with university stakeholders.</w:t>
      </w:r>
    </w:p>
    <w:p>
      <w:pPr>
        <w:pStyle w:val="3"/>
        <w:spacing w:before="480" w:after="240" w:line="360" w:lineRule="auto"/>
        <w:jc w:val="both"/>
        <w:rPr>
          <w:rFonts w:hint="default" w:asciiTheme="minorAscii" w:hAnsiTheme="minorAscii"/>
          <w:sz w:val="24"/>
          <w:szCs w:val="24"/>
        </w:rPr>
      </w:pPr>
      <w:r>
        <w:rPr>
          <w:rFonts w:hint="default" w:asciiTheme="minorAscii" w:hAnsiTheme="minorAscii"/>
          <w:sz w:val="24"/>
          <w:szCs w:val="24"/>
        </w:rPr>
        <w:t>1.4 Research Questions</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1.4.1 Main Research Question</w:t>
      </w:r>
    </w:p>
    <w:p>
      <w:pPr>
        <w:spacing w:after="360" w:line="360" w:lineRule="auto"/>
        <w:ind w:firstLine="720"/>
        <w:jc w:val="both"/>
        <w:rPr>
          <w:rFonts w:hint="default" w:asciiTheme="minorAscii" w:hAnsiTheme="minorAscii"/>
          <w:sz w:val="24"/>
          <w:szCs w:val="24"/>
        </w:rPr>
      </w:pPr>
      <w:r>
        <w:rPr>
          <w:rFonts w:hint="default" w:asciiTheme="minorAscii" w:hAnsiTheme="minorAscii"/>
          <w:sz w:val="24"/>
          <w:szCs w:val="24"/>
        </w:rPr>
        <w:t>How can machine learning algorithms be effectively applied to multi-source student data to enable early identification of at-risk students and facilitate timely intervention in higher education?</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1.4.2 Specific Research Questions</w:t>
      </w:r>
    </w:p>
    <w:p>
      <w:pPr>
        <w:spacing w:after="180" w:line="360" w:lineRule="auto"/>
        <w:jc w:val="both"/>
        <w:rPr>
          <w:rFonts w:hint="default" w:asciiTheme="minorAscii" w:hAnsiTheme="minorAscii"/>
          <w:sz w:val="24"/>
          <w:szCs w:val="24"/>
        </w:rPr>
      </w:pPr>
      <w:r>
        <w:rPr>
          <w:rFonts w:hint="default" w:asciiTheme="minorAscii" w:hAnsiTheme="minorAscii"/>
          <w:sz w:val="24"/>
          <w:szCs w:val="24"/>
        </w:rPr>
        <w:t>This study seeks to address the following specific research questions:</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What student data features from SIS, LMS, and attendance systems are most predictive of dropout risk, course failure risk, and program delay risk at Strathmore University?</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Which machine learning algorithms (Random Forest, Gradient Boosting, XGBoost) provide the most accurate and reliable predictions for each of the three risk categories?</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How can multiple risk predictions be integrated into a comprehensive, actionable student risk profile that supports decision-making by administrators and mentors?</w:t>
      </w:r>
    </w:p>
    <w:p>
      <w:pPr>
        <w:pStyle w:val="14"/>
        <w:numPr>
          <w:ilvl w:val="0"/>
          <w:numId w:val="1"/>
        </w:numPr>
        <w:spacing w:after="120" w:line="360" w:lineRule="auto"/>
        <w:jc w:val="both"/>
        <w:rPr>
          <w:rFonts w:hint="default" w:asciiTheme="minorAscii" w:hAnsiTheme="minorAscii"/>
          <w:sz w:val="24"/>
          <w:szCs w:val="24"/>
        </w:rPr>
      </w:pPr>
      <w:r>
        <w:rPr>
          <w:rFonts w:hint="default" w:asciiTheme="minorAscii" w:hAnsiTheme="minorAscii"/>
          <w:sz w:val="24"/>
          <w:szCs w:val="24"/>
        </w:rPr>
        <w:t>What are the essential design requirements for a user-friendly analytics platform that effectively serves different stakeholder roles (university administrators, school administrators, academic mentors)?</w:t>
      </w:r>
    </w:p>
    <w:p>
      <w:pPr>
        <w:pStyle w:val="14"/>
        <w:numPr>
          <w:ilvl w:val="0"/>
          <w:numId w:val="1"/>
        </w:numPr>
        <w:spacing w:after="480" w:line="360" w:lineRule="auto"/>
        <w:jc w:val="both"/>
        <w:rPr>
          <w:rFonts w:hint="default" w:asciiTheme="minorAscii" w:hAnsiTheme="minorAscii"/>
          <w:sz w:val="24"/>
          <w:szCs w:val="24"/>
        </w:rPr>
      </w:pPr>
      <w:r>
        <w:rPr>
          <w:rFonts w:hint="default" w:asciiTheme="minorAscii" w:hAnsiTheme="minorAscii"/>
          <w:sz w:val="24"/>
          <w:szCs w:val="24"/>
        </w:rPr>
        <w:t>What is the perceived usefulness, usability, and potential institutional impact of the developed system among Strathmore University stakeholders?</w:t>
      </w:r>
    </w:p>
    <w:p>
      <w:pPr>
        <w:pStyle w:val="3"/>
        <w:spacing w:before="0" w:after="240" w:line="360" w:lineRule="auto"/>
        <w:jc w:val="both"/>
        <w:rPr>
          <w:rFonts w:hint="default" w:asciiTheme="minorAscii" w:hAnsiTheme="minorAscii"/>
          <w:sz w:val="24"/>
          <w:szCs w:val="24"/>
        </w:rPr>
      </w:pPr>
      <w:r>
        <w:rPr>
          <w:rFonts w:hint="default" w:asciiTheme="minorAscii" w:hAnsiTheme="minorAscii"/>
          <w:sz w:val="24"/>
          <w:szCs w:val="24"/>
        </w:rPr>
        <w:t>1.5 Significance of the Study</w:t>
      </w:r>
    </w:p>
    <w:p>
      <w:pPr>
        <w:spacing w:after="360" w:line="360" w:lineRule="auto"/>
        <w:ind w:firstLine="720"/>
        <w:jc w:val="both"/>
        <w:rPr>
          <w:rFonts w:hint="default" w:asciiTheme="minorAscii" w:hAnsiTheme="minorAscii"/>
          <w:sz w:val="24"/>
          <w:szCs w:val="24"/>
        </w:rPr>
      </w:pPr>
      <w:r>
        <w:rPr>
          <w:rFonts w:hint="default" w:asciiTheme="minorAscii" w:hAnsiTheme="minorAscii"/>
          <w:sz w:val="24"/>
          <w:szCs w:val="24"/>
        </w:rPr>
        <w:t>This research contributes significant value across multiple dimensions—theoretical, practical, and policy-oriented. The study's importance manifests through its potential impact on various stakeholders within and beyond Strathmore University.</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1.5.1 Theoretical Significance</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From a theoretical perspective, this study advances the scholarly understanding of educational data mining and learning analytics in several important ways. First, it contributes to the growing body of knowledge on ensemble machine learning methods specifically applied to educational contexts, particularly in resource-constrained environments characteristic of African universities. While existing literature predominantly focuses on well-resourced Western institutions </w:t>
      </w:r>
      <w:r>
        <w:rPr>
          <w:rFonts w:hint="default" w:asciiTheme="minorAscii" w:hAnsiTheme="minorAscii"/>
          <w:i/>
          <w:iCs/>
          <w:sz w:val="24"/>
          <w:szCs w:val="24"/>
        </w:rPr>
        <w:t>(Turkmenbayev et al., 2025; Scientific Reports, 2025)</w:t>
      </w:r>
      <w:r>
        <w:rPr>
          <w:rFonts w:hint="default" w:asciiTheme="minorAscii" w:hAnsiTheme="minorAscii"/>
          <w:sz w:val="24"/>
          <w:szCs w:val="24"/>
        </w:rPr>
        <w:t>, this research demonstrates the applicability and effectiveness of advanced predictive analytics in settings where data infrastructure, technical capacity, and institutional support mechanisms may be limited.</w:t>
      </w:r>
    </w:p>
    <w:p>
      <w:pPr>
        <w:spacing w:after="360" w:line="360" w:lineRule="auto"/>
        <w:ind w:firstLine="720"/>
        <w:jc w:val="both"/>
        <w:rPr>
          <w:rFonts w:hint="default" w:asciiTheme="minorAscii" w:hAnsiTheme="minorAscii"/>
          <w:sz w:val="24"/>
          <w:szCs w:val="24"/>
        </w:rPr>
      </w:pPr>
      <w:r>
        <w:rPr>
          <w:rFonts w:hint="default" w:asciiTheme="minorAscii" w:hAnsiTheme="minorAscii"/>
          <w:sz w:val="24"/>
          <w:szCs w:val="24"/>
        </w:rPr>
        <w:t>Second, the research extends Tinto's Student Integration Model by operationalizing its theoretical constructs through quantifiable data elements extracted from institutional systems. By mapping academic integration (grades, course completion), social integration (LMS engagement, peer interaction metrics), and institutional commitment (attendance, persistence patterns) to specific predictive features, the study provides empirical validation of theoretical frameworks within an African context. Third, the multi-factor risk prediction approach—simultaneously modeling dropout, course failure, and program delay—represents a more comprehensive theoretical framework than single-outcome studies, acknowledging the interconnected nature of student success challenges.</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1.5.2 Practical Significance</w:t>
      </w:r>
    </w:p>
    <w:p>
      <w:pPr>
        <w:spacing w:after="240" w:line="360" w:lineRule="auto"/>
        <w:ind w:firstLine="720"/>
        <w:jc w:val="both"/>
        <w:rPr>
          <w:rFonts w:hint="default" w:asciiTheme="minorAscii" w:hAnsiTheme="minorAscii"/>
          <w:sz w:val="24"/>
          <w:szCs w:val="24"/>
        </w:rPr>
      </w:pPr>
      <w:r>
        <w:rPr>
          <w:rFonts w:hint="default" w:asciiTheme="minorAscii" w:hAnsiTheme="minorAscii"/>
          <w:b/>
          <w:bCs/>
          <w:sz w:val="24"/>
          <w:szCs w:val="24"/>
        </w:rPr>
        <w:t xml:space="preserve">For Universities and Higher Education Institutions. </w:t>
      </w:r>
      <w:r>
        <w:rPr>
          <w:rFonts w:hint="default" w:asciiTheme="minorAscii" w:hAnsiTheme="minorAscii"/>
          <w:sz w:val="24"/>
          <w:szCs w:val="24"/>
        </w:rPr>
        <w:t xml:space="preserve">The developed system provides Strathmore University and similar institutions with practical tools to transform reactive student support into proactive intervention. The platform enables data-driven decision-making in resource allocation, allowing limited counseling, tutoring, and mentoring resources to be directed toward students most likely to benefit from intervention. Early warning capabilities support institutional retention strategies, potentially reducing dropout rates and improving graduation statistics that enhance institutional reputation and competitiveness </w:t>
      </w:r>
      <w:r>
        <w:rPr>
          <w:rFonts w:hint="default" w:asciiTheme="minorAscii" w:hAnsiTheme="minorAscii"/>
          <w:i/>
          <w:iCs/>
          <w:sz w:val="24"/>
          <w:szCs w:val="24"/>
        </w:rPr>
        <w:t>(Modern Campus, 2025)</w:t>
      </w:r>
      <w:r>
        <w:rPr>
          <w:rFonts w:hint="default" w:asciiTheme="minorAscii" w:hAnsiTheme="minorAscii"/>
          <w:sz w:val="24"/>
          <w:szCs w:val="24"/>
        </w:rPr>
        <w:t>. Furthermore, the system generates actionable insights about program-level and school-level patterns in student risk, informing curriculum development, teaching practice improvements, and policy adjustments.</w:t>
      </w:r>
    </w:p>
    <w:p>
      <w:pPr>
        <w:spacing w:after="240" w:line="360" w:lineRule="auto"/>
        <w:ind w:firstLine="720"/>
        <w:jc w:val="both"/>
        <w:rPr>
          <w:rFonts w:hint="default" w:asciiTheme="minorAscii" w:hAnsiTheme="minorAscii"/>
          <w:sz w:val="24"/>
          <w:szCs w:val="24"/>
        </w:rPr>
      </w:pPr>
      <w:r>
        <w:rPr>
          <w:rFonts w:hint="default" w:asciiTheme="minorAscii" w:hAnsiTheme="minorAscii"/>
          <w:b/>
          <w:bCs/>
          <w:sz w:val="24"/>
          <w:szCs w:val="24"/>
        </w:rPr>
        <w:t xml:space="preserve">For Educators and Academic Mentors. </w:t>
      </w:r>
      <w:r>
        <w:rPr>
          <w:rFonts w:hint="default" w:asciiTheme="minorAscii" w:hAnsiTheme="minorAscii"/>
          <w:sz w:val="24"/>
          <w:szCs w:val="24"/>
        </w:rPr>
        <w:t>The platform equips academic advisors, mentors, and instructors with specific, evidence-based insights into student risk factors, moving beyond intuition-based judgments to data-informed support strategies. Role-based dashboards provide personalized student profiles highlighting specific areas of concern—whether attendance patterns, engagement deficits, or assignment completion issues—enabling targeted intervention conversations. The system's recommendation engine suggests appropriate support services and intervention strategies, reducing the cognitive burden on already-stretched academic staff while improving intervention effectiveness. Early identification of struggling students creates opportunities for proactive outreach before problems become insurmountable, potentially transforming student trajectories from failure to success.</w:t>
      </w:r>
    </w:p>
    <w:p>
      <w:pPr>
        <w:spacing w:after="360" w:line="360" w:lineRule="auto"/>
        <w:ind w:firstLine="720"/>
        <w:jc w:val="both"/>
        <w:rPr>
          <w:rFonts w:hint="default" w:asciiTheme="minorAscii" w:hAnsiTheme="minorAscii"/>
          <w:sz w:val="24"/>
          <w:szCs w:val="24"/>
        </w:rPr>
      </w:pPr>
      <w:r>
        <w:rPr>
          <w:rFonts w:hint="default" w:asciiTheme="minorAscii" w:hAnsiTheme="minorAscii"/>
          <w:b/>
          <w:bCs/>
          <w:sz w:val="24"/>
          <w:szCs w:val="24"/>
        </w:rPr>
        <w:t xml:space="preserve">For Students. </w:t>
      </w:r>
      <w:r>
        <w:rPr>
          <w:rFonts w:hint="default" w:asciiTheme="minorAscii" w:hAnsiTheme="minorAscii"/>
          <w:sz w:val="24"/>
          <w:szCs w:val="24"/>
        </w:rPr>
        <w:t>While students are not direct users of the administrative platform, they represent the ultimate beneficiaries of improved early warning capabilities. Timely interventions facilitated by the system can prevent academic failures, reduce program delays, and increase graduation likelihood. Students receive appropriate support at critical junctures in their academic journey rather than facing consequences after problems have escalated beyond intervention effectiveness. The system helps ensure that institutional policies designed to maintain academic standards—such as the 67% attendance requirement—are supported by mechanisms to help students comply rather than serving merely as punitive measures. Ultimately, improved retention and success rates translate into better career preparation and employment outcomes for individual students.</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1.5.3 Policy and Sectoral Significance</w:t>
      </w:r>
    </w:p>
    <w:p>
      <w:pPr>
        <w:spacing w:after="240" w:line="360" w:lineRule="auto"/>
        <w:ind w:firstLine="720"/>
        <w:jc w:val="both"/>
        <w:rPr>
          <w:rFonts w:hint="default" w:asciiTheme="minorAscii" w:hAnsiTheme="minorAscii"/>
          <w:sz w:val="24"/>
          <w:szCs w:val="24"/>
        </w:rPr>
      </w:pPr>
      <w:r>
        <w:rPr>
          <w:rFonts w:hint="default" w:asciiTheme="minorAscii" w:hAnsiTheme="minorAscii"/>
          <w:b/>
          <w:bCs/>
          <w:sz w:val="24"/>
          <w:szCs w:val="24"/>
        </w:rPr>
        <w:t xml:space="preserve">For Policy Makers and Educational Authorities. </w:t>
      </w:r>
      <w:r>
        <w:rPr>
          <w:rFonts w:hint="default" w:asciiTheme="minorAscii" w:hAnsiTheme="minorAscii"/>
          <w:sz w:val="24"/>
          <w:szCs w:val="24"/>
        </w:rPr>
        <w:t xml:space="preserve">This research demonstrates a cost-effective, technology-enabled approach to addressing student retention challenges in African universities, providing a replicable model for similar institutions across the continent. Given Kenya's higher education challenges—including limited funding, large class sizes, and inadequate student support services </w:t>
      </w:r>
      <w:r>
        <w:rPr>
          <w:rFonts w:hint="default" w:asciiTheme="minorAscii" w:hAnsiTheme="minorAscii"/>
          <w:i/>
          <w:iCs/>
          <w:sz w:val="24"/>
          <w:szCs w:val="24"/>
        </w:rPr>
        <w:t>(KIPPRA, 2024; Daily Nation, 2024)</w:t>
      </w:r>
      <w:r>
        <w:rPr>
          <w:rFonts w:hint="default" w:asciiTheme="minorAscii" w:hAnsiTheme="minorAscii"/>
          <w:sz w:val="24"/>
          <w:szCs w:val="24"/>
        </w:rPr>
        <w:t>—the study illustrates how strategic application of artificial intelligence can amplify limited resources and improve outcomes without proportional increases in expenditure. The system's scalable architecture and emphasis on utilizing existing institutional data systems makes it particularly relevant for resource-constrained contexts.</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The research provides empirical evidence for data-driven decision-making in educational policy development, demonstrating how systematic analysis of student success patterns can inform institutional policies, support service design, and resource allocation strategies. By documenting implementation challenges, success factors, and lessons learned, the study creates a knowledge base that can accelerate adoption of similar systems across Kenyan and African institutions. This contribution is particularly timely given recent national policy emphasis on improving higher education quality and efficiency while managing enrollment expansion </w:t>
      </w:r>
      <w:r>
        <w:rPr>
          <w:rFonts w:hint="default" w:asciiTheme="minorAscii" w:hAnsiTheme="minorAscii"/>
          <w:i/>
          <w:iCs/>
          <w:sz w:val="24"/>
          <w:szCs w:val="24"/>
        </w:rPr>
        <w:t>(Kenya Ministry of Education, 2024)</w:t>
      </w:r>
      <w:r>
        <w:rPr>
          <w:rFonts w:hint="default" w:asciiTheme="minorAscii" w:hAnsiTheme="minorAscii"/>
          <w:sz w:val="24"/>
          <w:szCs w:val="24"/>
        </w:rPr>
        <w:t>.</w:t>
      </w:r>
    </w:p>
    <w:p>
      <w:pPr>
        <w:spacing w:after="480" w:line="360" w:lineRule="auto"/>
        <w:ind w:firstLine="720"/>
        <w:jc w:val="both"/>
        <w:rPr>
          <w:rFonts w:hint="default" w:asciiTheme="minorAscii" w:hAnsiTheme="minorAscii"/>
          <w:sz w:val="24"/>
          <w:szCs w:val="24"/>
        </w:rPr>
      </w:pPr>
      <w:r>
        <w:rPr>
          <w:rFonts w:hint="default" w:asciiTheme="minorAscii" w:hAnsiTheme="minorAscii"/>
          <w:b/>
          <w:bCs/>
          <w:sz w:val="24"/>
          <w:szCs w:val="24"/>
        </w:rPr>
        <w:t xml:space="preserve">For the Technology and EdTech Sector. </w:t>
      </w:r>
      <w:r>
        <w:rPr>
          <w:rFonts w:hint="default" w:asciiTheme="minorAscii" w:hAnsiTheme="minorAscii"/>
          <w:sz w:val="24"/>
          <w:szCs w:val="24"/>
        </w:rPr>
        <w:t>The study contributes practical insights into the design and deployment of AI-powered educational technology in African contexts, addressing not only technical considerations but also cultural, organizational, and resource factors that influence adoption success. The platform serves as a proof-of-concept for locally-developed EdTech solutions that can be adapted and scaled across similar institutions, potentially reducing dependence on expensive Western software solutions while creating local technical capacity and knowledge.</w:t>
      </w:r>
    </w:p>
    <w:p>
      <w:pPr>
        <w:pStyle w:val="3"/>
        <w:spacing w:before="480" w:after="240" w:line="360" w:lineRule="auto"/>
        <w:jc w:val="both"/>
        <w:rPr>
          <w:rFonts w:hint="default" w:asciiTheme="minorAscii" w:hAnsiTheme="minorAscii"/>
          <w:sz w:val="24"/>
          <w:szCs w:val="24"/>
        </w:rPr>
      </w:pPr>
      <w:r>
        <w:rPr>
          <w:rFonts w:hint="default" w:asciiTheme="minorAscii" w:hAnsiTheme="minorAscii"/>
          <w:sz w:val="24"/>
          <w:szCs w:val="24"/>
        </w:rPr>
        <w:t>1.6 Scope and Delimitations of the Study</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1.6.1 Scope</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This research focuses specifically on developing and evaluating a predictive analytics platform for student success at Strathmore University, Kenya. The study encompasses student data from all five schools within the university: the School of Computing and Engineering Sciences (SCES), Strathmore Business School (SBS), the School of Tourism and Hospitality (STH), Strathmore Law School (SLS), and the School of Humanities and Social Sciences (SHSS). The research utilizes data from approximately 440 undergraduate students, providing sufficient statistical power for reliable machine learning model development while remaining computationally manageable for a master's-level research project.</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The technical scope includes integration of data from three primary institutional systems: the Student Information System (containing enrollment, demographic, and grade data), the Learning Management System (capturing engagement metrics, assignment submissions, and resource access patterns), and the attendance tracking system (monitoring class participation and attendance percentages). The study develops and evaluates three distinct machine learning prediction models targeting dropout risk, course failure risk, and program delay risk, employing ensemble algorithms including Random Forest, Gradient Boosting, and XGBoost.</w:t>
      </w:r>
    </w:p>
    <w:p>
      <w:pPr>
        <w:spacing w:after="360" w:line="360" w:lineRule="auto"/>
        <w:ind w:firstLine="720"/>
        <w:jc w:val="both"/>
        <w:rPr>
          <w:rFonts w:hint="default" w:asciiTheme="minorAscii" w:hAnsiTheme="minorAscii"/>
          <w:sz w:val="24"/>
          <w:szCs w:val="24"/>
        </w:rPr>
      </w:pPr>
      <w:r>
        <w:rPr>
          <w:rFonts w:hint="default" w:asciiTheme="minorAscii" w:hAnsiTheme="minorAscii"/>
          <w:sz w:val="24"/>
          <w:szCs w:val="24"/>
        </w:rPr>
        <w:t>The platform design encompasses role-based dashboards serving three primary user groups: university administrators (requiring institution-wide analytics and strategic insights), school administrators (needing school-level performance monitoring and resource allocation support), and academic mentors (seeking individual student profiles and intervention guidance). The research evaluates system effectiveness through quantitative metrics (model accuracy, precision, recall, F1-score, ROC-AUC) and qualitative assessment (usability testing, stakeholder feedback, perceived utility evaluation).</w:t>
      </w:r>
    </w:p>
    <w:p>
      <w:pPr>
        <w:pStyle w:val="4"/>
        <w:spacing w:before="240" w:after="180" w:line="360" w:lineRule="auto"/>
        <w:jc w:val="both"/>
        <w:rPr>
          <w:rFonts w:hint="default" w:asciiTheme="minorAscii" w:hAnsiTheme="minorAscii"/>
          <w:sz w:val="24"/>
          <w:szCs w:val="24"/>
        </w:rPr>
      </w:pPr>
      <w:r>
        <w:rPr>
          <w:rFonts w:hint="default" w:asciiTheme="minorAscii" w:hAnsiTheme="minorAscii"/>
          <w:sz w:val="24"/>
          <w:szCs w:val="24"/>
        </w:rPr>
        <w:t>1.6.2 Delimitations</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Several deliberate delimitations define the boundaries of this research. First, the study focuses exclusively on </w:t>
      </w:r>
      <w:r>
        <w:rPr>
          <w:rFonts w:hint="default" w:asciiTheme="minorAscii" w:hAnsiTheme="minorAscii"/>
          <w:b/>
          <w:bCs/>
          <w:sz w:val="24"/>
          <w:szCs w:val="24"/>
        </w:rPr>
        <w:t>academic risk factors</w:t>
      </w:r>
      <w:r>
        <w:rPr>
          <w:rFonts w:hint="default" w:asciiTheme="minorAscii" w:hAnsiTheme="minorAscii"/>
          <w:sz w:val="24"/>
          <w:szCs w:val="24"/>
        </w:rPr>
        <w:t xml:space="preserve"> measurable through institutional data systems. It does not incorporate predictions of mental health concerns, family circumstances, or socioeconomic factors that may influence student success but fall outside institutional data collection purview. While these factors undoubtedly affect student outcomes, their inclusion would require primary data collection beyond the scope of this study and raise significant ethical and privacy considerations.</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Second, the research limits its focus to </w:t>
      </w:r>
      <w:r>
        <w:rPr>
          <w:rFonts w:hint="default" w:asciiTheme="minorAscii" w:hAnsiTheme="minorAscii"/>
          <w:b/>
          <w:bCs/>
          <w:sz w:val="24"/>
          <w:szCs w:val="24"/>
        </w:rPr>
        <w:t>undergraduate students</w:t>
      </w:r>
      <w:r>
        <w:rPr>
          <w:rFonts w:hint="default" w:asciiTheme="minorAscii" w:hAnsiTheme="minorAscii"/>
          <w:sz w:val="24"/>
          <w:szCs w:val="24"/>
        </w:rPr>
        <w:t>, excluding postgraduate and continuing education populations. This delimitation reflects the distinct characteristics of undergraduate student success patterns and the availability of consistent data across the undergraduate population. Graduate and professional programs often exhibit different risk patterns and success factors that would require separate model development.</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Third, the study does </w:t>
      </w:r>
      <w:r>
        <w:rPr>
          <w:rFonts w:hint="default" w:asciiTheme="minorAscii" w:hAnsiTheme="minorAscii"/>
          <w:b/>
          <w:bCs/>
          <w:sz w:val="24"/>
          <w:szCs w:val="24"/>
        </w:rPr>
        <w:t>not develop course-specific recommendation systems</w:t>
      </w:r>
      <w:r>
        <w:rPr>
          <w:rFonts w:hint="default" w:asciiTheme="minorAscii" w:hAnsiTheme="minorAscii"/>
          <w:sz w:val="24"/>
          <w:szCs w:val="24"/>
        </w:rPr>
        <w:t xml:space="preserve"> or personalized learning pathways. While the platform identifies students at risk and suggests broad intervention categories, it does not prescribe specific courses, learning materials, or detailed academic plans. Such granular recommendations would require significantly more complex algorithms and extensive content libraries beyond the current research scope.</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Fourth, the platform is designed as a </w:t>
      </w:r>
      <w:r>
        <w:rPr>
          <w:rFonts w:hint="default" w:asciiTheme="minorAscii" w:hAnsiTheme="minorAscii"/>
          <w:b/>
          <w:bCs/>
          <w:sz w:val="24"/>
          <w:szCs w:val="24"/>
        </w:rPr>
        <w:t>web-based application</w:t>
      </w:r>
      <w:r>
        <w:rPr>
          <w:rFonts w:hint="default" w:asciiTheme="minorAscii" w:hAnsiTheme="minorAscii"/>
          <w:sz w:val="24"/>
          <w:szCs w:val="24"/>
        </w:rPr>
        <w:t xml:space="preserve"> accessible through standard browsers, deliberately excluding mobile application development. This decision prioritizes cross-platform accessibility and reduces development complexity while acknowledging that stakeholders primarily access institutional systems from desktop environments. Future iterations could extend to mobile platforms based on demonstrated demand and usage patterns.</w:t>
      </w:r>
    </w:p>
    <w:p>
      <w:pPr>
        <w:spacing w:after="24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Fifth, the research </w:t>
      </w:r>
      <w:r>
        <w:rPr>
          <w:rFonts w:hint="default" w:asciiTheme="minorAscii" w:hAnsiTheme="minorAscii"/>
          <w:b/>
          <w:bCs/>
          <w:sz w:val="24"/>
          <w:szCs w:val="24"/>
        </w:rPr>
        <w:t>does not integrate financial aid prediction</w:t>
      </w:r>
      <w:r>
        <w:rPr>
          <w:rFonts w:hint="default" w:asciiTheme="minorAscii" w:hAnsiTheme="minorAscii"/>
          <w:sz w:val="24"/>
          <w:szCs w:val="24"/>
        </w:rPr>
        <w:t xml:space="preserve"> or scholarship recommendation capabilities, despite the documented importance of financial factors in Kenyan student retention </w:t>
      </w:r>
      <w:r>
        <w:rPr>
          <w:rFonts w:hint="default" w:asciiTheme="minorAscii" w:hAnsiTheme="minorAscii"/>
          <w:i/>
          <w:iCs/>
          <w:sz w:val="24"/>
          <w:szCs w:val="24"/>
        </w:rPr>
        <w:t>(Daily Nation, 2025; KIPPRA, 2024)</w:t>
      </w:r>
      <w:r>
        <w:rPr>
          <w:rFonts w:hint="default" w:asciiTheme="minorAscii" w:hAnsiTheme="minorAscii"/>
          <w:sz w:val="24"/>
          <w:szCs w:val="24"/>
        </w:rPr>
        <w:t>. Financial data involves sensitive privacy considerations and complex institutional policies beyond the academic risk focus of this study.</w:t>
      </w:r>
    </w:p>
    <w:p>
      <w:pPr>
        <w:spacing w:after="480" w:line="360" w:lineRule="auto"/>
        <w:ind w:firstLine="720"/>
        <w:jc w:val="both"/>
        <w:rPr>
          <w:rFonts w:hint="default" w:asciiTheme="minorAscii" w:hAnsiTheme="minorAscii"/>
          <w:sz w:val="24"/>
          <w:szCs w:val="24"/>
        </w:rPr>
      </w:pPr>
      <w:r>
        <w:rPr>
          <w:rFonts w:hint="default" w:asciiTheme="minorAscii" w:hAnsiTheme="minorAscii"/>
          <w:sz w:val="24"/>
          <w:szCs w:val="24"/>
        </w:rPr>
        <w:t xml:space="preserve">Finally, while the research develops a fully functional prototype system, implementation and deployment across the entire Strathmore student population represents </w:t>
      </w:r>
      <w:r>
        <w:rPr>
          <w:rFonts w:hint="default" w:asciiTheme="minorAscii" w:hAnsiTheme="minorAscii"/>
          <w:b/>
          <w:bCs/>
          <w:sz w:val="24"/>
          <w:szCs w:val="24"/>
        </w:rPr>
        <w:t>future work beyond the master's thesis scope</w:t>
      </w:r>
      <w:r>
        <w:rPr>
          <w:rFonts w:hint="default" w:asciiTheme="minorAscii" w:hAnsiTheme="minorAscii"/>
          <w:sz w:val="24"/>
          <w:szCs w:val="24"/>
        </w:rPr>
        <w:t>. Full production deployment would require additional institutional approvals, infrastructure provisioning, comprehensive training programs, and ongoing technical support arrangements that extend beyond research timelines and resources.</w:t>
      </w:r>
    </w:p>
    <w:p>
      <w:pPr>
        <w:pStyle w:val="3"/>
        <w:spacing w:before="480" w:after="240" w:line="360" w:lineRule="auto"/>
        <w:jc w:val="both"/>
        <w:rPr>
          <w:rFonts w:hint="default" w:asciiTheme="minorAscii" w:hAnsiTheme="minorAscii"/>
          <w:sz w:val="24"/>
          <w:szCs w:val="24"/>
        </w:rPr>
      </w:pPr>
      <w:r>
        <w:rPr>
          <w:rFonts w:hint="default" w:asciiTheme="minorAscii" w:hAnsiTheme="minorAscii"/>
          <w:sz w:val="24"/>
          <w:szCs w:val="24"/>
        </w:rPr>
        <w:t>1.7 Definition of Terms</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At-Risk Student: </w:t>
      </w:r>
      <w:r>
        <w:rPr>
          <w:rFonts w:hint="default" w:asciiTheme="minorAscii" w:hAnsiTheme="minorAscii"/>
          <w:sz w:val="24"/>
          <w:szCs w:val="24"/>
        </w:rPr>
        <w:t>A student exhibiting data patterns or characteristics that statistically correlate with increased probability of dropout, course failure, or program delay. Risk status is determined through predictive model outputs rather than actual academic standing, enabling proactive identification before failure occurs.</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Dropout Risk: </w:t>
      </w:r>
      <w:r>
        <w:rPr>
          <w:rFonts w:hint="default" w:asciiTheme="minorAscii" w:hAnsiTheme="minorAscii"/>
          <w:sz w:val="24"/>
          <w:szCs w:val="24"/>
        </w:rPr>
        <w:t>The predicted probability that a currently enrolled student will discontinue university enrollment before completing degree requirements. This encompasses both formal withdrawal and informal cessation of attendance, but excludes students who transfer to other institutions while maintaining continuous enrollment.</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Course Failure Risk: </w:t>
      </w:r>
      <w:r>
        <w:rPr>
          <w:rFonts w:hint="default" w:asciiTheme="minorAscii" w:hAnsiTheme="minorAscii"/>
          <w:sz w:val="24"/>
          <w:szCs w:val="24"/>
        </w:rPr>
        <w:t>The predicted probability that a student will receive a failing grade (below the minimum 40% pass mark or below the 67% attendance requirement) in one or more currently enrolled courses. This metric enables course-level intervention before final grades are posted.</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Program Delay Risk: </w:t>
      </w:r>
      <w:r>
        <w:rPr>
          <w:rFonts w:hint="default" w:asciiTheme="minorAscii" w:hAnsiTheme="minorAscii"/>
          <w:sz w:val="24"/>
          <w:szCs w:val="24"/>
        </w:rPr>
        <w:t>The predicted probability that a student will require additional semesters beyond the standard program duration to complete degree requirements. Delays may result from course repetition, reduced course loads, academic probation, or extended leaves of absence.</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Learning Management System (LMS): </w:t>
      </w:r>
      <w:r>
        <w:rPr>
          <w:rFonts w:hint="default" w:asciiTheme="minorAscii" w:hAnsiTheme="minorAscii"/>
          <w:sz w:val="24"/>
          <w:szCs w:val="24"/>
        </w:rPr>
        <w:t>A software platform (such as Moodle or Canvas) used to deliver course content, facilitate student-instructor communication, manage assignments, and track student engagement. The LMS generates extensive behavioral data including login frequency, time on platform, resource access, and assignment submission patterns.</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Student Information System (SIS): </w:t>
      </w:r>
      <w:r>
        <w:rPr>
          <w:rFonts w:hint="default" w:asciiTheme="minorAscii" w:hAnsiTheme="minorAscii"/>
          <w:sz w:val="24"/>
          <w:szCs w:val="24"/>
        </w:rPr>
        <w:t>An administrative database system maintaining comprehensive student records including demographics, enrollment history, course registrations, grades, academic standing, and degree progress. SIS serves as the institutional source of truth for official student data.</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Predictive Analytics: </w:t>
      </w:r>
      <w:r>
        <w:rPr>
          <w:rFonts w:hint="default" w:asciiTheme="minorAscii" w:hAnsiTheme="minorAscii"/>
          <w:sz w:val="24"/>
          <w:szCs w:val="24"/>
        </w:rPr>
        <w:t>Statistical and machine learning techniques that analyze historical and current data to generate probabilistic forecasts of future events or behaviors. In educational contexts, predictive analytics identifies students likely to experience academic difficulties based on patterns extracted from institutional data.</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Ensemble Learning: </w:t>
      </w:r>
      <w:r>
        <w:rPr>
          <w:rFonts w:hint="default" w:asciiTheme="minorAscii" w:hAnsiTheme="minorAscii"/>
          <w:sz w:val="24"/>
          <w:szCs w:val="24"/>
        </w:rPr>
        <w:t>A machine learning approach that combines predictions from multiple algorithms (such as Random Forest, Gradient Boosting, and XGBoost) to achieve higher accuracy than individual models. Ensemble methods reduce overfitting and improve generalization to new data.</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Feature Engineering: </w:t>
      </w:r>
      <w:r>
        <w:rPr>
          <w:rFonts w:hint="default" w:asciiTheme="minorAscii" w:hAnsiTheme="minorAscii"/>
          <w:sz w:val="24"/>
          <w:szCs w:val="24"/>
        </w:rPr>
        <w:t>The process of selecting, transforming, and creating variables (features) from raw data that effectively capture patterns relevant to the prediction task. Feature engineering translates institutional data into inputs optimized for machine learning algorithms.</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Early Warning System: </w:t>
      </w:r>
      <w:r>
        <w:rPr>
          <w:rFonts w:hint="default" w:asciiTheme="minorAscii" w:hAnsiTheme="minorAscii"/>
          <w:sz w:val="24"/>
          <w:szCs w:val="24"/>
        </w:rPr>
        <w:t>An integrated platform combining data collection, predictive modeling, and alert generation to identify students requiring intervention before academic problems become severe. Effective early warning systems link identification to actionable recommendations and intervention tracking.</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Engagement Metrics: </w:t>
      </w:r>
      <w:r>
        <w:rPr>
          <w:rFonts w:hint="default" w:asciiTheme="minorAscii" w:hAnsiTheme="minorAscii"/>
          <w:sz w:val="24"/>
          <w:szCs w:val="24"/>
        </w:rPr>
        <w:t>Quantifiable measures of student participation in learning activities, typically derived from LMS data. Common metrics include login frequency, time on platform, discussion forum posts, resource downloads, video viewing completion, and assignment submission timeliness.</w:t>
      </w:r>
    </w:p>
    <w:p>
      <w:pPr>
        <w:spacing w:after="240" w:line="360" w:lineRule="auto"/>
        <w:jc w:val="both"/>
        <w:rPr>
          <w:rFonts w:hint="default" w:asciiTheme="minorAscii" w:hAnsiTheme="minorAscii"/>
          <w:sz w:val="24"/>
          <w:szCs w:val="24"/>
        </w:rPr>
      </w:pPr>
      <w:r>
        <w:rPr>
          <w:rFonts w:hint="default" w:asciiTheme="minorAscii" w:hAnsiTheme="minorAscii"/>
          <w:b/>
          <w:bCs/>
          <w:sz w:val="24"/>
          <w:szCs w:val="24"/>
        </w:rPr>
        <w:t xml:space="preserve">Model Accuracy: </w:t>
      </w:r>
      <w:r>
        <w:rPr>
          <w:rFonts w:hint="default" w:asciiTheme="minorAscii" w:hAnsiTheme="minorAscii"/>
          <w:sz w:val="24"/>
          <w:szCs w:val="24"/>
        </w:rPr>
        <w:t>The proportion of correct predictions (both true positives and true negatives) among all predictions made by a machine learning model. While important, accuracy alone can be misleading in imbalanced datasets and should be evaluated alongside precision, recall, and F1-score.</w:t>
      </w:r>
    </w:p>
    <w:p>
      <w:pPr>
        <w:spacing w:after="480" w:line="360" w:lineRule="auto"/>
        <w:jc w:val="both"/>
        <w:rPr>
          <w:rFonts w:hint="default" w:asciiTheme="minorAscii" w:hAnsiTheme="minorAscii"/>
          <w:sz w:val="24"/>
          <w:szCs w:val="24"/>
        </w:rPr>
      </w:pPr>
      <w:r>
        <w:rPr>
          <w:rFonts w:hint="default" w:asciiTheme="minorAscii" w:hAnsiTheme="minorAscii"/>
          <w:b/>
          <w:bCs/>
          <w:sz w:val="24"/>
          <w:szCs w:val="24"/>
        </w:rPr>
        <w:t xml:space="preserve">Intervention: </w:t>
      </w:r>
      <w:r>
        <w:rPr>
          <w:rFonts w:hint="default" w:asciiTheme="minorAscii" w:hAnsiTheme="minorAscii"/>
          <w:sz w:val="24"/>
          <w:szCs w:val="24"/>
        </w:rPr>
        <w:t>Targeted support actions designed to address identified student risk factors and improve academic outcomes. Interventions may include academic advising, tutoring referrals, study skills workshops, mental health counseling, or adjustments to course load or schedule.</w:t>
      </w:r>
    </w:p>
    <w:p>
      <w:pPr>
        <w:pStyle w:val="3"/>
        <w:spacing w:before="480" w:after="240" w:line="360" w:lineRule="auto"/>
        <w:jc w:val="both"/>
        <w:rPr>
          <w:rFonts w:hint="default" w:asciiTheme="minorAscii" w:hAnsiTheme="minorAscii"/>
          <w:sz w:val="24"/>
          <w:szCs w:val="24"/>
        </w:rPr>
      </w:pPr>
      <w:r>
        <w:rPr>
          <w:rFonts w:hint="default" w:asciiTheme="minorAscii" w:hAnsiTheme="minorAscii"/>
          <w:sz w:val="24"/>
          <w:szCs w:val="24"/>
        </w:rPr>
        <w:t>1.8 Organization of the Thesis</w:t>
      </w:r>
    </w:p>
    <w:p>
      <w:pPr>
        <w:spacing w:after="360" w:line="360" w:lineRule="auto"/>
        <w:ind w:firstLine="720"/>
        <w:jc w:val="both"/>
        <w:rPr>
          <w:rFonts w:hint="default" w:asciiTheme="minorAscii" w:hAnsiTheme="minorAscii"/>
          <w:sz w:val="24"/>
          <w:szCs w:val="24"/>
        </w:rPr>
      </w:pPr>
      <w:r>
        <w:rPr>
          <w:rFonts w:hint="default" w:asciiTheme="minorAscii" w:hAnsiTheme="minorAscii"/>
          <w:sz w:val="24"/>
          <w:szCs w:val="24"/>
        </w:rPr>
        <w:t>This thesis is organized into six chapters that systematically present the research problem, theoretical foundations, methodology, implementation, results, and conclusions.</w:t>
      </w:r>
    </w:p>
    <w:p>
      <w:pPr>
        <w:pStyle w:val="2"/>
        <w:spacing w:before="0" w:after="480" w:line="360" w:lineRule="auto"/>
        <w:jc w:val="both"/>
        <w:rPr>
          <w:rFonts w:hint="default" w:asciiTheme="minorAscii" w:hAnsiTheme="minorAscii"/>
          <w:sz w:val="24"/>
          <w:szCs w:val="24"/>
        </w:rPr>
      </w:pPr>
      <w:r>
        <w:rPr>
          <w:rFonts w:hint="default" w:asciiTheme="minorAscii" w:hAnsiTheme="minorAscii"/>
          <w:sz w:val="24"/>
          <w:szCs w:val="24"/>
        </w:rPr>
        <w:t>REFERENCES</w:t>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African Journal of Empirical Research. (2025). Postgraduate students' retention and survival rates between 2015 and 2024 in public universities, Kenya.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"https://ajernet.net/ojs/index.php/ajernet/article/view/1197" </w:instrText>
      </w:r>
      <w:r>
        <w:rPr>
          <w:rFonts w:hint="default" w:asciiTheme="minorAscii" w:hAnsiTheme="minorAscii"/>
          <w:sz w:val="24"/>
          <w:szCs w:val="24"/>
        </w:rPr>
        <w:fldChar w:fldCharType="separate"/>
      </w:r>
      <w:r>
        <w:rPr>
          <w:rStyle w:val="12"/>
          <w:rFonts w:hint="default" w:asciiTheme="minorAscii" w:hAnsiTheme="minorAscii"/>
          <w:sz w:val="24"/>
          <w:szCs w:val="24"/>
        </w:rPr>
        <w:t>https://ajernet.net/ojs/index.php/ajernet/article/view/1197</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Ahmed, E. (2024). Student performance prediction using machine learning algorithms. </w:t>
      </w:r>
      <w:r>
        <w:rPr>
          <w:rFonts w:hint="default" w:asciiTheme="minorAscii" w:hAnsiTheme="minorAscii"/>
          <w:i/>
          <w:iCs/>
          <w:sz w:val="24"/>
          <w:szCs w:val="24"/>
        </w:rPr>
        <w:t>Applied Computational Intelligence and Soft Computing, 2024</w:t>
      </w:r>
      <w:r>
        <w:rPr>
          <w:rFonts w:hint="default" w:asciiTheme="minorAscii" w:hAnsiTheme="minorAscii"/>
          <w:sz w:val="24"/>
          <w:szCs w:val="24"/>
        </w:rPr>
        <w:t xml:space="preserve">(1), 4067721.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"https://onlinelibrary.wiley.com/doi/10.1155/2024/4067721" </w:instrText>
      </w:r>
      <w:r>
        <w:rPr>
          <w:rFonts w:hint="default" w:asciiTheme="minorAscii" w:hAnsiTheme="minorAscii"/>
          <w:sz w:val="24"/>
          <w:szCs w:val="24"/>
        </w:rPr>
        <w:fldChar w:fldCharType="separate"/>
      </w:r>
      <w:r>
        <w:rPr>
          <w:rStyle w:val="12"/>
          <w:rFonts w:hint="default" w:asciiTheme="minorAscii" w:hAnsiTheme="minorAscii"/>
          <w:sz w:val="24"/>
          <w:szCs w:val="24"/>
        </w:rPr>
        <w:t>https://onlinelibrary.wiley.com/doi/10.1155/2024/4067721</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EAB. (2025, March 25). 3 hidden retention challenges facing higher ed in 2025.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"https://eab.com/resources/blog/student-success-blog/3-hidden-retention-challenges-facing-higher-ed-in-2025/" </w:instrText>
      </w:r>
      <w:r>
        <w:rPr>
          <w:rFonts w:hint="default" w:asciiTheme="minorAscii" w:hAnsiTheme="minorAscii"/>
          <w:sz w:val="24"/>
          <w:szCs w:val="24"/>
        </w:rPr>
        <w:fldChar w:fldCharType="separate"/>
      </w:r>
      <w:r>
        <w:rPr>
          <w:rStyle w:val="12"/>
          <w:rFonts w:hint="default" w:asciiTheme="minorAscii" w:hAnsiTheme="minorAscii"/>
          <w:sz w:val="24"/>
          <w:szCs w:val="24"/>
        </w:rPr>
        <w:t>https://eab.com/resources/blog/student-success-blog/3-hidden-retention-challenges-facing-higher-ed-in-2025/</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Element451. (2024, September 13). 2024 guide: What is student retention in higher education?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"https://element451.com/blog/what-is-student-retention" </w:instrText>
      </w:r>
      <w:r>
        <w:rPr>
          <w:rFonts w:hint="default" w:asciiTheme="minorAscii" w:hAnsiTheme="minorAscii"/>
          <w:sz w:val="24"/>
          <w:szCs w:val="24"/>
        </w:rPr>
        <w:fldChar w:fldCharType="separate"/>
      </w:r>
      <w:r>
        <w:rPr>
          <w:rStyle w:val="12"/>
          <w:rFonts w:hint="default" w:asciiTheme="minorAscii" w:hAnsiTheme="minorAscii"/>
          <w:sz w:val="24"/>
          <w:szCs w:val="24"/>
        </w:rPr>
        <w:t>https://element451.com/blog/what-is-student-retention</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Frontiers in Education. (2025). Machine learning models for academic performance prediction: Interpretability and application in educational decision-making.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"https://www.frontiersin.org/journals/education/articles/10.3389/feduc.2025.1632315/full" </w:instrText>
      </w:r>
      <w:r>
        <w:rPr>
          <w:rFonts w:hint="default" w:asciiTheme="minorAscii" w:hAnsiTheme="minorAscii"/>
          <w:sz w:val="24"/>
          <w:szCs w:val="24"/>
        </w:rPr>
        <w:fldChar w:fldCharType="separate"/>
      </w:r>
      <w:r>
        <w:rPr>
          <w:rStyle w:val="12"/>
          <w:rFonts w:hint="default" w:asciiTheme="minorAscii" w:hAnsiTheme="minorAscii"/>
          <w:sz w:val="24"/>
          <w:szCs w:val="24"/>
        </w:rPr>
        <w:t>https://www.frontiersin.org/journals/education/articles/10.3389/feduc.2025.1632315/full</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Hanover Research. (2025, October 31). Unlocking student success: Proven strategies to increase college student retention.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"https://www.hanoverresearch.com/insights-blog/higher-education/increase-college-student-retention/" </w:instrText>
      </w:r>
      <w:r>
        <w:rPr>
          <w:rFonts w:hint="default" w:asciiTheme="minorAscii" w:hAnsiTheme="minorAscii"/>
          <w:sz w:val="24"/>
          <w:szCs w:val="24"/>
        </w:rPr>
        <w:fldChar w:fldCharType="separate"/>
      </w:r>
      <w:r>
        <w:rPr>
          <w:rStyle w:val="12"/>
          <w:rFonts w:hint="default" w:asciiTheme="minorAscii" w:hAnsiTheme="minorAscii"/>
          <w:sz w:val="24"/>
          <w:szCs w:val="24"/>
        </w:rPr>
        <w:t>https://www.hanoverresearch.com/insights-blog/higher-education/increase-college-student-retention/</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Kenya Institute for Public Policy Research and Analysis (KIPPRA). (2024). Improving the performance of public universities in delivering higher education in Kenya.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"https://kippra.or.ke/improving-the-performance-of-public-universities-in-delivering-higher-education-in-kenya/" </w:instrText>
      </w:r>
      <w:r>
        <w:rPr>
          <w:rFonts w:hint="default" w:asciiTheme="minorAscii" w:hAnsiTheme="minorAscii"/>
          <w:sz w:val="24"/>
          <w:szCs w:val="24"/>
        </w:rPr>
        <w:fldChar w:fldCharType="separate"/>
      </w:r>
      <w:r>
        <w:rPr>
          <w:rStyle w:val="12"/>
          <w:rFonts w:hint="default" w:asciiTheme="minorAscii" w:hAnsiTheme="minorAscii"/>
          <w:sz w:val="24"/>
          <w:szCs w:val="24"/>
        </w:rPr>
        <w:t>https://kippra.or.ke/improving-the-performance-of-public-universities-in-delivering-higher-education-in-kenya/</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Kenya Ministry of Education. (2024). Sessional paper no. X of 2024.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"https://www.education.go.ke/sites/default/files/BILLS/Sessional%20Paper_2802024.pdf" </w:instrText>
      </w:r>
      <w:r>
        <w:rPr>
          <w:rFonts w:hint="default" w:asciiTheme="minorAscii" w:hAnsiTheme="minorAscii"/>
          <w:sz w:val="24"/>
          <w:szCs w:val="24"/>
        </w:rPr>
        <w:fldChar w:fldCharType="separate"/>
      </w:r>
      <w:r>
        <w:rPr>
          <w:rStyle w:val="12"/>
          <w:rFonts w:hint="default" w:asciiTheme="minorAscii" w:hAnsiTheme="minorAscii"/>
          <w:sz w:val="24"/>
          <w:szCs w:val="24"/>
        </w:rPr>
        <w:t>https://www.education.go.ke/sites/default/files/BILLS/Sessional%20Paper_2802024.pdf</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Liaison. (2025, January 30). Using predictive analytics for student success and retention at community colleges.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"https://www.liaisonedu.com/resources/blog/using-predictive-analytics-for-student-success-and-retention-at-community-colleges/" </w:instrText>
      </w:r>
      <w:r>
        <w:rPr>
          <w:rFonts w:hint="default" w:asciiTheme="minorAscii" w:hAnsiTheme="minorAscii"/>
          <w:sz w:val="24"/>
          <w:szCs w:val="24"/>
        </w:rPr>
        <w:fldChar w:fldCharType="separate"/>
      </w:r>
      <w:r>
        <w:rPr>
          <w:rStyle w:val="12"/>
          <w:rFonts w:hint="default" w:asciiTheme="minorAscii" w:hAnsiTheme="minorAscii"/>
          <w:sz w:val="24"/>
          <w:szCs w:val="24"/>
        </w:rPr>
        <w:t>https://www.liaisonedu.com/resources/blog/using-predictive-analytics-for-student-success-and-retention-at-community-colleges/</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Mapademics. (2025, September 14). Transforming student success: How predictive retention analytics is revolutionizing higher education in 2025.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"https://mapademics.com/whitepapers/predicting-student-success-with-smart-analytics" </w:instrText>
      </w:r>
      <w:r>
        <w:rPr>
          <w:rFonts w:hint="default" w:asciiTheme="minorAscii" w:hAnsiTheme="minorAscii"/>
          <w:sz w:val="24"/>
          <w:szCs w:val="24"/>
        </w:rPr>
        <w:fldChar w:fldCharType="separate"/>
      </w:r>
      <w:r>
        <w:rPr>
          <w:rStyle w:val="12"/>
          <w:rFonts w:hint="default" w:asciiTheme="minorAscii" w:hAnsiTheme="minorAscii"/>
          <w:sz w:val="24"/>
          <w:szCs w:val="24"/>
        </w:rPr>
        <w:t>https://mapademics.com/whitepapers/predicting-student-success-with-smart-analytics</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Modern Campus. (2025, November 5). Student retention strategies: 8 proven methods to boost higher ed success.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"https://moderncampus.com/blog/strategies-for-improving-retention-in-higher-education.html" </w:instrText>
      </w:r>
      <w:r>
        <w:rPr>
          <w:rFonts w:hint="default" w:asciiTheme="minorAscii" w:hAnsiTheme="minorAscii"/>
          <w:sz w:val="24"/>
          <w:szCs w:val="24"/>
        </w:rPr>
        <w:fldChar w:fldCharType="separate"/>
      </w:r>
      <w:r>
        <w:rPr>
          <w:rStyle w:val="12"/>
          <w:rFonts w:hint="default" w:asciiTheme="minorAscii" w:hAnsiTheme="minorAscii"/>
          <w:sz w:val="24"/>
          <w:szCs w:val="24"/>
        </w:rPr>
        <w:t>https://moderncampus.com/blog/strategies-for-improving-retention-in-higher-education.html</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Musasia, C. M., Achoka, J. S., Wamocha, L. M., &amp; Odebero, S. O. (2025). Postgraduate students' retention and survival rates between 2015 and 2024 in public universities, Kenya. </w:t>
      </w:r>
      <w:r>
        <w:rPr>
          <w:rFonts w:hint="default" w:asciiTheme="minorAscii" w:hAnsiTheme="minorAscii"/>
          <w:i/>
          <w:iCs/>
          <w:sz w:val="24"/>
          <w:szCs w:val="24"/>
        </w:rPr>
        <w:t>African Journal of Empirical Research, 6</w:t>
      </w:r>
      <w:r>
        <w:rPr>
          <w:rFonts w:hint="default" w:asciiTheme="minorAscii" w:hAnsiTheme="minorAscii"/>
          <w:sz w:val="24"/>
          <w:szCs w:val="24"/>
        </w:rPr>
        <w:t>(3), 679–687. https://doi.org/10.51867/ajernet.6.3.52</w:t>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National Student Clearinghouse Research Center. (2024). Persistence &amp; retention.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"https://nscresearchcenter.org/persistence-retention/" </w:instrText>
      </w:r>
      <w:r>
        <w:rPr>
          <w:rFonts w:hint="default" w:asciiTheme="minorAscii" w:hAnsiTheme="minorAscii"/>
          <w:sz w:val="24"/>
          <w:szCs w:val="24"/>
        </w:rPr>
        <w:fldChar w:fldCharType="separate"/>
      </w:r>
      <w:r>
        <w:rPr>
          <w:rStyle w:val="12"/>
          <w:rFonts w:hint="default" w:asciiTheme="minorAscii" w:hAnsiTheme="minorAscii"/>
          <w:sz w:val="24"/>
          <w:szCs w:val="24"/>
        </w:rPr>
        <w:t>https://nscresearchcenter.org/persistence-retention/</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Scientific Reports. (2025). Machine learning-based academic performance prediction with explainability for enhanced decision-making in educational institutions.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"https://www.nature.com/articles/s41598-025-12353-4" </w:instrText>
      </w:r>
      <w:r>
        <w:rPr>
          <w:rFonts w:hint="default" w:asciiTheme="minorAscii" w:hAnsiTheme="minorAscii"/>
          <w:sz w:val="24"/>
          <w:szCs w:val="24"/>
        </w:rPr>
        <w:fldChar w:fldCharType="separate"/>
      </w:r>
      <w:r>
        <w:rPr>
          <w:rStyle w:val="12"/>
          <w:rFonts w:hint="default" w:asciiTheme="minorAscii" w:hAnsiTheme="minorAscii"/>
          <w:sz w:val="24"/>
          <w:szCs w:val="24"/>
        </w:rPr>
        <w:t>https://www.nature.com/articles/s41598-025-12353-4</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Scientific Reports. (2025). Artificial intelligence in student management systems to enhance academic performance monitoring and intervention.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"https://www.nature.com/articles/s41598-025-19159-4" </w:instrText>
      </w:r>
      <w:r>
        <w:rPr>
          <w:rFonts w:hint="default" w:asciiTheme="minorAscii" w:hAnsiTheme="minorAscii"/>
          <w:sz w:val="24"/>
          <w:szCs w:val="24"/>
        </w:rPr>
        <w:fldChar w:fldCharType="separate"/>
      </w:r>
      <w:r>
        <w:rPr>
          <w:rStyle w:val="12"/>
          <w:rFonts w:hint="default" w:asciiTheme="minorAscii" w:hAnsiTheme="minorAscii"/>
          <w:sz w:val="24"/>
          <w:szCs w:val="24"/>
        </w:rPr>
        <w:t>https://www.nature.com/articles/s41598-025-19159-4</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The Daily Nation. (2024, May 17). University dropout risk looms large. Here's why.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"https://nation.africa/kenya/news/education/budget-cuts-set-to-cripple-learning-in-four-varsities--4625512" </w:instrText>
      </w:r>
      <w:r>
        <w:rPr>
          <w:rFonts w:hint="default" w:asciiTheme="minorAscii" w:hAnsiTheme="minorAscii"/>
          <w:sz w:val="24"/>
          <w:szCs w:val="24"/>
        </w:rPr>
        <w:fldChar w:fldCharType="separate"/>
      </w:r>
      <w:r>
        <w:rPr>
          <w:rStyle w:val="12"/>
          <w:rFonts w:hint="default" w:asciiTheme="minorAscii" w:hAnsiTheme="minorAscii"/>
          <w:sz w:val="24"/>
          <w:szCs w:val="24"/>
        </w:rPr>
        <w:t>https://nation.africa/kenya/news/education/budget-cuts-set-to-cripple-learning-in-four-varsities--4625512</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The Daily Nation. (2025, September 13). How system has failed poor students seeking to join university.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"https://nation.africa/kenya/news/education/how-system-has-failed-poor-students-seeking-to-join-university-5192066" </w:instrText>
      </w:r>
      <w:r>
        <w:rPr>
          <w:rFonts w:hint="default" w:asciiTheme="minorAscii" w:hAnsiTheme="minorAscii"/>
          <w:sz w:val="24"/>
          <w:szCs w:val="24"/>
        </w:rPr>
        <w:fldChar w:fldCharType="separate"/>
      </w:r>
      <w:r>
        <w:rPr>
          <w:rStyle w:val="12"/>
          <w:rFonts w:hint="default" w:asciiTheme="minorAscii" w:hAnsiTheme="minorAscii"/>
          <w:sz w:val="24"/>
          <w:szCs w:val="24"/>
        </w:rPr>
        <w:t>https://nation.africa/kenya/news/education/how-system-has-failed-poor-students-seeking-to-join-university-5192066</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Turkmenbayev, A., Abdykerimova, E., Nurgozhayev, S., Karabassova, G., &amp; Baigozhanova, D. (2025). The application of machine learning in predicting student performance in university engineering programs: A rapid review. </w:t>
      </w:r>
      <w:r>
        <w:rPr>
          <w:rFonts w:hint="default" w:asciiTheme="minorAscii" w:hAnsiTheme="minorAscii"/>
          <w:i/>
          <w:iCs/>
          <w:sz w:val="24"/>
          <w:szCs w:val="24"/>
        </w:rPr>
        <w:t>Frontiers in Education, 10</w:t>
      </w:r>
      <w:r>
        <w:rPr>
          <w:rFonts w:hint="default" w:asciiTheme="minorAscii" w:hAnsiTheme="minorAscii"/>
          <w:sz w:val="24"/>
          <w:szCs w:val="24"/>
        </w:rPr>
        <w:t xml:space="preserve">, 1562586.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"https://www.frontiersin.org/journals/education/articles/10.3389/feduc.2025.1562586/full" </w:instrText>
      </w:r>
      <w:r>
        <w:rPr>
          <w:rFonts w:hint="default" w:asciiTheme="minorAscii" w:hAnsiTheme="minorAscii"/>
          <w:sz w:val="24"/>
          <w:szCs w:val="24"/>
        </w:rPr>
        <w:fldChar w:fldCharType="separate"/>
      </w:r>
      <w:r>
        <w:rPr>
          <w:rStyle w:val="12"/>
          <w:rFonts w:hint="default" w:asciiTheme="minorAscii" w:hAnsiTheme="minorAscii"/>
          <w:sz w:val="24"/>
          <w:szCs w:val="24"/>
        </w:rPr>
        <w:t>https://www.frontiersin.org/journals/education/articles/10.3389/feduc.2025.1562586/full</w:t>
      </w:r>
      <w:r>
        <w:rPr>
          <w:rStyle w:val="12"/>
          <w:rFonts w:hint="default" w:asciiTheme="minorAscii" w:hAnsiTheme="minorAscii"/>
          <w:sz w:val="24"/>
          <w:szCs w:val="24"/>
        </w:rPr>
        <w:fldChar w:fldCharType="end"/>
      </w:r>
    </w:p>
    <w:p>
      <w:pPr>
        <w:spacing w:after="0" w:line="360" w:lineRule="auto"/>
        <w:ind w:left="0" w:hanging="720"/>
        <w:jc w:val="both"/>
        <w:rPr>
          <w:rFonts w:hint="default" w:asciiTheme="minorAscii" w:hAnsiTheme="minorAscii"/>
          <w:sz w:val="24"/>
          <w:szCs w:val="24"/>
        </w:rPr>
      </w:pPr>
      <w:r>
        <w:rPr>
          <w:rFonts w:hint="default" w:asciiTheme="minorAscii" w:hAnsiTheme="minorAscii"/>
          <w:sz w:val="24"/>
          <w:szCs w:val="24"/>
        </w:rPr>
        <w:t xml:space="preserve">Visualdo Institute. (2024, October 5). What are challenges facing colleges in Kenya. </w:t>
      </w:r>
      <w:r>
        <w:rPr>
          <w:rFonts w:hint="default" w:asciiTheme="minorAscii" w:hAnsiTheme="minorAscii"/>
          <w:sz w:val="24"/>
          <w:szCs w:val="24"/>
        </w:rPr>
        <w:fldChar w:fldCharType="begin"/>
      </w:r>
      <w:r>
        <w:rPr>
          <w:rFonts w:hint="default" w:asciiTheme="minorAscii" w:hAnsiTheme="minorAscii"/>
          <w:sz w:val="24"/>
          <w:szCs w:val="24"/>
        </w:rPr>
        <w:instrText xml:space="preserve"> HYPERLINK "https://visualdo.ac.ke/what-are-challenges-facing-colleges-in-kenya" </w:instrText>
      </w:r>
      <w:r>
        <w:rPr>
          <w:rFonts w:hint="default" w:asciiTheme="minorAscii" w:hAnsiTheme="minorAscii"/>
          <w:sz w:val="24"/>
          <w:szCs w:val="24"/>
        </w:rPr>
        <w:fldChar w:fldCharType="separate"/>
      </w:r>
      <w:r>
        <w:rPr>
          <w:rStyle w:val="12"/>
          <w:rFonts w:hint="default" w:asciiTheme="minorAscii" w:hAnsiTheme="minorAscii"/>
          <w:sz w:val="24"/>
          <w:szCs w:val="24"/>
        </w:rPr>
        <w:t>https://visualdo.ac.ke/what-are-challenges-facing-colleges-in-kenya</w:t>
      </w:r>
      <w:r>
        <w:rPr>
          <w:rStyle w:val="12"/>
          <w:rFonts w:hint="default" w:asciiTheme="minorAscii" w:hAnsiTheme="minorAscii"/>
          <w:sz w:val="24"/>
          <w:szCs w:val="24"/>
        </w:rPr>
        <w:fldChar w:fldCharType="end"/>
      </w:r>
    </w:p>
    <w:sectPr>
      <w:footerReference r:id="rId3" w:type="default"/>
      <w:pgSz w:w="12240" w:h="15840"/>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0000000000000000000"/>
    <w:charset w:val="86"/>
    <w:family w:val="auto"/>
    <w:pitch w:val="default"/>
    <w:sig w:usb0="00000000" w:usb1="00000000" w:usb2="00000000" w:usb3="00000000" w:csb0="00000000"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EB Garamond 12"/>
    <w:panose1 w:val="05000000000000000000"/>
    <w:charset w:val="00"/>
    <w:family w:val="auto"/>
    <w:pitch w:val="default"/>
    <w:sig w:usb0="00000000" w:usb1="10000000" w:usb2="00000000" w:usb3="00000000" w:csb0="80000000" w:csb1="00000000"/>
  </w:font>
  <w:font w:name="EB Garamond 12">
    <w:panose1 w:val="02020502060206020403"/>
    <w:charset w:val="00"/>
    <w:family w:val="auto"/>
    <w:pitch w:val="default"/>
    <w:sig w:usb0="E00002FF" w:usb1="5000E4FF" w:usb2="00000028" w:usb3="00000000" w:csb0="000001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R PL KaitiM Big5">
    <w:panose1 w:val="020B0609010101010101"/>
    <w:charset w:val="88"/>
    <w:family w:val="auto"/>
    <w:pitch w:val="default"/>
    <w:sig w:usb0="00000003" w:usb1="28880000" w:usb2="00000006" w:usb3="00000000" w:csb0="00100000" w:csb1="00000000"/>
  </w:font>
  <w:font w:name="Cambria">
    <w:altName w:val="Comfortaa Light"/>
    <w:panose1 w:val="00000000000000000000"/>
    <w:charset w:val="00"/>
    <w:family w:val="auto"/>
    <w:pitch w:val="default"/>
    <w:sig w:usb0="00000000" w:usb1="00000000" w:usb2="00000000" w:usb3="00000000" w:csb0="00000000" w:csb1="00000000"/>
  </w:font>
  <w:font w:name="Comfortaa Light">
    <w:panose1 w:val="00000400000000000000"/>
    <w:charset w:val="00"/>
    <w:family w:val="auto"/>
    <w:pitch w:val="default"/>
    <w:sig w:usb0="20000287" w:usb1="00000002" w:usb2="00000000" w:usb3="00000000" w:csb0="2000019F" w:csb1="00000000"/>
  </w:font>
  <w:font w:name="Liberation Serif">
    <w:panose1 w:val="02020603050405020304"/>
    <w:charset w:val="00"/>
    <w:family w:val="auto"/>
    <w:pitch w:val="default"/>
    <w:sig w:usb0="E0000AFF" w:usb1="500078FF" w:usb2="00000021" w:usb3="00000000" w:csb0="600001BF" w:csb1="DFF70000"/>
  </w:font>
  <w:font w:name="AR PL SungtiL GB">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DEF75B"/>
    <w:multiLevelType w:val="singleLevel"/>
    <w:tmpl w:val="7FDEF75B"/>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doNotUseIndentAsNumberingTabStop/>
    <w:compatSetting w:name="compatibilityMode" w:uri="http://schemas.microsoft.com/office/word" w:val="15"/>
  </w:compat>
  <w:rsids>
    <w:rsidRoot w:val="00000000"/>
    <w:rsid w:val="2FFD800D"/>
    <w:rsid w:val="5FF7E42A"/>
    <w:rsid w:val="5FFF7D1C"/>
    <w:rsid w:val="76737AB2"/>
    <w:rsid w:val="BEDB9985"/>
    <w:rsid w:val="DEBB09E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480" w:after="240" w:line="360" w:lineRule="auto"/>
      <w:jc w:val="center"/>
      <w:outlineLvl w:val="0"/>
    </w:pPr>
    <w:rPr>
      <w:rFonts w:ascii="Times New Roman" w:hAnsi="Times New Roman" w:eastAsia="Times New Roman" w:cs="Times New Roman"/>
      <w:b/>
      <w:bCs/>
      <w:caps/>
      <w:sz w:val="28"/>
      <w:szCs w:val="28"/>
    </w:rPr>
  </w:style>
  <w:style w:type="paragraph" w:styleId="3">
    <w:name w:val="heading 2"/>
    <w:next w:val="1"/>
    <w:qFormat/>
    <w:uiPriority w:val="0"/>
    <w:pPr>
      <w:spacing w:before="360" w:after="180" w:line="360" w:lineRule="auto"/>
      <w:outlineLvl w:val="1"/>
    </w:pPr>
    <w:rPr>
      <w:rFonts w:ascii="Times New Roman" w:hAnsi="Times New Roman" w:eastAsia="Times New Roman" w:cs="Times New Roman"/>
      <w:b/>
      <w:bCs/>
      <w:sz w:val="26"/>
      <w:szCs w:val="26"/>
    </w:rPr>
  </w:style>
  <w:style w:type="paragraph" w:styleId="4">
    <w:name w:val="heading 3"/>
    <w:next w:val="1"/>
    <w:qFormat/>
    <w:uiPriority w:val="0"/>
    <w:pPr>
      <w:spacing w:before="240" w:after="120" w:line="360" w:lineRule="auto"/>
      <w:outlineLvl w:val="2"/>
    </w:pPr>
    <w:rPr>
      <w:rFonts w:ascii="Times New Roman" w:hAnsi="Times New Roman" w:eastAsia="Times New Roman" w:cs="Times New Roman"/>
      <w:b/>
      <w:bCs/>
      <w:i/>
      <w:iCs/>
      <w:sz w:val="24"/>
      <w:szCs w:val="24"/>
    </w:rPr>
  </w:style>
  <w:style w:type="paragraph" w:styleId="5">
    <w:name w:val="heading 4"/>
    <w:next w:val="1"/>
    <w:qFormat/>
    <w:uiPriority w:val="0"/>
    <w:pPr>
      <w:spacing w:before="0" w:after="0" w:line="360" w:lineRule="auto"/>
    </w:pPr>
    <w:rPr>
      <w:rFonts w:ascii="Times New Roman" w:hAnsi="Times New Roman" w:eastAsia="Times New Roman" w:cs="Times New Roman"/>
      <w:i/>
      <w:iCs/>
      <w:color w:val="2E74B5"/>
      <w:sz w:val="24"/>
      <w:szCs w:val="24"/>
    </w:rPr>
  </w:style>
  <w:style w:type="paragraph" w:styleId="6">
    <w:name w:val="heading 5"/>
    <w:next w:val="1"/>
    <w:qFormat/>
    <w:uiPriority w:val="0"/>
    <w:pPr>
      <w:spacing w:before="0" w:after="0" w:line="360" w:lineRule="auto"/>
    </w:pPr>
    <w:rPr>
      <w:rFonts w:ascii="Times New Roman" w:hAnsi="Times New Roman" w:eastAsia="Times New Roman" w:cs="Times New Roman"/>
      <w:color w:val="2E74B5"/>
      <w:sz w:val="24"/>
      <w:szCs w:val="24"/>
    </w:rPr>
  </w:style>
  <w:style w:type="paragraph" w:styleId="7">
    <w:name w:val="heading 6"/>
    <w:next w:val="1"/>
    <w:qFormat/>
    <w:uiPriority w:val="0"/>
    <w:pPr>
      <w:spacing w:before="0" w:after="0" w:line="360" w:lineRule="auto"/>
    </w:pPr>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5"/>
    <w:semiHidden/>
    <w:unhideWhenUsed/>
    <w:qFormat/>
    <w:uiPriority w:val="99"/>
    <w:pPr>
      <w:spacing w:before="0" w:after="0" w:line="240" w:lineRule="auto"/>
    </w:pPr>
    <w:rPr>
      <w:rFonts w:ascii="Times New Roman" w:hAnsi="Times New Roman" w:eastAsia="Times New Roman" w:cs="Times New Roman"/>
      <w:sz w:val="20"/>
      <w:szCs w:val="20"/>
    </w:rPr>
  </w:style>
  <w:style w:type="character" w:styleId="12">
    <w:name w:val="Hyperlink"/>
    <w:unhideWhenUsed/>
    <w:qFormat/>
    <w:uiPriority w:val="99"/>
    <w:rPr>
      <w:color w:val="0563C1"/>
      <w:u w:val="single"/>
    </w:rPr>
  </w:style>
  <w:style w:type="paragraph" w:styleId="13">
    <w:name w:val="Title"/>
    <w:qFormat/>
    <w:uiPriority w:val="0"/>
    <w:pPr>
      <w:spacing w:before="0" w:after="0" w:line="360" w:lineRule="auto"/>
    </w:pPr>
    <w:rPr>
      <w:rFonts w:ascii="Times New Roman" w:hAnsi="Times New Roman" w:eastAsia="Times New Roman" w:cs="Times New Roman"/>
      <w:sz w:val="56"/>
      <w:szCs w:val="56"/>
    </w:rPr>
  </w:style>
  <w:style w:type="paragraph" w:styleId="14">
    <w:name w:val="List Paragraph"/>
    <w:qFormat/>
    <w:uiPriority w:val="0"/>
    <w:pPr>
      <w:spacing w:before="0" w:after="0" w:line="360" w:lineRule="auto"/>
    </w:pPr>
    <w:rPr>
      <w:rFonts w:ascii="Times New Roman" w:hAnsi="Times New Roman" w:eastAsia="Times New Roman" w:cs="Times New Roman"/>
      <w:sz w:val="24"/>
      <w:szCs w:val="24"/>
    </w:rPr>
  </w:style>
  <w:style w:type="character" w:customStyle="1" w:styleId="15">
    <w:name w:val="Foot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197</TotalTime>
  <ScaleCrop>false</ScaleCrop>
  <LinksUpToDate>false</LinksUpToDate>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Un-named</dc:creator>
  <cp:lastModifiedBy>dieudonne</cp:lastModifiedBy>
  <dcterms:modified xsi:type="dcterms:W3CDTF">2026-02-08T09:13:21Z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