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240"/>
      </w:pPr>
      <w:r>
        <w:t>CHAPTER ONE</w:t>
      </w:r>
    </w:p>
    <w:p>
      <w:pPr>
        <w:pStyle w:val="2"/>
        <w:spacing w:before="0" w:after="480"/>
      </w:pPr>
      <w:r>
        <w:t>INTRODUCTION</w:t>
      </w:r>
    </w:p>
    <w:p>
      <w:pPr>
        <w:pStyle w:val="3"/>
        <w:spacing w:before="480" w:after="240"/>
      </w:pPr>
      <w:r>
        <w:t>1.1 Background to the Study</w:t>
      </w:r>
    </w:p>
    <w:p>
      <w:pPr>
        <w:spacing w:after="240" w:line="360" w:lineRule="auto"/>
        <w:ind w:firstLine="720"/>
        <w:jc w:val="both"/>
      </w:pPr>
      <w:r>
        <w:t>Student retention and academic success represent critical challenges confronting higher education institutions worldwide. Recent data from the National Student Clearinghouse Research Center indicates that while persistence rates have rebounded to pre-pandemic levels, reaching 76.5% nationally in 2024—the highest in a decade—nearly one in four undergraduate students still fail to ret</w:t>
      </w:r>
      <w:bookmarkStart w:id="0" w:name="_GoBack"/>
      <w:bookmarkEnd w:id="0"/>
      <w:r>
        <w:t xml:space="preserve">urn after their first year </w:t>
      </w:r>
      <w:r>
        <w:rPr>
          <w:i/>
          <w:iCs/>
        </w:rPr>
        <w:t>(Modern Campus, 2025; Hanover Research, 2025)</w:t>
      </w:r>
      <w:r>
        <w:t xml:space="preserve">. This persistent attrition represents not only significant personal and economic costs for individual students but also substantial challenges for institutional sustainability, resource allocation, and educational mission fulfillment. The financial implications are particularly severe, with each student departure creating cascading effects through lost tuition revenue, wasted recruitment expenditures, and diminished institutional reputation </w:t>
      </w:r>
      <w:r>
        <w:rPr>
          <w:i/>
          <w:iCs/>
        </w:rPr>
        <w:t>(Element451, 2024)</w:t>
      </w:r>
      <w:r>
        <w:t>.</w:t>
      </w:r>
    </w:p>
    <w:p>
      <w:pPr>
        <w:spacing w:after="240" w:line="360" w:lineRule="auto"/>
        <w:ind w:firstLine="720"/>
        <w:jc w:val="both"/>
      </w:pPr>
      <w:r>
        <w:t xml:space="preserve">The advent of artificial intelligence and machine learning technologies has revolutionized approaches to student success analytics in higher education. Contemporary predictive analytics platforms have evolved far beyond simple grade tracking to become comprehensive ecosystem monitors that analyze hundreds of data points to forecast student outcomes </w:t>
      </w:r>
      <w:r>
        <w:rPr>
          <w:i/>
          <w:iCs/>
        </w:rPr>
        <w:t>(Mapademics, 2025)</w:t>
      </w:r>
      <w:r>
        <w:t xml:space="preserve">. These sophisticated systems incorporate academic performance indicators, engagement metrics, financial factors, social connections, and behavioral patterns to create holistic student risk profiles that human advisors would struggle to detect manually. Georgia State University's pioneering implementation exemplifies this transformation, tracking over 800 risk factors for more than 40,000 students daily and generating 90,000 targeted interventions annually </w:t>
      </w:r>
      <w:r>
        <w:rPr>
          <w:i/>
          <w:iCs/>
        </w:rPr>
        <w:t>(Mapademics, 2025)</w:t>
      </w:r>
      <w:r>
        <w:t xml:space="preserve">. Machine learning algorithms now process vast institutional datasets, identifying subtle patterns that precede student disengagement or academic difficulty with accuracy levels reaching 88-92% </w:t>
      </w:r>
      <w:r>
        <w:rPr>
          <w:i/>
          <w:iCs/>
        </w:rPr>
        <w:t>(Ahmed, 2024; Scientific Reports, 2025)</w:t>
      </w:r>
      <w:r>
        <w:t>.</w:t>
      </w:r>
    </w:p>
    <w:p>
      <w:pPr>
        <w:spacing w:after="240" w:line="360" w:lineRule="auto"/>
        <w:ind w:firstLine="720"/>
        <w:jc w:val="both"/>
      </w:pPr>
      <w:r>
        <w:t xml:space="preserve">In the African context, and specifically within Kenya, higher education institutions face distinctive challenges that compound the global retention crisis. Kenya's public universities have experienced dramatic enrollment expansion, with student populations increasing substantially over the past decade while institutional resources have struggled to keep pace </w:t>
      </w:r>
      <w:r>
        <w:rPr>
          <w:i/>
          <w:iCs/>
        </w:rPr>
        <w:t>(Musasia et al., 2025)</w:t>
      </w:r>
      <w:r>
        <w:t xml:space="preserve">. Recent studies reveal that postgraduate student retention rates improved from 75% in 2015 to 87% in 2024, representing significant progress yet still indicating substantial attrition </w:t>
      </w:r>
      <w:r>
        <w:rPr>
          <w:i/>
          <w:iCs/>
        </w:rPr>
        <w:t>(African Journal of Empirical Research, 2025)</w:t>
      </w:r>
      <w:r>
        <w:t xml:space="preserve">. Kenyan institutions confront multifaceted challenges including inadequate funding, with government capitation covering only 57% of students against a target of 80%; insufficient qualified academic staff, with some lecturers teaching triple their contracted student numbers; and infrastructure deficits, particularly in library resources, internet connectivity, and contemporary study materials </w:t>
      </w:r>
      <w:r>
        <w:rPr>
          <w:i/>
          <w:iCs/>
        </w:rPr>
        <w:t>(KIPPRA, 2024; Visualdo Institute, 2024)</w:t>
      </w:r>
      <w:r>
        <w:t xml:space="preserve">. The financial constraints are particularly acute, with public universities accumulating pending bills of Ksh 62 billion as of February 2022, while simultaneously facing reduced budgetary allocations that threaten payroll stability and operational continuity </w:t>
      </w:r>
      <w:r>
        <w:rPr>
          <w:i/>
          <w:iCs/>
        </w:rPr>
        <w:t>(Daily Nation, 2024)</w:t>
      </w:r>
      <w:r>
        <w:t>.</w:t>
      </w:r>
    </w:p>
    <w:p>
      <w:pPr>
        <w:spacing w:after="240" w:line="360" w:lineRule="auto"/>
        <w:ind w:firstLine="720"/>
        <w:jc w:val="both"/>
      </w:pPr>
      <w:r>
        <w:t>Strathmore University, as one of Kenya's leading private institutions, operates within this challenging landscape while maintaining distinct characteristics. The university serves a diverse student population across five schools: the School of Computing and Engineering Sciences (SCES), Strathmore Business School (SBS), the School of Tourism and Hospitality (STH), Strathmore Law School (SLS), and the School of Humanities and Social Sciences (SHSS). Like other Kenyan institutions, Strathmore has implemented critical academic policies designed to maintain educational quality, including a minimum 67% attendance requirement for examination eligibility and a 2.0 GPA threshold for good academic standing. However, despite collecting extensive student data through Student Information Systems (SIS), Learning Management Systems (LMS), and attendance tracking mechanisms, the university lacks integrated, automated tools to proactively identify students at risk of academic failure, course failure, or program delays. The current reactive approach—addressing student difficulties only after grades decline or dropout occurs—represents a missed opportunity for timely intervention that could significantly improve student outcomes.</w:t>
      </w:r>
    </w:p>
    <w:p>
      <w:pPr>
        <w:spacing w:after="480" w:line="360" w:lineRule="auto"/>
        <w:ind w:firstLine="720"/>
        <w:jc w:val="both"/>
      </w:pPr>
      <w:r>
        <w:t xml:space="preserve">The technological gap in Kenyan higher education is substantial. While universities collect vast amounts of student data across multiple systems, this information remains largely siloed and underutilized for predictive purposes. Recent research demonstrates that machine learning models, particularly ensemble methods combining Random Forest, XGBoost, and Gradient Boosting algorithms, can achieve prediction accuracies exceeding 88% for student performance outcomes when properly trained on comprehensive educational datasets </w:t>
      </w:r>
      <w:r>
        <w:rPr>
          <w:i/>
          <w:iCs/>
        </w:rPr>
        <w:t>(Turkmenbayev et al., 2025; Scientific Reports, 2025)</w:t>
      </w:r>
      <w:r>
        <w:t xml:space="preserve">. However, the successful implementation of such systems requires not only technical sophistication but also careful attention to explainability and actionability. Educational stakeholders need transparent, interpretable models that provide clear insights into why particular students are flagged as at-risk and what specific interventions might prove most effective </w:t>
      </w:r>
      <w:r>
        <w:rPr>
          <w:i/>
          <w:iCs/>
        </w:rPr>
        <w:t>(Frontiers in Education, 2025)</w:t>
      </w:r>
      <w:r>
        <w:t>.</w:t>
      </w:r>
    </w:p>
    <w:p>
      <w:pPr>
        <w:pStyle w:val="3"/>
        <w:spacing w:before="480" w:after="240"/>
      </w:pPr>
      <w:r>
        <w:t>1.2 Statement of the Problem</w:t>
      </w:r>
    </w:p>
    <w:p>
      <w:pPr>
        <w:spacing w:after="240" w:line="360" w:lineRule="auto"/>
        <w:ind w:firstLine="720"/>
        <w:jc w:val="both"/>
      </w:pPr>
      <w:r>
        <w:t>Strathmore University, like many African higher education institutions, faces significant challenges in identifying and supporting at-risk students before academic failure occurs. The university maintains three critical systems that generate substantial student data: a Student Information System tracking demographics, enrollments, grades, and academic standing; a Learning Management System capturing engagement metrics including login frequency, assignment submissions, and resource access; and an attendance tracking system monitoring class participation. However, these systems operate independently without integrated analytics capabilities, resulting in fragmented data that cannot effectively inform proactive intervention strategies.</w:t>
      </w:r>
    </w:p>
    <w:p>
      <w:pPr>
        <w:spacing w:after="240" w:line="360" w:lineRule="auto"/>
        <w:ind w:firstLine="720"/>
        <w:jc w:val="both"/>
      </w:pPr>
      <w:r>
        <w:t>The absence of an automated early warning system creates several critical gaps in student support. First, at-risk students are typically identified only after academic performance has deteriorated significantly—often at mid-semester or end-of-term grade postings—when intervention opportunities have substantially diminished. Second, the university's strict 67% attendance policy creates a binary threshold where students who fall below this requirement automatically become ineligible for examinations and face course failure, yet no systematic mechanism exists to flag students approaching this critical boundary before they cross it. Third, academic advisors and mentors lack data-driven tools to prioritize their limited time and resources toward students who would benefit most from intervention, resulting in reactive rather than proactive support strategies. Fourth, the university cannot systematically identify patterns or predictors of student risk across its diverse programs and schools, limiting its ability to develop evidence-based institutional policies and support services.</w:t>
      </w:r>
    </w:p>
    <w:p>
      <w:pPr>
        <w:spacing w:after="240" w:line="360" w:lineRule="auto"/>
        <w:ind w:firstLine="720"/>
        <w:jc w:val="both"/>
      </w:pPr>
      <w:r>
        <w:t>This problem has direct consequences for student outcomes and institutional effectiveness. Students who might have succeeded with timely support instead face academic probation, course failures, program delays, or departure from the institution entirely. The university expends resources on recruitment and enrollment without corresponding mechanisms to protect that investment through retention support. Academic departments and schools lack visibility into emerging risk patterns that could inform curriculum adjustments or teaching practice improvements. Most critically, the institution's mission to produce successful graduates is compromised when preventable student failures occur due to the absence of systematic early intervention capabilities.</w:t>
      </w:r>
    </w:p>
    <w:p>
      <w:pPr>
        <w:spacing w:after="480" w:line="360" w:lineRule="auto"/>
        <w:ind w:firstLine="720"/>
        <w:jc w:val="both"/>
      </w:pPr>
      <w:r>
        <w:t xml:space="preserve">Recent advances in educational data mining and machine learning provide proven approaches to address these challenges. Studies demonstrate that predictive analytics systems can identify at-risk students with accuracies ranging from 85% to 92% when trained on comprehensive multi-source data including academic performance, attendance, engagement, and demographic factors </w:t>
      </w:r>
      <w:r>
        <w:rPr>
          <w:i/>
          <w:iCs/>
        </w:rPr>
        <w:t>(Ahmed et al., 2024; Turkmenbayev et al., 2025; Scientific Reports, 2025)</w:t>
      </w:r>
      <w:r>
        <w:t xml:space="preserve">. Furthermore, research shows that institutions implementing comprehensive student success analytics platforms report measurable improvements in retention rates and resource allocation efficiency </w:t>
      </w:r>
      <w:r>
        <w:rPr>
          <w:i/>
          <w:iCs/>
        </w:rPr>
        <w:t>(Modern Campus, 2025; Liaison, 2025)</w:t>
      </w:r>
      <w:r>
        <w:t>. However, Strathmore University currently lacks such a system, representing both a significant gap in student support infrastructure and an opportunity for meaningful innovation in the Kenyan higher education context.</w:t>
      </w:r>
    </w:p>
    <w:p>
      <w:pPr>
        <w:pStyle w:val="3"/>
        <w:spacing w:before="480" w:after="240"/>
      </w:pPr>
      <w:r>
        <w:t>1.3 Research Objectives</w:t>
      </w:r>
    </w:p>
    <w:p>
      <w:pPr>
        <w:pStyle w:val="4"/>
        <w:spacing w:before="240" w:after="180"/>
      </w:pPr>
      <w:r>
        <w:t>1.3.1 Main Objective</w:t>
      </w:r>
    </w:p>
    <w:p>
      <w:pPr>
        <w:spacing w:after="360" w:line="360" w:lineRule="auto"/>
        <w:ind w:firstLine="720"/>
        <w:jc w:val="both"/>
      </w:pPr>
      <w:r>
        <w:t>The main objective of this study is to design, develop, and evaluate a machine learning-based predictive analytics platform for early identification of at-risk students at Strathmore University.</w:t>
      </w:r>
    </w:p>
    <w:p>
      <w:pPr>
        <w:pStyle w:val="4"/>
        <w:spacing w:before="240" w:after="180"/>
      </w:pPr>
      <w:r>
        <w:t>1.3.2 Specific Objectives</w:t>
      </w:r>
    </w:p>
    <w:p>
      <w:pPr>
        <w:spacing w:after="180" w:line="360" w:lineRule="auto"/>
        <w:jc w:val="both"/>
      </w:pPr>
      <w:r>
        <w:t>The specific objectives of this research are:</w:t>
      </w:r>
    </w:p>
    <w:p>
      <w:pPr>
        <w:pStyle w:val="14"/>
        <w:numPr>
          <w:ilvl w:val="0"/>
          <w:numId w:val="1"/>
        </w:numPr>
        <w:spacing w:after="120" w:line="360" w:lineRule="auto"/>
        <w:jc w:val="both"/>
      </w:pPr>
      <w:r>
        <w:t>To integrate and aggregate student data from multiple institutional sources (Student Information System, Learning Management System, and attendance tracking system) into a unified analytics repository.</w:t>
      </w:r>
    </w:p>
    <w:p>
      <w:pPr>
        <w:pStyle w:val="14"/>
        <w:numPr>
          <w:ilvl w:val="0"/>
          <w:numId w:val="1"/>
        </w:numPr>
        <w:spacing w:after="120" w:line="360" w:lineRule="auto"/>
        <w:jc w:val="both"/>
      </w:pPr>
      <w:r>
        <w:t>To develop and train machine learning models that predict three key risk categories: dropout risk, course failure risk, and program completion delay risk.</w:t>
      </w:r>
    </w:p>
    <w:p>
      <w:pPr>
        <w:pStyle w:val="14"/>
        <w:numPr>
          <w:ilvl w:val="0"/>
          <w:numId w:val="1"/>
        </w:numPr>
        <w:spacing w:after="120" w:line="360" w:lineRule="auto"/>
        <w:jc w:val="both"/>
      </w:pPr>
      <w:r>
        <w:t>To design and implement role-based dashboards that provide university administrators, school administrators, and academic mentors with actionable risk predictions and intervention recommendations.</w:t>
      </w:r>
    </w:p>
    <w:p>
      <w:pPr>
        <w:pStyle w:val="14"/>
        <w:numPr>
          <w:ilvl w:val="0"/>
          <w:numId w:val="1"/>
        </w:numPr>
        <w:spacing w:after="120" w:line="360" w:lineRule="auto"/>
        <w:jc w:val="both"/>
      </w:pPr>
      <w:r>
        <w:t>To evaluate the accuracy and predictive performance of the developed machine learning models using historical student data and established evaluation metrics.</w:t>
      </w:r>
    </w:p>
    <w:p>
      <w:pPr>
        <w:pStyle w:val="14"/>
        <w:numPr>
          <w:ilvl w:val="0"/>
          <w:numId w:val="1"/>
        </w:numPr>
        <w:spacing w:after="480" w:line="360" w:lineRule="auto"/>
        <w:jc w:val="both"/>
      </w:pPr>
      <w:r>
        <w:t>To assess the usability, perceived usefulness, and potential institutional impact of the system through evaluation with university stakeholders.</w:t>
      </w:r>
    </w:p>
    <w:p>
      <w:pPr>
        <w:pStyle w:val="3"/>
        <w:spacing w:before="480" w:after="240"/>
      </w:pPr>
      <w:r>
        <w:t>1.4 Research Questions</w:t>
      </w:r>
    </w:p>
    <w:p>
      <w:pPr>
        <w:pStyle w:val="4"/>
        <w:spacing w:before="240" w:after="180"/>
      </w:pPr>
      <w:r>
        <w:t>1.4.1 Main Research Question</w:t>
      </w:r>
    </w:p>
    <w:p>
      <w:pPr>
        <w:spacing w:after="360" w:line="360" w:lineRule="auto"/>
        <w:ind w:firstLine="720"/>
        <w:jc w:val="both"/>
      </w:pPr>
      <w:r>
        <w:t>How can machine learning algorithms be effectively applied to multi-source student data to enable early identification of at-risk students and facilitate timely intervention in higher education?</w:t>
      </w:r>
    </w:p>
    <w:p>
      <w:pPr>
        <w:pStyle w:val="4"/>
        <w:spacing w:before="240" w:after="180"/>
      </w:pPr>
      <w:r>
        <w:t>1.4.2 Specific Research Questions</w:t>
      </w:r>
    </w:p>
    <w:p>
      <w:pPr>
        <w:spacing w:after="180" w:line="360" w:lineRule="auto"/>
        <w:jc w:val="both"/>
      </w:pPr>
      <w:r>
        <w:t>This study seeks to address the following specific research questions:</w:t>
      </w:r>
    </w:p>
    <w:p>
      <w:pPr>
        <w:pStyle w:val="14"/>
        <w:numPr>
          <w:ilvl w:val="0"/>
          <w:numId w:val="1"/>
        </w:numPr>
        <w:spacing w:after="120" w:line="360" w:lineRule="auto"/>
        <w:jc w:val="both"/>
      </w:pPr>
      <w:r>
        <w:t>What student data features from SIS, LMS, and attendance systems are most predictive of dropout risk, course failure risk, and program delay risk at Strathmore University?</w:t>
      </w:r>
    </w:p>
    <w:p>
      <w:pPr>
        <w:pStyle w:val="14"/>
        <w:numPr>
          <w:ilvl w:val="0"/>
          <w:numId w:val="1"/>
        </w:numPr>
        <w:spacing w:after="120" w:line="360" w:lineRule="auto"/>
        <w:jc w:val="both"/>
      </w:pPr>
      <w:r>
        <w:t>Which machine learning algorithms (Random Forest, Gradient Boosting, XGBoost) provide the most accurate and reliable predictions for each of the three risk categories?</w:t>
      </w:r>
    </w:p>
    <w:p>
      <w:pPr>
        <w:pStyle w:val="14"/>
        <w:numPr>
          <w:ilvl w:val="0"/>
          <w:numId w:val="1"/>
        </w:numPr>
        <w:spacing w:after="120" w:line="360" w:lineRule="auto"/>
        <w:jc w:val="both"/>
      </w:pPr>
      <w:r>
        <w:t>How can multiple risk predictions be integrated into a comprehensive, actionable student risk profile that supports decision-making by administrators and mentors?</w:t>
      </w:r>
    </w:p>
    <w:p>
      <w:pPr>
        <w:pStyle w:val="14"/>
        <w:numPr>
          <w:ilvl w:val="0"/>
          <w:numId w:val="1"/>
        </w:numPr>
        <w:spacing w:after="120" w:line="360" w:lineRule="auto"/>
        <w:jc w:val="both"/>
      </w:pPr>
      <w:r>
        <w:t>What are the essential design requirements for a user-friendly analytics platform that effectively serves different stakeholder roles (university administrators, school administrators, academic mentors)?</w:t>
      </w:r>
    </w:p>
    <w:p>
      <w:pPr>
        <w:pStyle w:val="14"/>
        <w:numPr>
          <w:ilvl w:val="0"/>
          <w:numId w:val="1"/>
        </w:numPr>
        <w:spacing w:after="480" w:line="360" w:lineRule="auto"/>
        <w:jc w:val="both"/>
      </w:pPr>
      <w:r>
        <w:t>What is the perceived usefulness, usability, and potential institutional impact of the developed system among Strathmore University stakeholders?</w:t>
      </w:r>
    </w:p>
    <w:p>
      <w:pPr>
        <w:pStyle w:val="3"/>
        <w:spacing w:before="0" w:after="240"/>
      </w:pPr>
      <w:r>
        <w:t>1.5 Significance of the Study</w:t>
      </w:r>
    </w:p>
    <w:p>
      <w:pPr>
        <w:spacing w:after="360" w:line="360" w:lineRule="auto"/>
        <w:ind w:firstLine="720"/>
        <w:jc w:val="both"/>
      </w:pPr>
      <w:r>
        <w:t>This research contributes significant value across multiple dimensions—theoretical, practical, and policy-oriented. The study's importance manifests through its potential impact on various stakeholders within and beyond Strathmore University.</w:t>
      </w:r>
    </w:p>
    <w:p>
      <w:pPr>
        <w:pStyle w:val="4"/>
        <w:spacing w:before="240" w:after="180"/>
      </w:pPr>
      <w:r>
        <w:t>1.5.1 Theoretical Significance</w:t>
      </w:r>
    </w:p>
    <w:p>
      <w:pPr>
        <w:spacing w:after="240" w:line="360" w:lineRule="auto"/>
        <w:ind w:firstLine="720"/>
        <w:jc w:val="both"/>
      </w:pPr>
      <w:r>
        <w:t xml:space="preserve">From a theoretical perspective, this study advances the scholarly understanding of educational data mining and learning analytics in several important ways. First, it contributes to the growing body of knowledge on ensemble machine learning methods specifically applied to educational contexts, particularly in resource-constrained environments characteristic of African universities. While existing literature predominantly focuses on well-resourced Western institutions </w:t>
      </w:r>
      <w:r>
        <w:rPr>
          <w:i/>
          <w:iCs/>
        </w:rPr>
        <w:t>(Turkmenbayev et al., 2025; Scientific Reports, 2025)</w:t>
      </w:r>
      <w:r>
        <w:t>, this research demonstrates the applicability and effectiveness of advanced predictive analytics in settings where data infrastructure, technical capacity, and institutional support mechanisms may be limited.</w:t>
      </w:r>
    </w:p>
    <w:p>
      <w:pPr>
        <w:spacing w:after="360" w:line="360" w:lineRule="auto"/>
        <w:ind w:firstLine="720"/>
        <w:jc w:val="both"/>
      </w:pPr>
      <w:r>
        <w:t>Second, the research extends Tinto's Student Integration Model by operationalizing its theoretical constructs through quantifiable data elements extracted from institutional systems. By mapping academic integration (grades, course completion), social integration (LMS engagement, peer interaction metrics), and institutional commitment (attendance, persistence patterns) to specific predictive features, the study provides empirical validation of theoretical frameworks within an African context. Third, the multi-factor risk prediction approach—simultaneously modeling dropout, course failure, and program delay—represents a more comprehensive theoretical framework than single-outcome studies, acknowledging the interconnected nature of student success challenges.</w:t>
      </w:r>
    </w:p>
    <w:p>
      <w:pPr>
        <w:pStyle w:val="4"/>
        <w:spacing w:before="240" w:after="180"/>
      </w:pPr>
      <w:r>
        <w:t>1.5.2 Practical Significance</w:t>
      </w:r>
    </w:p>
    <w:p>
      <w:pPr>
        <w:spacing w:after="240" w:line="360" w:lineRule="auto"/>
        <w:ind w:firstLine="720"/>
        <w:jc w:val="both"/>
      </w:pPr>
      <w:r>
        <w:rPr>
          <w:b/>
          <w:bCs/>
        </w:rPr>
        <w:t xml:space="preserve">For Universities and Higher Education Institutions. </w:t>
      </w:r>
      <w:r>
        <w:t xml:space="preserve">The developed system provides Strathmore University and similar institutions with practical tools to transform reactive student support into proactive intervention. The platform enables data-driven decision-making in resource allocation, allowing limited counseling, tutoring, and mentoring resources to be directed toward students most likely to benefit from intervention. Early warning capabilities support institutional retention strategies, potentially reducing dropout rates and improving graduation statistics that enhance institutional reputation and competitiveness </w:t>
      </w:r>
      <w:r>
        <w:rPr>
          <w:i/>
          <w:iCs/>
        </w:rPr>
        <w:t>(Modern Campus, 2025)</w:t>
      </w:r>
      <w:r>
        <w:t>. Furthermore, the system generates actionable insights about program-level and school-level patterns in student risk, informing curriculum development, teaching practice improvements, and policy adjustments.</w:t>
      </w:r>
    </w:p>
    <w:p>
      <w:pPr>
        <w:spacing w:after="240" w:line="360" w:lineRule="auto"/>
        <w:ind w:firstLine="720"/>
        <w:jc w:val="both"/>
      </w:pPr>
      <w:r>
        <w:rPr>
          <w:b/>
          <w:bCs/>
        </w:rPr>
        <w:t xml:space="preserve">For Educators and Academic Mentors. </w:t>
      </w:r>
      <w:r>
        <w:t>The platform equips academic advisors, mentors, and instructors with specific, evidence-based insights into student risk factors, moving beyond intuition-based judgments to data-informed support strategies. Role-based dashboards provide personalized student profiles highlighting specific areas of concern—whether attendance patterns, engagement deficits, or assignment completion issues—enabling targeted intervention conversations. The system's recommendation engine suggests appropriate support services and intervention strategies, reducing the cognitive burden on already-stretched academic staff while improving intervention effectiveness. Early identification of struggling students creates opportunities for proactive outreach before problems become insurmountable, potentially transforming student trajectories from failure to success.</w:t>
      </w:r>
    </w:p>
    <w:p>
      <w:pPr>
        <w:spacing w:after="360" w:line="360" w:lineRule="auto"/>
        <w:ind w:firstLine="720"/>
        <w:jc w:val="both"/>
      </w:pPr>
      <w:r>
        <w:rPr>
          <w:b/>
          <w:bCs/>
        </w:rPr>
        <w:t xml:space="preserve">For Students. </w:t>
      </w:r>
      <w:r>
        <w:t>While students are not direct users of the administrative platform, they represent the ultimate beneficiaries of improved early warning capabilities. Timely interventions facilitated by the system can prevent academic failures, reduce program delays, and increase graduation likelihood. Students receive appropriate support at critical junctures in their academic journey rather than facing consequences after problems have escalated beyond intervention effectiveness. The system helps ensure that institutional policies designed to maintain academic standards—such as the 67% attendance requirement—are supported by mechanisms to help students comply rather than serving merely as punitive measures. Ultimately, improved retention and success rates translate into better career preparation and employment outcomes for individual students.</w:t>
      </w:r>
    </w:p>
    <w:p>
      <w:pPr>
        <w:pStyle w:val="4"/>
        <w:spacing w:before="240" w:after="180"/>
      </w:pPr>
      <w:r>
        <w:t>1.5.3 Policy and Sectoral Significance</w:t>
      </w:r>
    </w:p>
    <w:p>
      <w:pPr>
        <w:spacing w:after="240" w:line="360" w:lineRule="auto"/>
        <w:ind w:firstLine="720"/>
        <w:jc w:val="both"/>
      </w:pPr>
      <w:r>
        <w:rPr>
          <w:b/>
          <w:bCs/>
        </w:rPr>
        <w:t xml:space="preserve">For Policy Makers and Educational Authorities. </w:t>
      </w:r>
      <w:r>
        <w:t xml:space="preserve">This research demonstrates a cost-effective, technology-enabled approach to addressing student retention challenges in African universities, providing a replicable model for similar institutions across the continent. Given Kenya's higher education challenges—including limited funding, large class sizes, and inadequate student support services </w:t>
      </w:r>
      <w:r>
        <w:rPr>
          <w:i/>
          <w:iCs/>
        </w:rPr>
        <w:t>(KIPPRA, 2024; Daily Nation, 2024)</w:t>
      </w:r>
      <w:r>
        <w:t>—the study illustrates how strategic application of artificial intelligence can amplify limited resources and improve outcomes without proportional increases in expenditure. The system's scalable architecture and emphasis on utilizing existing institutional data systems makes it particularly relevant for resource-constrained contexts.</w:t>
      </w:r>
    </w:p>
    <w:p>
      <w:pPr>
        <w:spacing w:after="240" w:line="360" w:lineRule="auto"/>
        <w:ind w:firstLine="720"/>
        <w:jc w:val="both"/>
      </w:pPr>
      <w:r>
        <w:t xml:space="preserve">The research provides empirical evidence for data-driven decision-making in educational policy development, demonstrating how systematic analysis of student success patterns can inform institutional policies, support service design, and resource allocation strategies. By documenting implementation challenges, success factors, and lessons learned, the study creates a knowledge base that can accelerate adoption of similar systems across Kenyan and African institutions. This contribution is particularly timely given recent national policy emphasis on improving higher education quality and efficiency while managing enrollment expansion </w:t>
      </w:r>
      <w:r>
        <w:rPr>
          <w:i/>
          <w:iCs/>
        </w:rPr>
        <w:t>(Kenya Ministry of Education, 2024)</w:t>
      </w:r>
      <w:r>
        <w:t>.</w:t>
      </w:r>
    </w:p>
    <w:p>
      <w:pPr>
        <w:spacing w:after="480" w:line="360" w:lineRule="auto"/>
        <w:ind w:firstLine="720"/>
        <w:jc w:val="both"/>
      </w:pPr>
      <w:r>
        <w:rPr>
          <w:b/>
          <w:bCs/>
        </w:rPr>
        <w:t xml:space="preserve">For the Technology and EdTech Sector. </w:t>
      </w:r>
      <w:r>
        <w:t>The study contributes practical insights into the design and deployment of AI-powered educational technology in African contexts, addressing not only technical considerations but also cultural, organizational, and resource factors that influence adoption success. The platform serves as a proof-of-concept for locally-developed EdTech solutions that can be adapted and scaled across similar institutions, potentially reducing dependence on expensive Western software solutions while creating local technical capacity and knowledge.</w:t>
      </w:r>
    </w:p>
    <w:p>
      <w:pPr>
        <w:pStyle w:val="3"/>
        <w:spacing w:before="480" w:after="240"/>
      </w:pPr>
      <w:r>
        <w:t>1.6 Scope and Delimitations of the Study</w:t>
      </w:r>
    </w:p>
    <w:p>
      <w:pPr>
        <w:pStyle w:val="4"/>
        <w:spacing w:before="240" w:after="180"/>
      </w:pPr>
      <w:r>
        <w:t>1.6.1 Scope</w:t>
      </w:r>
    </w:p>
    <w:p>
      <w:pPr>
        <w:spacing w:after="240" w:line="360" w:lineRule="auto"/>
        <w:ind w:firstLine="720"/>
        <w:jc w:val="both"/>
      </w:pPr>
      <w:r>
        <w:t>This research focuses specifically on developing and evaluating a predictive analytics platform for student success at Strathmore University, Kenya. The study encompasses student data from all five schools within the university: the School of Computing and Engineering Sciences (SCES), Strathmore Business School (SBS), the School of Tourism and Hospitality (STH), Strathmore Law School (SLS), and the School of Humanities and Social Sciences (SHSS). The research utilizes data from approximately 440 undergraduate students, providing sufficient statistical power for reliable machine learning model development while remaining computationally manageable for a master's-level research project.</w:t>
      </w:r>
    </w:p>
    <w:p>
      <w:pPr>
        <w:spacing w:after="240" w:line="360" w:lineRule="auto"/>
        <w:ind w:firstLine="720"/>
        <w:jc w:val="both"/>
      </w:pPr>
      <w:r>
        <w:t>The technical scope includes integration of data from three primary institutional systems: the Student Information System (containing enrollment, demographic, and grade data), the Learning Management System (capturing engagement metrics, assignment submissions, and resource access patterns), and the attendance tracking system (monitoring class participation and attendance percentages). The study develops and evaluates three distinct machine learning prediction models targeting dropout risk, course failure risk, and program delay risk, employing ensemble algorithms including Random Forest, Gradient Boosting, and XGBoost.</w:t>
      </w:r>
    </w:p>
    <w:p>
      <w:pPr>
        <w:spacing w:after="360" w:line="360" w:lineRule="auto"/>
        <w:ind w:firstLine="720"/>
        <w:jc w:val="both"/>
      </w:pPr>
      <w:r>
        <w:t>The platform design encompasses role-based dashboards serving three primary user groups: university administrators (requiring institution-wide analytics and strategic insights), school administrators (needing school-level performance monitoring and resource allocation support), and academic mentors (seeking individual student profiles and intervention guidance). The research evaluates system effectiveness through quantitative metrics (model accuracy, precision, recall, F1-score, ROC-AUC) and qualitative assessment (usability testing, stakeholder feedback, perceived utility evaluation).</w:t>
      </w:r>
    </w:p>
    <w:p>
      <w:pPr>
        <w:pStyle w:val="4"/>
        <w:spacing w:before="240" w:after="180"/>
      </w:pPr>
      <w:r>
        <w:t>1.6.2 Delimitations</w:t>
      </w:r>
    </w:p>
    <w:p>
      <w:pPr>
        <w:spacing w:after="240" w:line="360" w:lineRule="auto"/>
        <w:ind w:firstLine="720"/>
        <w:jc w:val="both"/>
      </w:pPr>
      <w:r>
        <w:t xml:space="preserve">Several deliberate delimitations define the boundaries of this research. First, the study focuses exclusively on </w:t>
      </w:r>
      <w:r>
        <w:rPr>
          <w:b/>
          <w:bCs/>
        </w:rPr>
        <w:t>academic risk factors</w:t>
      </w:r>
      <w:r>
        <w:t xml:space="preserve"> measurable through institutional data systems. It does not incorporate predictions of mental health concerns, family circumstances, or socioeconomic factors that may influence student success but fall outside institutional data collection purview. While these factors undoubtedly affect student outcomes, their inclusion would require primary data collection beyond the scope of this study and raise significant ethical and privacy considerations.</w:t>
      </w:r>
    </w:p>
    <w:p>
      <w:pPr>
        <w:spacing w:after="240" w:line="360" w:lineRule="auto"/>
        <w:ind w:firstLine="720"/>
        <w:jc w:val="both"/>
      </w:pPr>
      <w:r>
        <w:t xml:space="preserve">Second, the research limits its focus to </w:t>
      </w:r>
      <w:r>
        <w:rPr>
          <w:b/>
          <w:bCs/>
        </w:rPr>
        <w:t>undergraduate students</w:t>
      </w:r>
      <w:r>
        <w:t>, excluding postgraduate and continuing education populations. This delimitation reflects the distinct characteristics of undergraduate student success patterns and the availability of consistent data across the undergraduate population. Graduate and professional programs often exhibit different risk patterns and success factors that would require separate model development.</w:t>
      </w:r>
    </w:p>
    <w:p>
      <w:pPr>
        <w:spacing w:after="240" w:line="360" w:lineRule="auto"/>
        <w:ind w:firstLine="720"/>
        <w:jc w:val="both"/>
      </w:pPr>
      <w:r>
        <w:t xml:space="preserve">Third, the study does </w:t>
      </w:r>
      <w:r>
        <w:rPr>
          <w:b/>
          <w:bCs/>
        </w:rPr>
        <w:t>not develop course-specific recommendation systems</w:t>
      </w:r>
      <w:r>
        <w:t xml:space="preserve"> or personalized learning pathways. While the platform identifies students at risk and suggests broad intervention categories, it does not prescribe specific courses, learning materials, or detailed academic plans. Such granular recommendations would require significantly more complex algorithms and extensive content libraries beyond the current research scope.</w:t>
      </w:r>
    </w:p>
    <w:p>
      <w:pPr>
        <w:spacing w:after="240" w:line="360" w:lineRule="auto"/>
        <w:ind w:firstLine="720"/>
        <w:jc w:val="both"/>
      </w:pPr>
      <w:r>
        <w:t xml:space="preserve">Fourth, the platform is designed as a </w:t>
      </w:r>
      <w:r>
        <w:rPr>
          <w:b/>
          <w:bCs/>
        </w:rPr>
        <w:t>web-based application</w:t>
      </w:r>
      <w:r>
        <w:t xml:space="preserve"> accessible through standard browsers, deliberately excluding mobile application development. This decision prioritizes cross-platform accessibility and reduces development complexity while acknowledging that stakeholders primarily access institutional systems from desktop environments. Future iterations could extend to mobile platforms based on demonstrated demand and usage patterns.</w:t>
      </w:r>
    </w:p>
    <w:p>
      <w:pPr>
        <w:spacing w:after="240" w:line="360" w:lineRule="auto"/>
        <w:ind w:firstLine="720"/>
        <w:jc w:val="both"/>
      </w:pPr>
      <w:r>
        <w:t xml:space="preserve">Fifth, the research </w:t>
      </w:r>
      <w:r>
        <w:rPr>
          <w:b/>
          <w:bCs/>
        </w:rPr>
        <w:t>does not integrate financial aid prediction</w:t>
      </w:r>
      <w:r>
        <w:t xml:space="preserve"> or scholarship recommendation capabilities, despite the documented importance of financial factors in Kenyan student retention </w:t>
      </w:r>
      <w:r>
        <w:rPr>
          <w:i/>
          <w:iCs/>
        </w:rPr>
        <w:t>(Daily Nation, 2025; KIPPRA, 2024)</w:t>
      </w:r>
      <w:r>
        <w:t>. Financial data involves sensitive privacy considerations and complex institutional policies beyond the academic risk focus of this study.</w:t>
      </w:r>
    </w:p>
    <w:p>
      <w:pPr>
        <w:spacing w:after="480" w:line="360" w:lineRule="auto"/>
        <w:ind w:firstLine="720"/>
        <w:jc w:val="both"/>
      </w:pPr>
      <w:r>
        <w:t xml:space="preserve">Finally, while the research develops a fully functional prototype system, implementation and deployment across the entire Strathmore student population represents </w:t>
      </w:r>
      <w:r>
        <w:rPr>
          <w:b/>
          <w:bCs/>
        </w:rPr>
        <w:t>future work beyond the master's thesis scope</w:t>
      </w:r>
      <w:r>
        <w:t>. Full production deployment would require additional institutional approvals, infrastructure provisioning, comprehensive training programs, and ongoing technical support arrangements that extend beyond research timelines and resources.</w:t>
      </w:r>
    </w:p>
    <w:p>
      <w:pPr>
        <w:pStyle w:val="3"/>
        <w:spacing w:before="480" w:after="240"/>
      </w:pPr>
      <w:r>
        <w:t>1.7 Definition of Terms</w:t>
      </w:r>
    </w:p>
    <w:p>
      <w:pPr>
        <w:spacing w:after="240" w:line="360" w:lineRule="auto"/>
        <w:jc w:val="both"/>
      </w:pPr>
      <w:r>
        <w:rPr>
          <w:b/>
          <w:bCs/>
        </w:rPr>
        <w:t xml:space="preserve">At-Risk Student: </w:t>
      </w:r>
      <w:r>
        <w:t>A student exhibiting data patterns or characteristics that statistically correlate with increased probability of dropout, course failure, or program delay. Risk status is determined through predictive model outputs rather than actual academic standing, enabling proactive identification before failure occurs.</w:t>
      </w:r>
    </w:p>
    <w:p>
      <w:pPr>
        <w:spacing w:after="240" w:line="360" w:lineRule="auto"/>
        <w:jc w:val="both"/>
      </w:pPr>
      <w:r>
        <w:rPr>
          <w:b/>
          <w:bCs/>
        </w:rPr>
        <w:t xml:space="preserve">Dropout Risk: </w:t>
      </w:r>
      <w:r>
        <w:t>The predicted probability that a currently enrolled student will discontinue university enrollment before completing degree requirements. This encompasses both formal withdrawal and informal cessation of attendance, but excludes students who transfer to other institutions while maintaining continuous enrollment.</w:t>
      </w:r>
    </w:p>
    <w:p>
      <w:pPr>
        <w:spacing w:after="240" w:line="360" w:lineRule="auto"/>
        <w:jc w:val="both"/>
      </w:pPr>
      <w:r>
        <w:rPr>
          <w:b/>
          <w:bCs/>
        </w:rPr>
        <w:t xml:space="preserve">Course Failure Risk: </w:t>
      </w:r>
      <w:r>
        <w:t>The predicted probability that a student will receive a failing grade (below the minimum 40% pass mark or below the 67% attendance requirement) in one or more currently enrolled courses. This metric enables course-level intervention before final grades are posted.</w:t>
      </w:r>
    </w:p>
    <w:p>
      <w:pPr>
        <w:spacing w:after="240" w:line="360" w:lineRule="auto"/>
        <w:jc w:val="both"/>
      </w:pPr>
      <w:r>
        <w:rPr>
          <w:b/>
          <w:bCs/>
        </w:rPr>
        <w:t xml:space="preserve">Program Delay Risk: </w:t>
      </w:r>
      <w:r>
        <w:t>The predicted probability that a student will require additional semesters beyond the standard program duration to complete degree requirements. Delays may result from course repetition, reduced course loads, academic probation, or extended leaves of absence.</w:t>
      </w:r>
    </w:p>
    <w:p>
      <w:pPr>
        <w:spacing w:after="240" w:line="360" w:lineRule="auto"/>
        <w:jc w:val="both"/>
      </w:pPr>
      <w:r>
        <w:rPr>
          <w:b/>
          <w:bCs/>
        </w:rPr>
        <w:t xml:space="preserve">Learning Management System (LMS): </w:t>
      </w:r>
      <w:r>
        <w:t>A software platform (such as Moodle or Canvas) used to deliver course content, facilitate student-instructor communication, manage assignments, and track student engagement. The LMS generates extensive behavioral data including login frequency, time on platform, resource access, and assignment submission patterns.</w:t>
      </w:r>
    </w:p>
    <w:p>
      <w:pPr>
        <w:spacing w:after="240" w:line="360" w:lineRule="auto"/>
        <w:jc w:val="both"/>
      </w:pPr>
      <w:r>
        <w:rPr>
          <w:b/>
          <w:bCs/>
        </w:rPr>
        <w:t xml:space="preserve">Student Information System (SIS): </w:t>
      </w:r>
      <w:r>
        <w:t>An administrative database system maintaining comprehensive student records including demographics, enrollment history, course registrations, grades, academic standing, and degree progress. SIS serves as the institutional source of truth for official student data.</w:t>
      </w:r>
    </w:p>
    <w:p>
      <w:pPr>
        <w:spacing w:after="240" w:line="360" w:lineRule="auto"/>
        <w:jc w:val="both"/>
      </w:pPr>
      <w:r>
        <w:rPr>
          <w:b/>
          <w:bCs/>
        </w:rPr>
        <w:t xml:space="preserve">Predictive Analytics: </w:t>
      </w:r>
      <w:r>
        <w:t>Statistical and machine learning techniques that analyze historical and current data to generate probabilistic forecasts of future events or behaviors. In educational contexts, predictive analytics identifies students likely to experience academic difficulties based on patterns extracted from institutional data.</w:t>
      </w:r>
    </w:p>
    <w:p>
      <w:pPr>
        <w:spacing w:after="240" w:line="360" w:lineRule="auto"/>
        <w:jc w:val="both"/>
      </w:pPr>
      <w:r>
        <w:rPr>
          <w:b/>
          <w:bCs/>
        </w:rPr>
        <w:t xml:space="preserve">Ensemble Learning: </w:t>
      </w:r>
      <w:r>
        <w:t>A machine learning approach that combines predictions from multiple algorithms (such as Random Forest, Gradient Boosting, and XGBoost) to achieve higher accuracy than individual models. Ensemble methods reduce overfitting and improve generalization to new data.</w:t>
      </w:r>
    </w:p>
    <w:p>
      <w:pPr>
        <w:spacing w:after="240" w:line="360" w:lineRule="auto"/>
        <w:jc w:val="both"/>
      </w:pPr>
      <w:r>
        <w:rPr>
          <w:b/>
          <w:bCs/>
        </w:rPr>
        <w:t xml:space="preserve">Feature Engineering: </w:t>
      </w:r>
      <w:r>
        <w:t>The process of selecting, transforming, and creating variables (features) from raw data that effectively capture patterns relevant to the prediction task. Feature engineering translates institutional data into inputs optimized for machine learning algorithms.</w:t>
      </w:r>
    </w:p>
    <w:p>
      <w:pPr>
        <w:spacing w:after="240" w:line="360" w:lineRule="auto"/>
        <w:jc w:val="both"/>
      </w:pPr>
      <w:r>
        <w:rPr>
          <w:b/>
          <w:bCs/>
        </w:rPr>
        <w:t xml:space="preserve">Early Warning System: </w:t>
      </w:r>
      <w:r>
        <w:t>An integrated platform combining data collection, predictive modeling, and alert generation to identify students requiring intervention before academic problems become severe. Effective early warning systems link identification to actionable recommendations and intervention tracking.</w:t>
      </w:r>
    </w:p>
    <w:p>
      <w:pPr>
        <w:spacing w:after="240" w:line="360" w:lineRule="auto"/>
        <w:jc w:val="both"/>
      </w:pPr>
      <w:r>
        <w:rPr>
          <w:b/>
          <w:bCs/>
        </w:rPr>
        <w:t xml:space="preserve">Engagement Metrics: </w:t>
      </w:r>
      <w:r>
        <w:t>Quantifiable measures of student participation in learning activities, typically derived from LMS data. Common metrics include login frequency, time on platform, discussion forum posts, resource downloads, video viewing completion, and assignment submission timeliness.</w:t>
      </w:r>
    </w:p>
    <w:p>
      <w:pPr>
        <w:spacing w:after="240" w:line="360" w:lineRule="auto"/>
        <w:jc w:val="both"/>
      </w:pPr>
      <w:r>
        <w:rPr>
          <w:b/>
          <w:bCs/>
        </w:rPr>
        <w:t xml:space="preserve">Model Accuracy: </w:t>
      </w:r>
      <w:r>
        <w:t>The proportion of correct predictions (both true positives and true negatives) among all predictions made by a machine learning model. While important, accuracy alone can be misleading in imbalanced datasets and should be evaluated alongside precision, recall, and F1-score.</w:t>
      </w:r>
    </w:p>
    <w:p>
      <w:pPr>
        <w:spacing w:after="480" w:line="360" w:lineRule="auto"/>
        <w:jc w:val="both"/>
      </w:pPr>
      <w:r>
        <w:rPr>
          <w:b/>
          <w:bCs/>
        </w:rPr>
        <w:t xml:space="preserve">Intervention: </w:t>
      </w:r>
      <w:r>
        <w:t>Targeted support actions designed to address identified student risk factors and improve academic outcomes. Interventions may include academic advising, tutoring referrals, study skills workshops, mental health counseling, or adjustments to course load or schedule.</w:t>
      </w:r>
    </w:p>
    <w:p>
      <w:pPr>
        <w:pStyle w:val="3"/>
        <w:spacing w:before="480" w:after="240"/>
      </w:pPr>
      <w:r>
        <w:t>1.8 Organization of the Thesis</w:t>
      </w:r>
    </w:p>
    <w:p>
      <w:pPr>
        <w:spacing w:after="360" w:line="360" w:lineRule="auto"/>
        <w:ind w:firstLine="720"/>
        <w:jc w:val="both"/>
      </w:pPr>
      <w:r>
        <w:t>This thesis is organized into six chapters that systematically present the research problem, theoretical foundations, methodology, implementation, results, and conclusions.</w:t>
      </w:r>
    </w:p>
    <w:p>
      <w:pPr>
        <w:pStyle w:val="2"/>
        <w:spacing w:before="0" w:after="480"/>
      </w:pPr>
      <w:r>
        <w:t>REFERENCES</w:t>
      </w:r>
    </w:p>
    <w:p>
      <w:pPr>
        <w:spacing w:after="0" w:line="360" w:lineRule="auto"/>
        <w:ind w:left="0" w:hanging="720"/>
        <w:jc w:val="left"/>
      </w:pPr>
      <w:r>
        <w:t xml:space="preserve">African Journal of Empirical Research. (2025). Postgraduate students' retention and survival rates between 2015 and 2024 in public universities, Kenya. </w:t>
      </w:r>
      <w:r>
        <w:fldChar w:fldCharType="begin"/>
      </w:r>
      <w:r>
        <w:instrText xml:space="preserve"> HYPERLINK "https://ajernet.net/ojs/index.php/ajernet/article/view/1197" </w:instrText>
      </w:r>
      <w:r>
        <w:fldChar w:fldCharType="separate"/>
      </w:r>
      <w:r>
        <w:rPr>
          <w:rStyle w:val="12"/>
        </w:rPr>
        <w:t>https://ajernet.net/ojs/index.php/ajernet/article/view/1197</w:t>
      </w:r>
      <w:r>
        <w:rPr>
          <w:rStyle w:val="12"/>
        </w:rPr>
        <w:fldChar w:fldCharType="end"/>
      </w:r>
    </w:p>
    <w:p>
      <w:pPr>
        <w:spacing w:after="0" w:line="360" w:lineRule="auto"/>
        <w:ind w:left="0" w:hanging="720"/>
        <w:jc w:val="left"/>
      </w:pPr>
      <w:r>
        <w:t xml:space="preserve">Ahmed, E. (2024). Student performance prediction using machine learning algorithms. </w:t>
      </w:r>
      <w:r>
        <w:rPr>
          <w:i/>
          <w:iCs/>
        </w:rPr>
        <w:t>Applied Computational Intelligence and Soft Computing, 2024</w:t>
      </w:r>
      <w:r>
        <w:t xml:space="preserve">(1), 4067721. </w:t>
      </w:r>
      <w:r>
        <w:fldChar w:fldCharType="begin"/>
      </w:r>
      <w:r>
        <w:instrText xml:space="preserve"> HYPERLINK "https://onlinelibrary.wiley.com/doi/10.1155/2024/4067721" </w:instrText>
      </w:r>
      <w:r>
        <w:fldChar w:fldCharType="separate"/>
      </w:r>
      <w:r>
        <w:rPr>
          <w:rStyle w:val="12"/>
        </w:rPr>
        <w:t>https://onlinelibrary.wiley.com/doi/10.1155/2024/4067721</w:t>
      </w:r>
      <w:r>
        <w:rPr>
          <w:rStyle w:val="12"/>
        </w:rPr>
        <w:fldChar w:fldCharType="end"/>
      </w:r>
    </w:p>
    <w:p>
      <w:pPr>
        <w:spacing w:after="0" w:line="360" w:lineRule="auto"/>
        <w:ind w:left="0" w:hanging="720"/>
        <w:jc w:val="left"/>
      </w:pPr>
      <w:r>
        <w:t xml:space="preserve">EAB. (2025, March 25). 3 hidden retention challenges facing higher ed in 2025. </w:t>
      </w:r>
      <w:r>
        <w:fldChar w:fldCharType="begin"/>
      </w:r>
      <w:r>
        <w:instrText xml:space="preserve"> HYPERLINK "https://eab.com/resources/blog/student-success-blog/3-hidden-retention-challenges-facing-higher-ed-in-2025/" </w:instrText>
      </w:r>
      <w:r>
        <w:fldChar w:fldCharType="separate"/>
      </w:r>
      <w:r>
        <w:rPr>
          <w:rStyle w:val="12"/>
        </w:rPr>
        <w:t>https://eab.com/resources/blog/student-success-blog/3-hidden-retention-challenges-facing-higher-ed-in-2025/</w:t>
      </w:r>
      <w:r>
        <w:rPr>
          <w:rStyle w:val="12"/>
        </w:rPr>
        <w:fldChar w:fldCharType="end"/>
      </w:r>
    </w:p>
    <w:p>
      <w:pPr>
        <w:spacing w:after="0" w:line="360" w:lineRule="auto"/>
        <w:ind w:left="0" w:hanging="720"/>
        <w:jc w:val="left"/>
      </w:pPr>
      <w:r>
        <w:t xml:space="preserve">Element451. (2024, September 13). 2024 guide: What is student retention in higher education? </w:t>
      </w:r>
      <w:r>
        <w:fldChar w:fldCharType="begin"/>
      </w:r>
      <w:r>
        <w:instrText xml:space="preserve"> HYPERLINK "https://element451.com/blog/what-is-student-retention" </w:instrText>
      </w:r>
      <w:r>
        <w:fldChar w:fldCharType="separate"/>
      </w:r>
      <w:r>
        <w:rPr>
          <w:rStyle w:val="12"/>
        </w:rPr>
        <w:t>https://element451.com/blog/what-is-student-retention</w:t>
      </w:r>
      <w:r>
        <w:rPr>
          <w:rStyle w:val="12"/>
        </w:rPr>
        <w:fldChar w:fldCharType="end"/>
      </w:r>
    </w:p>
    <w:p>
      <w:pPr>
        <w:spacing w:after="0" w:line="360" w:lineRule="auto"/>
        <w:ind w:left="0" w:hanging="720"/>
        <w:jc w:val="left"/>
      </w:pPr>
      <w:r>
        <w:t xml:space="preserve">Frontiers in Education. (2025). Machine learning models for academic performance prediction: Interpretability and application in educational decision-making. </w:t>
      </w:r>
      <w:r>
        <w:fldChar w:fldCharType="begin"/>
      </w:r>
      <w:r>
        <w:instrText xml:space="preserve"> HYPERLINK "https://www.frontiersin.org/journals/education/articles/10.3389/feduc.2025.1632315/full" </w:instrText>
      </w:r>
      <w:r>
        <w:fldChar w:fldCharType="separate"/>
      </w:r>
      <w:r>
        <w:rPr>
          <w:rStyle w:val="12"/>
        </w:rPr>
        <w:t>https://www.frontiersin.org/journals/education/articles/10.3389/feduc.2025.1632315/full</w:t>
      </w:r>
      <w:r>
        <w:rPr>
          <w:rStyle w:val="12"/>
        </w:rPr>
        <w:fldChar w:fldCharType="end"/>
      </w:r>
    </w:p>
    <w:p>
      <w:pPr>
        <w:spacing w:after="0" w:line="360" w:lineRule="auto"/>
        <w:ind w:left="0" w:hanging="720"/>
        <w:jc w:val="left"/>
      </w:pPr>
      <w:r>
        <w:t xml:space="preserve">Hanover Research. (2025, October 31). Unlocking student success: Proven strategies to increase college student retention. </w:t>
      </w:r>
      <w:r>
        <w:fldChar w:fldCharType="begin"/>
      </w:r>
      <w:r>
        <w:instrText xml:space="preserve"> HYPERLINK "https://www.hanoverresearch.com/insights-blog/higher-education/increase-college-student-retention/" </w:instrText>
      </w:r>
      <w:r>
        <w:fldChar w:fldCharType="separate"/>
      </w:r>
      <w:r>
        <w:rPr>
          <w:rStyle w:val="12"/>
        </w:rPr>
        <w:t>https://www.hanoverresearch.com/insights-blog/higher-education/increase-college-student-retention/</w:t>
      </w:r>
      <w:r>
        <w:rPr>
          <w:rStyle w:val="12"/>
        </w:rPr>
        <w:fldChar w:fldCharType="end"/>
      </w:r>
    </w:p>
    <w:p>
      <w:pPr>
        <w:spacing w:after="0" w:line="360" w:lineRule="auto"/>
        <w:ind w:left="0" w:hanging="720"/>
        <w:jc w:val="left"/>
      </w:pPr>
      <w:r>
        <w:t xml:space="preserve">Kenya Institute for Public Policy Research and Analysis (KIPPRA). (2024). Improving the performance of public universities in delivering higher education in Kenya. </w:t>
      </w:r>
      <w:r>
        <w:fldChar w:fldCharType="begin"/>
      </w:r>
      <w:r>
        <w:instrText xml:space="preserve"> HYPERLINK "https://kippra.or.ke/improving-the-performance-of-public-universities-in-delivering-higher-education-in-kenya/" </w:instrText>
      </w:r>
      <w:r>
        <w:fldChar w:fldCharType="separate"/>
      </w:r>
      <w:r>
        <w:rPr>
          <w:rStyle w:val="12"/>
        </w:rPr>
        <w:t>https://kippra.or.ke/improving-the-performance-of-public-universities-in-delivering-higher-education-in-kenya/</w:t>
      </w:r>
      <w:r>
        <w:rPr>
          <w:rStyle w:val="12"/>
        </w:rPr>
        <w:fldChar w:fldCharType="end"/>
      </w:r>
    </w:p>
    <w:p>
      <w:pPr>
        <w:spacing w:after="0" w:line="360" w:lineRule="auto"/>
        <w:ind w:left="0" w:hanging="720"/>
        <w:jc w:val="left"/>
      </w:pPr>
      <w:r>
        <w:t xml:space="preserve">Kenya Ministry of Education. (2024). Sessional paper no. X of 2024. </w:t>
      </w:r>
      <w:r>
        <w:fldChar w:fldCharType="begin"/>
      </w:r>
      <w:r>
        <w:instrText xml:space="preserve"> HYPERLINK "https://www.education.go.ke/sites/default/files/BILLS/Sessional%20Paper_2802024.pdf" </w:instrText>
      </w:r>
      <w:r>
        <w:fldChar w:fldCharType="separate"/>
      </w:r>
      <w:r>
        <w:rPr>
          <w:rStyle w:val="12"/>
        </w:rPr>
        <w:t>https://www.education.go.ke/sites/default/files/BILLS/Sessional%20Paper_2802024.pdf</w:t>
      </w:r>
      <w:r>
        <w:rPr>
          <w:rStyle w:val="12"/>
        </w:rPr>
        <w:fldChar w:fldCharType="end"/>
      </w:r>
    </w:p>
    <w:p>
      <w:pPr>
        <w:spacing w:after="0" w:line="360" w:lineRule="auto"/>
        <w:ind w:left="0" w:hanging="720"/>
        <w:jc w:val="left"/>
      </w:pPr>
      <w:r>
        <w:t xml:space="preserve">Liaison. (2025, January 30). Using predictive analytics for student success and retention at community colleges. </w:t>
      </w:r>
      <w:r>
        <w:fldChar w:fldCharType="begin"/>
      </w:r>
      <w:r>
        <w:instrText xml:space="preserve"> HYPERLINK "https://www.liaisonedu.com/resources/blog/using-predictive-analytics-for-student-success-and-retention-at-community-colleges/" </w:instrText>
      </w:r>
      <w:r>
        <w:fldChar w:fldCharType="separate"/>
      </w:r>
      <w:r>
        <w:rPr>
          <w:rStyle w:val="12"/>
        </w:rPr>
        <w:t>https://www.liaisonedu.com/resources/blog/using-predictive-analytics-for-student-success-and-retention-at-community-colleges/</w:t>
      </w:r>
      <w:r>
        <w:rPr>
          <w:rStyle w:val="12"/>
        </w:rPr>
        <w:fldChar w:fldCharType="end"/>
      </w:r>
    </w:p>
    <w:p>
      <w:pPr>
        <w:spacing w:after="0" w:line="360" w:lineRule="auto"/>
        <w:ind w:left="0" w:hanging="720"/>
        <w:jc w:val="left"/>
      </w:pPr>
      <w:r>
        <w:t xml:space="preserve">Mapademics. (2025, September 14). Transforming student success: How predictive retention analytics is revolutionizing higher education in 2025. </w:t>
      </w:r>
      <w:r>
        <w:fldChar w:fldCharType="begin"/>
      </w:r>
      <w:r>
        <w:instrText xml:space="preserve"> HYPERLINK "https://mapademics.com/whitepapers/predicting-student-success-with-smart-analytics" </w:instrText>
      </w:r>
      <w:r>
        <w:fldChar w:fldCharType="separate"/>
      </w:r>
      <w:r>
        <w:rPr>
          <w:rStyle w:val="12"/>
        </w:rPr>
        <w:t>https://mapademics.com/whitepapers/predicting-student-success-with-smart-analytics</w:t>
      </w:r>
      <w:r>
        <w:rPr>
          <w:rStyle w:val="12"/>
        </w:rPr>
        <w:fldChar w:fldCharType="end"/>
      </w:r>
    </w:p>
    <w:p>
      <w:pPr>
        <w:spacing w:after="0" w:line="360" w:lineRule="auto"/>
        <w:ind w:left="0" w:hanging="720"/>
        <w:jc w:val="left"/>
      </w:pPr>
      <w:r>
        <w:t xml:space="preserve">Modern Campus. (2025, November 5). Student retention strategies: 8 proven methods to boost higher ed success. </w:t>
      </w:r>
      <w:r>
        <w:fldChar w:fldCharType="begin"/>
      </w:r>
      <w:r>
        <w:instrText xml:space="preserve"> HYPERLINK "https://moderncampus.com/blog/strategies-for-improving-retention-in-higher-education.html" </w:instrText>
      </w:r>
      <w:r>
        <w:fldChar w:fldCharType="separate"/>
      </w:r>
      <w:r>
        <w:rPr>
          <w:rStyle w:val="12"/>
        </w:rPr>
        <w:t>https://moderncampus.com/blog/strategies-for-improving-retention-in-higher-education.html</w:t>
      </w:r>
      <w:r>
        <w:rPr>
          <w:rStyle w:val="12"/>
        </w:rPr>
        <w:fldChar w:fldCharType="end"/>
      </w:r>
    </w:p>
    <w:p>
      <w:pPr>
        <w:spacing w:after="0" w:line="360" w:lineRule="auto"/>
        <w:ind w:left="0" w:hanging="720"/>
        <w:jc w:val="left"/>
      </w:pPr>
      <w:r>
        <w:t xml:space="preserve">Musasia, C. M., Achoka, J. S., Wamocha, L. M., &amp; Odebero, S. O. (2025). Postgraduate students' retention and survival rates between 2015 and 2024 in public universities, Kenya. </w:t>
      </w:r>
      <w:r>
        <w:rPr>
          <w:i/>
          <w:iCs/>
        </w:rPr>
        <w:t>African Journal of Empirical Research, 6</w:t>
      </w:r>
      <w:r>
        <w:t>(3), 679–687. https://doi.org/10.51867/ajernet.6.3.52</w:t>
      </w:r>
    </w:p>
    <w:p>
      <w:pPr>
        <w:spacing w:after="0" w:line="360" w:lineRule="auto"/>
        <w:ind w:left="0" w:hanging="720"/>
        <w:jc w:val="left"/>
      </w:pPr>
      <w:r>
        <w:t xml:space="preserve">National Student Clearinghouse Research Center. (2024). Persistence &amp; retention. </w:t>
      </w:r>
      <w:r>
        <w:fldChar w:fldCharType="begin"/>
      </w:r>
      <w:r>
        <w:instrText xml:space="preserve"> HYPERLINK "https://nscresearchcenter.org/persistence-retention/" </w:instrText>
      </w:r>
      <w:r>
        <w:fldChar w:fldCharType="separate"/>
      </w:r>
      <w:r>
        <w:rPr>
          <w:rStyle w:val="12"/>
        </w:rPr>
        <w:t>https://nscresearchcenter.org/persistence-retention/</w:t>
      </w:r>
      <w:r>
        <w:rPr>
          <w:rStyle w:val="12"/>
        </w:rPr>
        <w:fldChar w:fldCharType="end"/>
      </w:r>
    </w:p>
    <w:p>
      <w:pPr>
        <w:spacing w:after="0" w:line="360" w:lineRule="auto"/>
        <w:ind w:left="0" w:hanging="720"/>
        <w:jc w:val="left"/>
      </w:pPr>
      <w:r>
        <w:t xml:space="preserve">Scientific Reports. (2025). Machine learning-based academic performance prediction with explainability for enhanced decision-making in educational institutions. </w:t>
      </w:r>
      <w:r>
        <w:fldChar w:fldCharType="begin"/>
      </w:r>
      <w:r>
        <w:instrText xml:space="preserve"> HYPERLINK "https://www.nature.com/articles/s41598-025-12353-4" </w:instrText>
      </w:r>
      <w:r>
        <w:fldChar w:fldCharType="separate"/>
      </w:r>
      <w:r>
        <w:rPr>
          <w:rStyle w:val="12"/>
        </w:rPr>
        <w:t>https://www.nature.com/articles/s41598-025-12353-4</w:t>
      </w:r>
      <w:r>
        <w:rPr>
          <w:rStyle w:val="12"/>
        </w:rPr>
        <w:fldChar w:fldCharType="end"/>
      </w:r>
    </w:p>
    <w:p>
      <w:pPr>
        <w:spacing w:after="0" w:line="360" w:lineRule="auto"/>
        <w:ind w:left="0" w:hanging="720"/>
        <w:jc w:val="left"/>
      </w:pPr>
      <w:r>
        <w:t xml:space="preserve">Scientific Reports. (2025). Artificial intelligence in student management systems to enhance academic performance monitoring and intervention. </w:t>
      </w:r>
      <w:r>
        <w:fldChar w:fldCharType="begin"/>
      </w:r>
      <w:r>
        <w:instrText xml:space="preserve"> HYPERLINK "https://www.nature.com/articles/s41598-025-19159-4" </w:instrText>
      </w:r>
      <w:r>
        <w:fldChar w:fldCharType="separate"/>
      </w:r>
      <w:r>
        <w:rPr>
          <w:rStyle w:val="12"/>
        </w:rPr>
        <w:t>https://www.nature.com/articles/s41598-025-19159-4</w:t>
      </w:r>
      <w:r>
        <w:rPr>
          <w:rStyle w:val="12"/>
        </w:rPr>
        <w:fldChar w:fldCharType="end"/>
      </w:r>
    </w:p>
    <w:p>
      <w:pPr>
        <w:spacing w:after="0" w:line="360" w:lineRule="auto"/>
        <w:ind w:left="0" w:hanging="720"/>
        <w:jc w:val="left"/>
      </w:pPr>
      <w:r>
        <w:t xml:space="preserve">The Daily Nation. (2024, May 17). University dropout risk looms large. Here's why. </w:t>
      </w:r>
      <w:r>
        <w:fldChar w:fldCharType="begin"/>
      </w:r>
      <w:r>
        <w:instrText xml:space="preserve"> HYPERLINK "https://nation.africa/kenya/news/education/budget-cuts-set-to-cripple-learning-in-four-varsities--4625512" </w:instrText>
      </w:r>
      <w:r>
        <w:fldChar w:fldCharType="separate"/>
      </w:r>
      <w:r>
        <w:rPr>
          <w:rStyle w:val="12"/>
        </w:rPr>
        <w:t>https://nation.africa/kenya/news/education/budget-cuts-set-to-cripple-learning-in-four-varsities--4625512</w:t>
      </w:r>
      <w:r>
        <w:rPr>
          <w:rStyle w:val="12"/>
        </w:rPr>
        <w:fldChar w:fldCharType="end"/>
      </w:r>
    </w:p>
    <w:p>
      <w:pPr>
        <w:spacing w:after="0" w:line="360" w:lineRule="auto"/>
        <w:ind w:left="0" w:hanging="720"/>
        <w:jc w:val="left"/>
      </w:pPr>
      <w:r>
        <w:t xml:space="preserve">The Daily Nation. (2025, September 13). How system has failed poor students seeking to join university. </w:t>
      </w:r>
      <w:r>
        <w:fldChar w:fldCharType="begin"/>
      </w:r>
      <w:r>
        <w:instrText xml:space="preserve"> HYPERLINK "https://nation.africa/kenya/news/education/how-system-has-failed-poor-students-seeking-to-join-university-5192066" </w:instrText>
      </w:r>
      <w:r>
        <w:fldChar w:fldCharType="separate"/>
      </w:r>
      <w:r>
        <w:rPr>
          <w:rStyle w:val="12"/>
        </w:rPr>
        <w:t>https://nation.africa/kenya/news/education/how-system-has-failed-poor-students-seeking-to-join-university-5192066</w:t>
      </w:r>
      <w:r>
        <w:rPr>
          <w:rStyle w:val="12"/>
        </w:rPr>
        <w:fldChar w:fldCharType="end"/>
      </w:r>
    </w:p>
    <w:p>
      <w:pPr>
        <w:spacing w:after="0" w:line="360" w:lineRule="auto"/>
        <w:ind w:left="0" w:hanging="720"/>
        <w:jc w:val="left"/>
      </w:pPr>
      <w:r>
        <w:t xml:space="preserve">Turkmenbayev, A., Abdykerimova, E., Nurgozhayev, S., Karabassova, G., &amp; Baigozhanova, D. (2025). The application of machine learning in predicting student performance in university engineering programs: A rapid review. </w:t>
      </w:r>
      <w:r>
        <w:rPr>
          <w:i/>
          <w:iCs/>
        </w:rPr>
        <w:t>Frontiers in Education, 10</w:t>
      </w:r>
      <w:r>
        <w:t xml:space="preserve">, 1562586. </w:t>
      </w:r>
      <w:r>
        <w:fldChar w:fldCharType="begin"/>
      </w:r>
      <w:r>
        <w:instrText xml:space="preserve"> HYPERLINK "https://www.frontiersin.org/journals/education/articles/10.3389/feduc.2025.1562586/full" </w:instrText>
      </w:r>
      <w:r>
        <w:fldChar w:fldCharType="separate"/>
      </w:r>
      <w:r>
        <w:rPr>
          <w:rStyle w:val="12"/>
        </w:rPr>
        <w:t>https://www.frontiersin.org/journals/education/articles/10.3389/feduc.2025.1562586/full</w:t>
      </w:r>
      <w:r>
        <w:rPr>
          <w:rStyle w:val="12"/>
        </w:rPr>
        <w:fldChar w:fldCharType="end"/>
      </w:r>
    </w:p>
    <w:p>
      <w:pPr>
        <w:spacing w:after="0" w:line="360" w:lineRule="auto"/>
        <w:ind w:left="0" w:hanging="720"/>
        <w:jc w:val="left"/>
      </w:pPr>
      <w:r>
        <w:t xml:space="preserve">Visualdo Institute. (2024, October 5). What are challenges facing colleges in Kenya. </w:t>
      </w:r>
      <w:r>
        <w:fldChar w:fldCharType="begin"/>
      </w:r>
      <w:r>
        <w:instrText xml:space="preserve"> HYPERLINK "https://visualdo.ac.ke/what-are-challenges-facing-colleges-in-kenya" </w:instrText>
      </w:r>
      <w:r>
        <w:fldChar w:fldCharType="separate"/>
      </w:r>
      <w:r>
        <w:rPr>
          <w:rStyle w:val="12"/>
        </w:rPr>
        <w:t>https://visualdo.ac.ke/what-are-challenges-facing-colleges-in-kenya</w:t>
      </w:r>
      <w:r>
        <w:rPr>
          <w:rStyle w:val="12"/>
        </w:rPr>
        <w:fldChar w:fldCharType="end"/>
      </w:r>
    </w:p>
    <w:sectPr>
      <w:footerReference r:id="rId3"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DEF75B"/>
    <w:multiLevelType w:val="singleLevel"/>
    <w:tmpl w:val="7FDEF75B"/>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2FFD800D"/>
    <w:rsid w:val="5FF7E42A"/>
    <w:rsid w:val="5FFF7D1C"/>
    <w:rsid w:val="BEDB9985"/>
    <w:rsid w:val="DEBB09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line="360" w:lineRule="auto"/>
      <w:jc w:val="center"/>
      <w:outlineLvl w:val="0"/>
    </w:pPr>
    <w:rPr>
      <w:rFonts w:ascii="Times New Roman" w:hAnsi="Times New Roman" w:eastAsia="Times New Roman" w:cs="Times New Roman"/>
      <w:b/>
      <w:bCs/>
      <w:caps/>
      <w:sz w:val="28"/>
      <w:szCs w:val="28"/>
    </w:rPr>
  </w:style>
  <w:style w:type="paragraph" w:styleId="3">
    <w:name w:val="heading 2"/>
    <w:next w:val="1"/>
    <w:qFormat/>
    <w:uiPriority w:val="0"/>
    <w:pPr>
      <w:spacing w:before="360" w:after="180" w:line="360" w:lineRule="auto"/>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240" w:after="120" w:line="360" w:lineRule="auto"/>
      <w:outlineLvl w:val="2"/>
    </w:pPr>
    <w:rPr>
      <w:rFonts w:ascii="Times New Roman" w:hAnsi="Times New Roman" w:eastAsia="Times New Roman" w:cs="Times New Roman"/>
      <w:b/>
      <w:bCs/>
      <w:i/>
      <w:iCs/>
      <w:sz w:val="24"/>
      <w:szCs w:val="24"/>
    </w:rPr>
  </w:style>
  <w:style w:type="paragraph" w:styleId="5">
    <w:name w:val="heading 4"/>
    <w:next w:val="1"/>
    <w:qFormat/>
    <w:uiPriority w:val="0"/>
    <w:pPr>
      <w:spacing w:before="0" w:after="0"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before="0" w:after="0"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before="0" w:after="0" w:line="360" w:lineRule="auto"/>
    </w:pPr>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before="0"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pPr>
      <w:spacing w:before="0" w:after="0" w:line="360" w:lineRule="auto"/>
    </w:pPr>
    <w:rPr>
      <w:rFonts w:ascii="Times New Roman" w:hAnsi="Times New Roman" w:eastAsia="Times New Roman" w:cs="Times New Roman"/>
      <w:sz w:val="56"/>
      <w:szCs w:val="56"/>
    </w:rPr>
  </w:style>
  <w:style w:type="paragraph" w:styleId="14">
    <w:name w:val="List Paragraph"/>
    <w:qFormat/>
    <w:uiPriority w:val="0"/>
    <w:pPr>
      <w:spacing w:before="0" w:after="0" w:line="360" w:lineRule="auto"/>
    </w:pPr>
    <w:rPr>
      <w:rFonts w:ascii="Times New Roman" w:hAnsi="Times New Roman" w:eastAsia="Times New Roman" w:cs="Times New Roman"/>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dieudonne</cp:lastModifiedBy>
  <dcterms:modified xsi:type="dcterms:W3CDTF">2026-02-07T23:46:37Z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