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center"/>
        <w:rPr>
          <w:rFonts w:hint="default" w:asciiTheme="majorAscii" w:hAnsiTheme="majorAscii"/>
          <w:sz w:val="24"/>
          <w:szCs w:val="24"/>
        </w:rPr>
      </w:pPr>
      <w:r>
        <w:rPr>
          <w:rStyle w:val="9"/>
          <w:rFonts w:hint="default" w:asciiTheme="majorAscii" w:hAnsiTheme="majorAscii"/>
          <w:b/>
          <w:bCs/>
          <w:sz w:val="24"/>
          <w:szCs w:val="24"/>
        </w:rPr>
        <w:t>RESEARCH TOPIC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  <w:lang w:val="en-US"/>
        </w:rPr>
      </w:pPr>
      <w:r>
        <w:rPr>
          <w:rStyle w:val="9"/>
          <w:rFonts w:hint="default" w:asciiTheme="majorAscii" w:hAnsiTheme="majorAscii"/>
          <w:b/>
          <w:bCs/>
          <w:sz w:val="24"/>
          <w:szCs w:val="24"/>
        </w:rPr>
        <w:t>Level 1:</w:t>
      </w:r>
      <w:r>
        <w:rPr>
          <w:rStyle w:val="9"/>
          <w:rFonts w:hint="default" w:asciiTheme="majorAscii" w:hAnsiTheme="majorAscii"/>
          <w:b/>
          <w:bCs/>
          <w:sz w:val="24"/>
          <w:szCs w:val="24"/>
          <w:lang w:val="en-US"/>
        </w:rPr>
        <w:t xml:space="preserve"> My area of Interest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Style w:val="9"/>
          <w:rFonts w:hint="default" w:asciiTheme="majorAscii" w:hAnsiTheme="majorAscii"/>
          <w:sz w:val="24"/>
          <w:szCs w:val="24"/>
        </w:rPr>
        <w:t>Technology &amp; Data Analytics in Higher Education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Style w:val="6"/>
          <w:rFonts w:hint="default" w:asciiTheme="majorAscii" w:hAnsiTheme="majorAscii"/>
          <w:sz w:val="24"/>
          <w:szCs w:val="24"/>
        </w:rPr>
        <w:t>The application of artificial intelligence and machine learning techniques to improve student success outcomes and institutional decision-making in universities.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 xml:space="preserve">Level 2: </w:t>
      </w:r>
      <w:r>
        <w:rPr>
          <w:rFonts w:hint="default" w:asciiTheme="majorAscii" w:hAnsiTheme="majorAscii"/>
          <w:sz w:val="24"/>
          <w:szCs w:val="24"/>
        </w:rPr>
        <w:t xml:space="preserve">Narrowed </w:t>
      </w:r>
      <w:r>
        <w:rPr>
          <w:rFonts w:hint="default" w:asciiTheme="majorAscii" w:hAnsiTheme="majorAscii"/>
          <w:sz w:val="24"/>
          <w:szCs w:val="24"/>
          <w:lang w:val="en-US"/>
        </w:rPr>
        <w:t>Focus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Style w:val="9"/>
          <w:rFonts w:hint="default" w:asciiTheme="majorAscii" w:hAnsiTheme="majorAscii"/>
          <w:sz w:val="24"/>
          <w:szCs w:val="24"/>
        </w:rPr>
        <w:t xml:space="preserve">Predictive Analytics for Student Retention </w:t>
      </w:r>
      <w:bookmarkStart w:id="0" w:name="_GoBack"/>
      <w:bookmarkEnd w:id="0"/>
      <w:r>
        <w:rPr>
          <w:rStyle w:val="9"/>
          <w:rFonts w:hint="default" w:asciiTheme="majorAscii" w:hAnsiTheme="majorAscii"/>
          <w:sz w:val="24"/>
          <w:szCs w:val="24"/>
        </w:rPr>
        <w:t>and Academic Success</w:t>
      </w:r>
    </w:p>
    <w:p>
      <w:pPr>
        <w:pStyle w:val="8"/>
        <w:keepNext w:val="0"/>
        <w:keepLines w:val="0"/>
        <w:widowControl/>
        <w:suppressLineNumbers w:val="0"/>
        <w:rPr>
          <w:rStyle w:val="6"/>
          <w:rFonts w:hint="default" w:asciiTheme="majorAscii" w:hAnsiTheme="majorAscii"/>
          <w:sz w:val="24"/>
          <w:szCs w:val="24"/>
        </w:rPr>
      </w:pPr>
      <w:r>
        <w:rPr>
          <w:rStyle w:val="6"/>
          <w:rFonts w:hint="default" w:asciiTheme="majorAscii" w:hAnsiTheme="majorAscii"/>
          <w:sz w:val="24"/>
          <w:szCs w:val="24"/>
        </w:rPr>
        <w:t>Using data-driven approaches to identify at-risk students and enable early intervention strategies in university settings.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ajorAscii" w:hAnsiTheme="majorAscii"/>
          <w:b/>
          <w:bCs/>
          <w:color w:val="FF0000"/>
          <w:sz w:val="24"/>
          <w:szCs w:val="24"/>
          <w:highlight w:val="none"/>
        </w:rPr>
      </w:pPr>
      <w:r>
        <w:rPr>
          <w:rStyle w:val="6"/>
          <w:rFonts w:hint="default" w:asciiTheme="majorAscii" w:hAnsiTheme="majorAscii"/>
          <w:sz w:val="24"/>
          <w:szCs w:val="24"/>
          <w:lang w:val="en-US"/>
        </w:rPr>
        <w:t xml:space="preserve">TOPIC: </w:t>
      </w:r>
      <w:r>
        <w:rPr>
          <w:rFonts w:hint="default" w:eastAsia="SimSun" w:cs="SimSun" w:asciiTheme="majorAscii" w:hAnsiTheme="majorAscii"/>
          <w:b/>
          <w:bCs/>
          <w:color w:val="FF0000"/>
          <w:kern w:val="0"/>
          <w:sz w:val="24"/>
          <w:szCs w:val="24"/>
          <w:highlight w:val="none"/>
          <w:lang w:val="en-US" w:eastAsia="zh-CN" w:bidi="ar"/>
        </w:rPr>
        <w:t>ML-Based Early Warning System for At-Risk Student Identification and Intervention</w:t>
      </w:r>
    </w:p>
    <w:p>
      <w:pPr>
        <w:rPr>
          <w:rFonts w:hint="default" w:asciiTheme="majorAscii" w:hAnsiTheme="majorAscii"/>
          <w:b/>
          <w:bCs/>
          <w:sz w:val="24"/>
          <w:szCs w:val="24"/>
        </w:rPr>
      </w:pPr>
    </w:p>
    <w:p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Potential collection of literature</w:t>
      </w:r>
    </w:p>
    <w:p>
      <w:pPr>
        <w:numPr>
          <w:numId w:val="0"/>
        </w:numPr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Ajuwon, O. A., Animashaun, E. S., &amp; Chiekezie, N. R. (2024). </w:t>
      </w:r>
      <w:r>
        <w:rPr>
          <w:rStyle w:val="9"/>
          <w:rFonts w:hint="default" w:asciiTheme="majorAscii" w:hAnsiTheme="majorAscii"/>
          <w:sz w:val="24"/>
          <w:szCs w:val="24"/>
        </w:rPr>
        <w:t>Crisis intervention, mediation, counseling, and mentoring in schools: Building resilient educational communities</w:t>
      </w:r>
      <w:r>
        <w:rPr>
          <w:rFonts w:hint="default" w:asciiTheme="majorAscii" w:hAnsiTheme="majorAscii"/>
          <w:sz w:val="24"/>
          <w:szCs w:val="24"/>
        </w:rPr>
        <w:t xml:space="preserve">. </w:t>
      </w:r>
      <w:r>
        <w:rPr>
          <w:rStyle w:val="6"/>
          <w:rFonts w:hint="default" w:asciiTheme="majorAscii" w:hAnsiTheme="majorAscii"/>
          <w:sz w:val="24"/>
          <w:szCs w:val="24"/>
        </w:rPr>
        <w:t>International Journal of Applied Research in Social Sciences, 6</w:t>
      </w:r>
      <w:r>
        <w:rPr>
          <w:rFonts w:hint="default" w:asciiTheme="majorAscii" w:hAnsiTheme="majorAscii"/>
          <w:sz w:val="24"/>
          <w:szCs w:val="24"/>
        </w:rPr>
        <w:t xml:space="preserve">(8), 1593–1611. </w:t>
      </w:r>
      <w:r>
        <w:rPr>
          <w:rFonts w:hint="default" w:asciiTheme="majorAscii" w:hAnsiTheme="majorAscii"/>
          <w:sz w:val="24"/>
          <w:szCs w:val="24"/>
        </w:rPr>
        <w:fldChar w:fldCharType="begin"/>
      </w:r>
      <w:r>
        <w:rPr>
          <w:rFonts w:hint="default" w:asciiTheme="majorAscii" w:hAnsiTheme="majorAscii"/>
          <w:sz w:val="24"/>
          <w:szCs w:val="24"/>
        </w:rPr>
        <w:instrText xml:space="preserve"> HYPERLINK "https://doi.org/10.51594/ijarss.v6i8.1372" </w:instrText>
      </w:r>
      <w:r>
        <w:rPr>
          <w:rFonts w:hint="default" w:asciiTheme="majorAscii" w:hAnsiTheme="majorAscii"/>
          <w:sz w:val="24"/>
          <w:szCs w:val="24"/>
        </w:rPr>
        <w:fldChar w:fldCharType="separate"/>
      </w:r>
      <w:r>
        <w:rPr>
          <w:rStyle w:val="7"/>
          <w:rFonts w:hint="default" w:asciiTheme="majorAscii" w:hAnsiTheme="majorAscii"/>
          <w:sz w:val="24"/>
          <w:szCs w:val="24"/>
        </w:rPr>
        <w:t>https://doi.org/10.51594/ijarss.v6i8.1372</w:t>
      </w:r>
      <w:r>
        <w:rPr>
          <w:rFonts w:hint="default" w:asciiTheme="majorAscii" w:hAnsiTheme="majorAscii"/>
          <w:sz w:val="24"/>
          <w:szCs w:val="24"/>
        </w:rPr>
        <w:fldChar w:fldCharType="end"/>
      </w:r>
    </w:p>
    <w:p>
      <w:pPr>
        <w:pStyle w:val="8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Theme="majorAscii" w:hAnsiTheme="majorAscii"/>
          <w:sz w:val="24"/>
          <w:szCs w:val="24"/>
        </w:rPr>
      </w:pP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Duan, X., Wang, C., &amp; Rouamba, G. (2025). </w:t>
      </w:r>
      <w:r>
        <w:rPr>
          <w:rStyle w:val="9"/>
          <w:rFonts w:hint="default" w:asciiTheme="majorAscii" w:hAnsiTheme="majorAscii"/>
          <w:sz w:val="24"/>
          <w:szCs w:val="24"/>
        </w:rPr>
        <w:t>Designing a learning analytics dashboard to provide students with actionable feedback and evaluating its impacts</w:t>
      </w:r>
      <w:r>
        <w:rPr>
          <w:rFonts w:hint="default" w:asciiTheme="majorAscii" w:hAnsiTheme="majorAscii"/>
          <w:sz w:val="24"/>
          <w:szCs w:val="24"/>
        </w:rPr>
        <w:t xml:space="preserve">. </w:t>
      </w:r>
      <w:r>
        <w:rPr>
          <w:rStyle w:val="6"/>
          <w:rFonts w:hint="default" w:asciiTheme="majorAscii" w:hAnsiTheme="majorAscii"/>
          <w:sz w:val="24"/>
          <w:szCs w:val="24"/>
        </w:rPr>
        <w:t>East African Journal of Education Studies, 8</w:t>
      </w:r>
      <w:r>
        <w:rPr>
          <w:rFonts w:hint="default" w:asciiTheme="majorAscii" w:hAnsiTheme="majorAscii"/>
          <w:sz w:val="24"/>
          <w:szCs w:val="24"/>
        </w:rPr>
        <w:t xml:space="preserve">(2). </w:t>
      </w:r>
      <w:r>
        <w:rPr>
          <w:rFonts w:hint="default" w:asciiTheme="majorAscii" w:hAnsiTheme="majorAscii"/>
          <w:sz w:val="24"/>
          <w:szCs w:val="24"/>
        </w:rPr>
        <w:fldChar w:fldCharType="begin"/>
      </w:r>
      <w:r>
        <w:rPr>
          <w:rFonts w:hint="default" w:asciiTheme="majorAscii" w:hAnsiTheme="majorAscii"/>
          <w:sz w:val="24"/>
          <w:szCs w:val="24"/>
        </w:rPr>
        <w:instrText xml:space="preserve"> HYPERLINK "https://doi.org/10.37284/eajes.8.2.3048" </w:instrText>
      </w:r>
      <w:r>
        <w:rPr>
          <w:rFonts w:hint="default" w:asciiTheme="majorAscii" w:hAnsiTheme="majorAscii"/>
          <w:sz w:val="24"/>
          <w:szCs w:val="24"/>
        </w:rPr>
        <w:fldChar w:fldCharType="separate"/>
      </w:r>
      <w:r>
        <w:rPr>
          <w:rStyle w:val="7"/>
          <w:rFonts w:hint="default" w:asciiTheme="majorAscii" w:hAnsiTheme="majorAscii"/>
          <w:sz w:val="24"/>
          <w:szCs w:val="24"/>
        </w:rPr>
        <w:t>https://doi.org/10.37284/eajes.8.2.3048</w:t>
      </w:r>
      <w:r>
        <w:rPr>
          <w:rFonts w:hint="default" w:asciiTheme="majorAscii" w:hAnsiTheme="majorAscii"/>
          <w:sz w:val="24"/>
          <w:szCs w:val="24"/>
        </w:rPr>
        <w:fldChar w:fldCharType="end"/>
      </w:r>
    </w:p>
    <w:p>
      <w:pPr>
        <w:pStyle w:val="8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Theme="majorAscii" w:hAnsiTheme="majorAscii"/>
          <w:sz w:val="24"/>
          <w:szCs w:val="24"/>
        </w:rPr>
      </w:pP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Eryenyu, C., Owomugisha, G., Biira, S., &amp; Waako, P. (2024). </w:t>
      </w:r>
      <w:r>
        <w:rPr>
          <w:rStyle w:val="9"/>
          <w:rFonts w:hint="default" w:asciiTheme="majorAscii" w:hAnsiTheme="majorAscii"/>
          <w:sz w:val="24"/>
          <w:szCs w:val="24"/>
        </w:rPr>
        <w:t>The challenges and opportunities of artificial intelligence (AI) use in higher education: The case of Busitema University</w:t>
      </w:r>
      <w:r>
        <w:rPr>
          <w:rFonts w:hint="default" w:asciiTheme="majorAscii" w:hAnsiTheme="majorAscii"/>
          <w:sz w:val="24"/>
          <w:szCs w:val="24"/>
        </w:rPr>
        <w:t xml:space="preserve">. </w:t>
      </w:r>
      <w:r>
        <w:rPr>
          <w:rStyle w:val="6"/>
          <w:rFonts w:hint="default" w:asciiTheme="majorAscii" w:hAnsiTheme="majorAscii"/>
          <w:sz w:val="24"/>
          <w:szCs w:val="24"/>
        </w:rPr>
        <w:t>Journal of Research in Innovative and Emerging Issues in Education, 8</w:t>
      </w:r>
      <w:r>
        <w:rPr>
          <w:rFonts w:hint="default" w:asciiTheme="majorAscii" w:hAnsiTheme="majorAscii"/>
          <w:sz w:val="24"/>
          <w:szCs w:val="24"/>
        </w:rPr>
        <w:t>(4), 598–610.</w:t>
      </w:r>
    </w:p>
    <w:p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ajorAscii" w:hAnsiTheme="majorAscii"/>
          <w:sz w:val="24"/>
          <w:szCs w:val="24"/>
        </w:rPr>
      </w:pP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Esbenshade, L., Baker, R. S., &amp; Vitale, J. (n.d.). </w:t>
      </w:r>
      <w:r>
        <w:rPr>
          <w:rStyle w:val="9"/>
          <w:rFonts w:hint="default" w:asciiTheme="majorAscii" w:hAnsiTheme="majorAscii"/>
          <w:sz w:val="24"/>
          <w:szCs w:val="24"/>
        </w:rPr>
        <w:t>From a prediction model to meaningful reports in school</w:t>
      </w:r>
      <w:r>
        <w:rPr>
          <w:rFonts w:hint="default" w:asciiTheme="majorAscii" w:hAnsiTheme="majorAscii"/>
          <w:sz w:val="24"/>
          <w:szCs w:val="24"/>
        </w:rPr>
        <w:t>. Google &amp; University of Pennsylvania.</w:t>
      </w:r>
    </w:p>
    <w:p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ajorAscii" w:hAnsiTheme="majorAscii"/>
          <w:sz w:val="24"/>
          <w:szCs w:val="24"/>
        </w:rPr>
      </w:pP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Guadu, A., Dibekulu, D., &amp; Menberu, A. W. (2025). </w:t>
      </w:r>
      <w:r>
        <w:rPr>
          <w:rStyle w:val="9"/>
          <w:rFonts w:hint="default" w:asciiTheme="majorAscii" w:hAnsiTheme="majorAscii"/>
          <w:sz w:val="24"/>
          <w:szCs w:val="24"/>
        </w:rPr>
        <w:t>Artificial intelligence in African higher education: Uses, misuses, and ethical dilemmas</w:t>
      </w:r>
      <w:r>
        <w:rPr>
          <w:rFonts w:hint="default" w:asciiTheme="majorAscii" w:hAnsiTheme="majorAscii"/>
          <w:sz w:val="24"/>
          <w:szCs w:val="24"/>
        </w:rPr>
        <w:t xml:space="preserve">. </w:t>
      </w:r>
      <w:r>
        <w:rPr>
          <w:rStyle w:val="6"/>
          <w:rFonts w:hint="default" w:asciiTheme="majorAscii" w:hAnsiTheme="majorAscii"/>
          <w:sz w:val="24"/>
          <w:szCs w:val="24"/>
        </w:rPr>
        <w:t>Advances in Artificial Intelligence and Machine Learning, 5</w:t>
      </w:r>
      <w:r>
        <w:rPr>
          <w:rFonts w:hint="default" w:asciiTheme="majorAscii" w:hAnsiTheme="majorAscii"/>
          <w:sz w:val="24"/>
          <w:szCs w:val="24"/>
        </w:rPr>
        <w:t>(3), 4196–4220.</w:t>
      </w:r>
    </w:p>
    <w:p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ajorAscii" w:hAnsiTheme="majorAscii"/>
          <w:sz w:val="24"/>
          <w:szCs w:val="24"/>
        </w:rPr>
      </w:pP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Hoffman, D. L. (2020). </w:t>
      </w:r>
      <w:r>
        <w:rPr>
          <w:rStyle w:val="9"/>
          <w:rFonts w:hint="default" w:asciiTheme="majorAscii" w:hAnsiTheme="majorAscii"/>
          <w:sz w:val="24"/>
          <w:szCs w:val="24"/>
        </w:rPr>
        <w:t>Designing and evaluating data dashboards for educators</w:t>
      </w:r>
      <w:r>
        <w:rPr>
          <w:rFonts w:hint="default" w:asciiTheme="majorAscii" w:hAnsiTheme="majorAscii"/>
          <w:sz w:val="24"/>
          <w:szCs w:val="24"/>
        </w:rPr>
        <w:t xml:space="preserve">. </w:t>
      </w:r>
      <w:r>
        <w:rPr>
          <w:rStyle w:val="6"/>
          <w:rFonts w:hint="default" w:asciiTheme="majorAscii" w:hAnsiTheme="majorAscii"/>
          <w:sz w:val="24"/>
          <w:szCs w:val="24"/>
        </w:rPr>
        <w:t>International Journal for Educational Media and Technology, 14</w:t>
      </w:r>
      <w:r>
        <w:rPr>
          <w:rFonts w:hint="default" w:asciiTheme="majorAscii" w:hAnsiTheme="majorAscii"/>
          <w:sz w:val="24"/>
          <w:szCs w:val="24"/>
        </w:rPr>
        <w:t>(2), 6–15.</w:t>
      </w: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Mhlanga, D. (2023). </w:t>
      </w:r>
      <w:r>
        <w:rPr>
          <w:rStyle w:val="9"/>
          <w:rFonts w:hint="default" w:asciiTheme="majorAscii" w:hAnsiTheme="majorAscii"/>
          <w:sz w:val="24"/>
          <w:szCs w:val="24"/>
        </w:rPr>
        <w:t>The fundamental strategies that will drive the higher education sector towards digital transformation in Industry 4.0</w:t>
      </w:r>
      <w:r>
        <w:rPr>
          <w:rFonts w:hint="default" w:asciiTheme="majorAscii" w:hAnsiTheme="majorAscii"/>
          <w:sz w:val="24"/>
          <w:szCs w:val="24"/>
        </w:rPr>
        <w:t xml:space="preserve">. </w:t>
      </w:r>
      <w:r>
        <w:rPr>
          <w:rStyle w:val="6"/>
          <w:rFonts w:hint="default" w:asciiTheme="majorAscii" w:hAnsiTheme="majorAscii"/>
          <w:sz w:val="24"/>
          <w:szCs w:val="24"/>
        </w:rPr>
        <w:t>Emerging Science Journal, 7</w:t>
      </w:r>
      <w:r>
        <w:rPr>
          <w:rFonts w:hint="default" w:asciiTheme="majorAscii" w:hAnsiTheme="majorAscii"/>
          <w:sz w:val="24"/>
          <w:szCs w:val="24"/>
        </w:rPr>
        <w:t>(Special Issue).</w:t>
      </w:r>
    </w:p>
    <w:p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ajorAscii" w:hAnsiTheme="majorAscii"/>
          <w:sz w:val="24"/>
          <w:szCs w:val="24"/>
        </w:rPr>
      </w:pP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Ngulube, P., &amp; Ncube, M. M. (2025). </w:t>
      </w:r>
      <w:r>
        <w:rPr>
          <w:rStyle w:val="9"/>
          <w:rFonts w:hint="default" w:asciiTheme="majorAscii" w:hAnsiTheme="majorAscii"/>
          <w:sz w:val="24"/>
          <w:szCs w:val="24"/>
        </w:rPr>
        <w:t>Identifying at-risk students with data analytics and machine learning: Insights from a systematic review</w:t>
      </w:r>
      <w:r>
        <w:rPr>
          <w:rFonts w:hint="default" w:asciiTheme="majorAscii" w:hAnsiTheme="majorAscii"/>
          <w:sz w:val="24"/>
          <w:szCs w:val="24"/>
        </w:rPr>
        <w:t xml:space="preserve">. </w:t>
      </w:r>
      <w:r>
        <w:rPr>
          <w:rStyle w:val="6"/>
          <w:rFonts w:hint="default" w:asciiTheme="majorAscii" w:hAnsiTheme="majorAscii"/>
          <w:sz w:val="24"/>
          <w:szCs w:val="24"/>
        </w:rPr>
        <w:t>Journal of Information Systems Engineering and Management, 10</w:t>
      </w:r>
      <w:r>
        <w:rPr>
          <w:rFonts w:hint="default" w:asciiTheme="majorAscii" w:hAnsiTheme="majorAscii"/>
          <w:sz w:val="24"/>
          <w:szCs w:val="24"/>
        </w:rPr>
        <w:t>(43s).</w:t>
      </w:r>
    </w:p>
    <w:p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ajorAscii" w:hAnsiTheme="majorAscii"/>
          <w:sz w:val="24"/>
          <w:szCs w:val="24"/>
        </w:rPr>
      </w:pP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Omariba, A. (2025). </w:t>
      </w:r>
      <w:r>
        <w:rPr>
          <w:rStyle w:val="9"/>
          <w:rFonts w:hint="default" w:asciiTheme="majorAscii" w:hAnsiTheme="majorAscii"/>
          <w:sz w:val="24"/>
          <w:szCs w:val="24"/>
        </w:rPr>
        <w:t>Enhancing student outcomes through AI-driven personalized learning: Implementation and effectiveness at universities in Kenya</w:t>
      </w:r>
      <w:r>
        <w:rPr>
          <w:rFonts w:hint="default" w:asciiTheme="majorAscii" w:hAnsiTheme="majorAscii"/>
          <w:sz w:val="24"/>
          <w:szCs w:val="24"/>
        </w:rPr>
        <w:t xml:space="preserve">. </w:t>
      </w:r>
      <w:r>
        <w:rPr>
          <w:rStyle w:val="6"/>
          <w:rFonts w:hint="default" w:asciiTheme="majorAscii" w:hAnsiTheme="majorAscii"/>
          <w:sz w:val="24"/>
          <w:szCs w:val="24"/>
        </w:rPr>
        <w:t>East African Journal of Education Studies, 8</w:t>
      </w:r>
      <w:r>
        <w:rPr>
          <w:rFonts w:hint="default" w:asciiTheme="majorAscii" w:hAnsiTheme="majorAscii"/>
          <w:sz w:val="24"/>
          <w:szCs w:val="24"/>
        </w:rPr>
        <w:t>(2).</w:t>
      </w:r>
    </w:p>
    <w:p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ajorAscii" w:hAnsiTheme="majorAscii"/>
          <w:sz w:val="24"/>
          <w:szCs w:val="24"/>
        </w:rPr>
      </w:pP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Osborne, J. B., &amp; Lang, A. S. I. D. (n.d.). </w:t>
      </w:r>
      <w:r>
        <w:rPr>
          <w:rStyle w:val="9"/>
          <w:rFonts w:hint="default" w:asciiTheme="majorAscii" w:hAnsiTheme="majorAscii"/>
          <w:sz w:val="24"/>
          <w:szCs w:val="24"/>
        </w:rPr>
        <w:t>Predictive identification of at-risk students: Using learning management system data</w:t>
      </w:r>
      <w:r>
        <w:rPr>
          <w:rFonts w:hint="default" w:asciiTheme="majorAscii" w:hAnsiTheme="majorAscii"/>
          <w:sz w:val="24"/>
          <w:szCs w:val="24"/>
        </w:rPr>
        <w:t xml:space="preserve">. </w:t>
      </w:r>
      <w:r>
        <w:rPr>
          <w:rStyle w:val="6"/>
          <w:rFonts w:hint="default" w:asciiTheme="majorAscii" w:hAnsiTheme="majorAscii"/>
          <w:sz w:val="24"/>
          <w:szCs w:val="24"/>
        </w:rPr>
        <w:t>Journal of Postsecondary Student Success, 2</w:t>
      </w:r>
      <w:r>
        <w:rPr>
          <w:rFonts w:hint="default" w:asciiTheme="majorAscii" w:hAnsiTheme="majorAscii"/>
          <w:sz w:val="24"/>
          <w:szCs w:val="24"/>
        </w:rPr>
        <w:t xml:space="preserve">(4). </w:t>
      </w:r>
      <w:r>
        <w:rPr>
          <w:rFonts w:hint="default" w:asciiTheme="majorAscii" w:hAnsiTheme="majorAscii"/>
          <w:sz w:val="24"/>
          <w:szCs w:val="24"/>
        </w:rPr>
        <w:fldChar w:fldCharType="begin"/>
      </w:r>
      <w:r>
        <w:rPr>
          <w:rFonts w:hint="default" w:asciiTheme="majorAscii" w:hAnsiTheme="majorAscii"/>
          <w:sz w:val="24"/>
          <w:szCs w:val="24"/>
        </w:rPr>
        <w:instrText xml:space="preserve"> HYPERLINK "https://doi.org/10.33009/fsop_jpss132082" </w:instrText>
      </w:r>
      <w:r>
        <w:rPr>
          <w:rFonts w:hint="default" w:asciiTheme="majorAscii" w:hAnsiTheme="majorAscii"/>
          <w:sz w:val="24"/>
          <w:szCs w:val="24"/>
        </w:rPr>
        <w:fldChar w:fldCharType="separate"/>
      </w:r>
      <w:r>
        <w:rPr>
          <w:rStyle w:val="7"/>
          <w:rFonts w:hint="default" w:asciiTheme="majorAscii" w:hAnsiTheme="majorAscii"/>
          <w:sz w:val="24"/>
          <w:szCs w:val="24"/>
        </w:rPr>
        <w:t>https://doi.org/10.33009/fsop_jpss132082</w:t>
      </w:r>
      <w:r>
        <w:rPr>
          <w:rFonts w:hint="default" w:asciiTheme="majorAscii" w:hAnsiTheme="majorAscii"/>
          <w:sz w:val="24"/>
          <w:szCs w:val="24"/>
        </w:rPr>
        <w:fldChar w:fldCharType="end"/>
      </w:r>
    </w:p>
    <w:p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ajorAscii" w:hAnsiTheme="majorAscii"/>
          <w:sz w:val="24"/>
          <w:szCs w:val="24"/>
        </w:rPr>
      </w:pP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Ramaswami, G., Susnjak, T., Mathrani, A., &amp; Umer, R. (2023). </w:t>
      </w:r>
      <w:r>
        <w:rPr>
          <w:rStyle w:val="9"/>
          <w:rFonts w:hint="default" w:asciiTheme="majorAscii" w:hAnsiTheme="majorAscii"/>
          <w:sz w:val="24"/>
          <w:szCs w:val="24"/>
        </w:rPr>
        <w:t>Use of predictive analytics within learning analytics dashboards: A review of case studies</w:t>
      </w:r>
      <w:r>
        <w:rPr>
          <w:rFonts w:hint="default" w:asciiTheme="majorAscii" w:hAnsiTheme="majorAscii"/>
          <w:sz w:val="24"/>
          <w:szCs w:val="24"/>
        </w:rPr>
        <w:t xml:space="preserve">. </w:t>
      </w:r>
      <w:r>
        <w:rPr>
          <w:rStyle w:val="6"/>
          <w:rFonts w:hint="default" w:asciiTheme="majorAscii" w:hAnsiTheme="majorAscii"/>
          <w:sz w:val="24"/>
          <w:szCs w:val="24"/>
        </w:rPr>
        <w:t>Technology, Knowledge and Learning, 28</w:t>
      </w:r>
      <w:r>
        <w:rPr>
          <w:rFonts w:hint="default" w:asciiTheme="majorAscii" w:hAnsiTheme="majorAscii"/>
          <w:sz w:val="24"/>
          <w:szCs w:val="24"/>
        </w:rPr>
        <w:t xml:space="preserve">, 959–980. </w:t>
      </w:r>
      <w:r>
        <w:rPr>
          <w:rFonts w:hint="default" w:asciiTheme="majorAscii" w:hAnsiTheme="majorAscii"/>
          <w:sz w:val="24"/>
          <w:szCs w:val="24"/>
        </w:rPr>
        <w:fldChar w:fldCharType="begin"/>
      </w:r>
      <w:r>
        <w:rPr>
          <w:rFonts w:hint="default" w:asciiTheme="majorAscii" w:hAnsiTheme="majorAscii"/>
          <w:sz w:val="24"/>
          <w:szCs w:val="24"/>
        </w:rPr>
        <w:instrText xml:space="preserve"> HYPERLINK "https://doi.org/10.1007/s10758-022-09613-x" </w:instrText>
      </w:r>
      <w:r>
        <w:rPr>
          <w:rFonts w:hint="default" w:asciiTheme="majorAscii" w:hAnsiTheme="majorAscii"/>
          <w:sz w:val="24"/>
          <w:szCs w:val="24"/>
        </w:rPr>
        <w:fldChar w:fldCharType="separate"/>
      </w:r>
      <w:r>
        <w:rPr>
          <w:rStyle w:val="7"/>
          <w:rFonts w:hint="default" w:asciiTheme="majorAscii" w:hAnsiTheme="majorAscii"/>
          <w:sz w:val="24"/>
          <w:szCs w:val="24"/>
        </w:rPr>
        <w:t>https://doi.org/10.1007/s10758-022-09613-x</w:t>
      </w:r>
      <w:r>
        <w:rPr>
          <w:rFonts w:hint="default" w:asciiTheme="majorAscii" w:hAnsiTheme="majorAscii"/>
          <w:sz w:val="24"/>
          <w:szCs w:val="24"/>
        </w:rPr>
        <w:fldChar w:fldCharType="end"/>
      </w: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Susnjak, T., Ramaswami, G. S., &amp; Mathrani, A. (2022). </w:t>
      </w:r>
      <w:r>
        <w:rPr>
          <w:rStyle w:val="9"/>
          <w:rFonts w:hint="default" w:asciiTheme="majorAscii" w:hAnsiTheme="majorAscii"/>
          <w:sz w:val="24"/>
          <w:szCs w:val="24"/>
        </w:rPr>
        <w:t>Learning analytics dashboard: A tool for providing actionable insights to learners</w:t>
      </w:r>
      <w:r>
        <w:rPr>
          <w:rFonts w:hint="default" w:asciiTheme="majorAscii" w:hAnsiTheme="majorAscii"/>
          <w:sz w:val="24"/>
          <w:szCs w:val="24"/>
        </w:rPr>
        <w:t xml:space="preserve">. </w:t>
      </w:r>
      <w:r>
        <w:rPr>
          <w:rStyle w:val="6"/>
          <w:rFonts w:hint="default" w:asciiTheme="majorAscii" w:hAnsiTheme="majorAscii"/>
          <w:sz w:val="24"/>
          <w:szCs w:val="24"/>
        </w:rPr>
        <w:t>International Journal of Educational Technology in Higher Education, 19</w:t>
      </w:r>
      <w:r>
        <w:rPr>
          <w:rFonts w:hint="default" w:asciiTheme="majorAscii" w:hAnsiTheme="majorAscii"/>
          <w:sz w:val="24"/>
          <w:szCs w:val="24"/>
        </w:rPr>
        <w:t xml:space="preserve">(12). </w:t>
      </w:r>
      <w:r>
        <w:rPr>
          <w:rFonts w:hint="default" w:asciiTheme="majorAscii" w:hAnsiTheme="majorAscii"/>
          <w:sz w:val="24"/>
          <w:szCs w:val="24"/>
        </w:rPr>
        <w:fldChar w:fldCharType="begin"/>
      </w:r>
      <w:r>
        <w:rPr>
          <w:rFonts w:hint="default" w:asciiTheme="majorAscii" w:hAnsiTheme="majorAscii"/>
          <w:sz w:val="24"/>
          <w:szCs w:val="24"/>
        </w:rPr>
        <w:instrText xml:space="preserve"> HYPERLINK "https://doi.org/10.1186/s41239-021-00313-7" </w:instrText>
      </w:r>
      <w:r>
        <w:rPr>
          <w:rFonts w:hint="default" w:asciiTheme="majorAscii" w:hAnsiTheme="majorAscii"/>
          <w:sz w:val="24"/>
          <w:szCs w:val="24"/>
        </w:rPr>
        <w:fldChar w:fldCharType="separate"/>
      </w:r>
      <w:r>
        <w:rPr>
          <w:rStyle w:val="7"/>
          <w:rFonts w:hint="default" w:asciiTheme="majorAscii" w:hAnsiTheme="majorAscii"/>
          <w:sz w:val="24"/>
          <w:szCs w:val="24"/>
        </w:rPr>
        <w:t>https://doi.org/10.1186/s41239-021-00313-7</w:t>
      </w:r>
      <w:r>
        <w:rPr>
          <w:rFonts w:hint="default" w:asciiTheme="majorAscii" w:hAnsiTheme="majorAscii"/>
          <w:sz w:val="24"/>
          <w:szCs w:val="24"/>
        </w:rPr>
        <w:fldChar w:fldCharType="end"/>
      </w:r>
    </w:p>
    <w:p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ajorAscii" w:hAnsiTheme="majorAscii"/>
          <w:sz w:val="24"/>
          <w:szCs w:val="24"/>
        </w:rPr>
      </w:pP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</w:rPr>
        <w:t xml:space="preserve">Trivedi, S. (2022). </w:t>
      </w:r>
      <w:r>
        <w:rPr>
          <w:rStyle w:val="9"/>
          <w:rFonts w:hint="default" w:asciiTheme="majorAscii" w:hAnsiTheme="majorAscii"/>
          <w:sz w:val="24"/>
          <w:szCs w:val="24"/>
        </w:rPr>
        <w:t>Improving students’ retention using machine learning: Impacts and implications</w:t>
      </w:r>
      <w:r>
        <w:rPr>
          <w:rFonts w:hint="default" w:asciiTheme="majorAscii" w:hAnsiTheme="majorAscii"/>
          <w:sz w:val="24"/>
          <w:szCs w:val="24"/>
        </w:rPr>
        <w:t xml:space="preserve">. </w:t>
      </w:r>
      <w:r>
        <w:rPr>
          <w:rStyle w:val="6"/>
          <w:rFonts w:hint="default" w:asciiTheme="majorAscii" w:hAnsiTheme="majorAscii"/>
          <w:sz w:val="24"/>
          <w:szCs w:val="24"/>
        </w:rPr>
        <w:t>ScienceOpen Preprints</w:t>
      </w:r>
      <w:r>
        <w:rPr>
          <w:rFonts w:hint="default" w:asciiTheme="majorAscii" w:hAnsiTheme="majorAscii"/>
          <w:sz w:val="24"/>
          <w:szCs w:val="24"/>
        </w:rPr>
        <w:t xml:space="preserve">. </w:t>
      </w:r>
      <w:r>
        <w:rPr>
          <w:rFonts w:hint="default" w:asciiTheme="majorAscii" w:hAnsiTheme="majorAscii"/>
          <w:sz w:val="24"/>
          <w:szCs w:val="24"/>
        </w:rPr>
        <w:fldChar w:fldCharType="begin"/>
      </w:r>
      <w:r>
        <w:rPr>
          <w:rFonts w:hint="default" w:asciiTheme="majorAscii" w:hAnsiTheme="majorAscii"/>
          <w:sz w:val="24"/>
          <w:szCs w:val="24"/>
        </w:rPr>
        <w:instrText xml:space="preserve"> HYPERLINK "https://doi.org/10.14293/S2199-1006.1.SOR-.PPZMB0B.v1" </w:instrText>
      </w:r>
      <w:r>
        <w:rPr>
          <w:rFonts w:hint="default" w:asciiTheme="majorAscii" w:hAnsiTheme="majorAscii"/>
          <w:sz w:val="24"/>
          <w:szCs w:val="24"/>
        </w:rPr>
        <w:fldChar w:fldCharType="separate"/>
      </w:r>
      <w:r>
        <w:rPr>
          <w:rStyle w:val="7"/>
          <w:rFonts w:hint="default" w:asciiTheme="majorAscii" w:hAnsiTheme="majorAscii"/>
          <w:sz w:val="24"/>
          <w:szCs w:val="24"/>
        </w:rPr>
        <w:t>https://doi.org/10.14293/S2199-1006.1.SOR-.PPZMB0B.v1</w:t>
      </w:r>
      <w:r>
        <w:rPr>
          <w:rFonts w:hint="default" w:asciiTheme="majorAscii" w:hAnsiTheme="majorAscii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748739"/>
    <w:multiLevelType w:val="singleLevel"/>
    <w:tmpl w:val="7774873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AB93B"/>
    <w:rsid w:val="7DDAB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2026-02-02T12:09:00Z</dcterms:created>
  <dc:creator>dieudonne</dc:creator>
  <cp:lastModifiedBy>dieudonne</cp:lastModifiedBy>
  <dcterms:modified xsi:type="dcterms:W3CDTF">2026-02-02T16:10:19Z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