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leader="none" w:pos="9270"/>
        </w:tabs>
        <w:spacing w:before="63" w:lineRule="auto"/>
        <w:ind w:left="540" w:right="850" w:firstLine="0"/>
        <w:rPr/>
      </w:pPr>
      <w:r w:rsidDel="00000000" w:rsidR="00000000" w:rsidRPr="00000000">
        <w:rPr>
          <w:rtl w:val="0"/>
        </w:rPr>
        <w:t xml:space="preserve">COVID-19 Field Protocol</w:t>
      </w:r>
    </w:p>
    <w:p w:rsidR="00000000" w:rsidDel="00000000" w:rsidP="00000000" w:rsidRDefault="00000000" w:rsidRPr="00000000" w14:paraId="00000002">
      <w:pPr>
        <w:pStyle w:val="Heading1"/>
        <w:pageBreakBefore w:val="0"/>
        <w:spacing w:before="63" w:lineRule="auto"/>
        <w:ind w:left="540" w:right="490" w:firstLine="0"/>
        <w:rPr/>
      </w:pPr>
      <w:r w:rsidDel="00000000" w:rsidR="00000000" w:rsidRPr="00000000">
        <w:rPr>
          <w:rtl w:val="0"/>
        </w:rPr>
        <w:t xml:space="preserve">Worksite Planning Checklist</w:t>
      </w:r>
    </w:p>
    <w:p w:rsidR="00000000" w:rsidDel="00000000" w:rsidP="00000000" w:rsidRDefault="00000000" w:rsidRPr="00000000" w14:paraId="00000003">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228" w:line="240"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Department/Group/Project: Dept Wildlife, Fish, and Conservation Biology, UC Davis</w:t>
      </w:r>
    </w:p>
    <w:p w:rsidR="00000000" w:rsidDel="00000000" w:rsidP="00000000" w:rsidRDefault="00000000" w:rsidRPr="00000000" w14:paraId="00000004">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1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Team Leader Name, Phone, Email: Katherine Lauck, 5409230228, kslauck@ucdavis.edu</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109" w:right="0" w:firstLine="1.999999999999993"/>
        <w:jc w:val="left"/>
        <w:rPr>
          <w:rFonts w:ascii="Arial" w:cs="Arial" w:eastAsia="Arial" w:hAnsi="Arial"/>
          <w:b w:val="0"/>
          <w:i w:val="0"/>
          <w:smallCaps w:val="0"/>
          <w:strike w:val="0"/>
          <w:color w:val="0101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PI/Supervisor Name, Phone, Email: Daniel Karp, 5302199868, dkarp@ucdavis.edu</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Worksite Location: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Putah Creek Museum of WFB Biomonitoring Sites, Putah Creek Riparian Reserve, UC Davis Experimental Ecosystem, UCD Foundation Plant Services, Russell Ranch, UCD/H.M. Clause Innovation Center, South Fork 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40" w:lineRule="auto"/>
        <w:ind w:left="106" w:right="0" w:firstLine="0"/>
        <w:jc w:val="left"/>
        <w:rPr>
          <w:rFonts w:ascii="Arial" w:cs="Arial" w:eastAsia="Arial" w:hAnsi="Arial"/>
          <w:b w:val="0"/>
          <w:i w:val="0"/>
          <w:smallCaps w:val="0"/>
          <w:strike w:val="0"/>
          <w:color w:val="0101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Dates: 03/15/2021-07/31/2021</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4305300</wp:posOffset>
            </wp:positionH>
            <wp:positionV relativeFrom="paragraph">
              <wp:posOffset>7627302</wp:posOffset>
            </wp:positionV>
            <wp:extent cx="2286000" cy="420624"/>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86000" cy="420624"/>
                    </a:xfrm>
                    <a:prstGeom prst="rect"/>
                    <a:ln/>
                  </pic:spPr>
                </pic:pic>
              </a:graphicData>
            </a:graphic>
          </wp:anchor>
        </w:drawing>
      </w:r>
    </w:p>
    <w:tbl>
      <w:tblPr>
        <w:tblStyle w:val="Table1"/>
        <w:tblW w:w="10350.0" w:type="dxa"/>
        <w:jc w:val="left"/>
        <w:tblInd w:w="-5.0" w:type="dxa"/>
        <w:tblLayout w:type="fixed"/>
        <w:tblLook w:val="0000"/>
      </w:tblPr>
      <w:tblGrid>
        <w:gridCol w:w="4410"/>
        <w:gridCol w:w="5940"/>
        <w:tblGridChange w:id="0">
          <w:tblGrid>
            <w:gridCol w:w="4410"/>
            <w:gridCol w:w="5940"/>
          </w:tblGrid>
        </w:tblGridChange>
      </w:tblGrid>
      <w:tr>
        <w:trPr>
          <w:cantSplit w:val="0"/>
          <w:trHeight w:val="790" w:hRule="atLeast"/>
          <w:tblHeader w:val="0"/>
        </w:trPr>
        <w:tc>
          <w:tcPr>
            <w:gridSpan w:val="2"/>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Institutional Review &amp; Approvals: </w:t>
            </w:r>
          </w:p>
          <w:p w:rsidR="00000000" w:rsidDel="00000000" w:rsidP="00000000" w:rsidRDefault="00000000" w:rsidRPr="00000000" w14:paraId="000000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2"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VC Research Office (see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Field Research Continuity Request Form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approval during Shelter-in-Place order)</w:t>
            </w:r>
          </w:p>
          <w:p w:rsidR="00000000" w:rsidDel="00000000" w:rsidP="00000000" w:rsidRDefault="00000000" w:rsidRPr="00000000" w14:paraId="000000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2"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Departmental Approval</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Register travel &gt; 100 miles via UC Away: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https://ehs.ucop.edu/away/#/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international travel follow approval process at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https://globalengagement.berkeley.edu/faculty-staff/international-travel-resources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Project-specific (reserve manager, partner agency, dive control board, etc.): </w:t>
            </w:r>
          </w:p>
        </w:tc>
      </w:tr>
      <w:tr>
        <w:trPr>
          <w:cantSplit w:val="0"/>
          <w:trHeight w:val="82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Required Training/Safety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Along with discussing work goals and plans, review safe work practices identified in this checklist with all participants.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40" w:line="23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EHS 207</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 UC Berkeley Guidelines on Protecting Workers from COVID-19</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is accessible via the</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r>
            <w:hyperlink r:id="rId11">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UC Learning Center</w:t>
              </w:r>
            </w:hyperlink>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(calnet-login required, takes ~15 minutes to complete)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physical distancing, equipment handling, disinfection procedures, signs/symptoms of COVID-19, communication options in the field, check in procedures, and emergency procedures. </w:t>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members should have dedicated PPE, provisions, and supplies, if feasible, to minimize sharing. </w:t>
            </w:r>
          </w:p>
          <w:p w:rsidR="00000000" w:rsidDel="00000000" w:rsidP="00000000" w:rsidRDefault="00000000" w:rsidRPr="00000000" w14:paraId="000000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members have the right to refuse participation without fear of penalty if they feel conditions are unsafe.</w:t>
            </w:r>
          </w:p>
          <w:p w:rsidR="00000000" w:rsidDel="00000000" w:rsidP="00000000" w:rsidRDefault="00000000" w:rsidRPr="00000000" w14:paraId="0000001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team member should be asymptomatic for at least two weeks prior to fieldwork and will not participate should they feel ill or have reasonable cause to believe they have been exposed to COVID-19.</w:t>
            </w:r>
          </w:p>
          <w:p w:rsidR="00000000" w:rsidDel="00000000" w:rsidP="00000000" w:rsidRDefault="00000000" w:rsidRPr="00000000" w14:paraId="000000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reliable communication to receive updates or get assistance; maintain a frequent check-in schedule.</w:t>
            </w:r>
          </w:p>
          <w:p w:rsidR="00000000" w:rsidDel="00000000" w:rsidP="00000000" w:rsidRDefault="00000000" w:rsidRPr="00000000" w14:paraId="0000001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Remain aware of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local public health requirements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campus policies regarding COVID-19.</w:t>
            </w:r>
          </w:p>
          <w:p w:rsidR="00000000" w:rsidDel="00000000" w:rsidP="00000000" w:rsidRDefault="00000000" w:rsidRPr="00000000" w14:paraId="000000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responsible conduct in the field, community; minimize contact with the public during the pandemic. </w:t>
            </w:r>
          </w:p>
          <w:p w:rsidR="00000000" w:rsidDel="00000000" w:rsidP="00000000" w:rsidRDefault="00000000" w:rsidRPr="00000000" w14:paraId="0000001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flexibility to alter plans at any time, self-isolate, or return home.</w:t>
            </w:r>
          </w:p>
          <w:p w:rsidR="00000000" w:rsidDel="00000000" w:rsidP="00000000" w:rsidRDefault="00000000" w:rsidRPr="00000000" w14:paraId="0000001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Follow campus reporting protocol, if you, a colleague, or an immediate family member tests positive.</w:t>
            </w:r>
            <w:r w:rsidDel="00000000" w:rsidR="00000000" w:rsidRPr="00000000">
              <w:rPr>
                <w:rtl w:val="0"/>
              </w:rPr>
            </w:r>
          </w:p>
        </w:tc>
      </w:tr>
      <w:tr>
        <w:trPr>
          <w:cantSplit w:val="0"/>
          <w:trHeight w:val="821"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Continuity Planning: </w:t>
            </w:r>
          </w:p>
          <w:p w:rsidR="00000000" w:rsidDel="00000000" w:rsidP="00000000" w:rsidRDefault="00000000" w:rsidRPr="00000000" w14:paraId="0000001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Utilize video meetings for training, planning, and discussion, when possible, to minimize in-person interactions.</w:t>
            </w:r>
          </w:p>
          <w:p w:rsidR="00000000" w:rsidDel="00000000" w:rsidP="00000000" w:rsidRDefault="00000000" w:rsidRPr="00000000" w14:paraId="0000001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Cross-train multiple people on critical tasks; document protocols in detail.</w:t>
            </w:r>
          </w:p>
          <w:p w:rsidR="00000000" w:rsidDel="00000000" w:rsidP="00000000" w:rsidRDefault="00000000" w:rsidRPr="00000000" w14:paraId="0000001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how to prioritize the most time-critical tasks, if team members are unable to work.</w:t>
            </w:r>
          </w:p>
          <w:p w:rsidR="00000000" w:rsidDel="00000000" w:rsidP="00000000" w:rsidRDefault="00000000" w:rsidRPr="00000000" w14:paraId="000000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 dividing into smaller field teams that will work separately from other teams for the season.</w:t>
            </w:r>
            <w:r w:rsidDel="00000000" w:rsidR="00000000" w:rsidRPr="00000000">
              <w:rPr>
                <w:rtl w:val="0"/>
              </w:rPr>
            </w:r>
          </w:p>
        </w:tc>
      </w:tr>
      <w:tr>
        <w:trPr>
          <w:cantSplit w:val="0"/>
          <w:trHeight w:val="82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Transportation to Worksite: </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Avoid public transportation.</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 at the worksite (each team member should have their own field vehicle). If not feasible, exceptions of two persons per vehicle allowed with supervisor approval. Both must wear face covers and keep windows open.</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common areas should be wiped with a disinfectant prior to and after use of the vehicle.</w:t>
            </w:r>
          </w:p>
          <w:p w:rsidR="00000000" w:rsidDel="00000000" w:rsidP="00000000" w:rsidRDefault="00000000" w:rsidRPr="00000000" w14:paraId="000000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precautions: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1"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Provisions: </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team member should be responsible for their own field provisions for the day. </w:t>
            </w:r>
          </w:p>
          <w:p w:rsidR="00000000" w:rsidDel="00000000" w:rsidP="00000000" w:rsidRDefault="00000000" w:rsidRPr="00000000" w14:paraId="0000002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food, snacks, etc., should all be prepared and brought from home, if possible. </w:t>
            </w:r>
          </w:p>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team member should have at least two gallons of drinking water available per workday.</w:t>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coolers are used, each team member should have their own designated cooler. </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Stops to make purchases in the field should be kept to a minimum in order to lessen contact with the public.</w:t>
            </w:r>
          </w:p>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overnight trips, ensure extra lodging is available to maintain social distancing, ie. single rooms, single tents.</w:t>
            </w:r>
          </w:p>
          <w:p w:rsidR="00000000" w:rsidDel="00000000" w:rsidP="00000000" w:rsidRDefault="00000000" w:rsidRPr="00000000" w14:paraId="0000002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precautions: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82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Fueling Vehicles/Service Stops:</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0" w:line="23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social distancing from anybody at the fuel location, store, etc. </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cognizant of what you touch at any service stations, stores, etc.</w:t>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0" w:line="23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disinfecting wipes on handles or buttons before you touch them; or single-use towels as a barrier.</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hand sanitizer prior to re-entering your vehicle.</w:t>
            </w:r>
          </w:p>
          <w:p w:rsidR="00000000" w:rsidDel="00000000" w:rsidP="00000000" w:rsidRDefault="00000000" w:rsidRPr="00000000" w14:paraId="0000003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precautions:</w:t>
            </w:r>
          </w:p>
        </w:tc>
      </w:tr>
      <w:tr>
        <w:trPr>
          <w:cantSplit w:val="0"/>
          <w:trHeight w:val="1022" w:hRule="atLeast"/>
          <w:tblHeader w:val="0"/>
        </w:trPr>
        <w:tc>
          <w:tcPr>
            <w:gridSpan w:val="2"/>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5" w:right="12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 Safe Practices: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social distancing of at least 6 feet, whenever feasible.</w:t>
            </w:r>
          </w:p>
          <w:p w:rsidR="00000000" w:rsidDel="00000000" w:rsidP="00000000" w:rsidRDefault="00000000" w:rsidRPr="00000000" w14:paraId="000000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from touching face (specifically eyes, mouth and nose); follow CDC guidance to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Prevent Getting Sick</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Wear a face cover in common areas, while in proximity to others; follow local public health requirements.</w:t>
            </w:r>
          </w:p>
          <w:p w:rsidR="00000000" w:rsidDel="00000000" w:rsidP="00000000" w:rsidRDefault="00000000" w:rsidRPr="00000000" w14:paraId="000000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hands with soap and water frequently for at least 20 seconds.</w:t>
            </w:r>
          </w:p>
          <w:p w:rsidR="00000000" w:rsidDel="00000000" w:rsidP="00000000" w:rsidRDefault="00000000" w:rsidRPr="00000000" w14:paraId="000000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hand sanitizer when soap and water are not available.</w:t>
            </w:r>
          </w:p>
          <w:p w:rsidR="00000000" w:rsidDel="00000000" w:rsidP="00000000" w:rsidRDefault="00000000" w:rsidRPr="00000000" w14:paraId="000000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 your mouth and nose with a tissue when you cough or sneeze, or use the inside of your elbow. Throw used tissues in the trash and immediately wash your hands.</w:t>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Clean and disinfect frequently touched surfaces.</w:t>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2" w:line="246" w:lineRule="auto"/>
              <w:ind w:left="83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cough or other symptoms develop, wear a face cover to prevent spread via saliva droplets; return home.</w:t>
            </w:r>
            <w:r w:rsidDel="00000000" w:rsidR="00000000" w:rsidRPr="00000000">
              <w:rPr>
                <w:rtl w:val="0"/>
              </w:rPr>
            </w:r>
          </w:p>
        </w:tc>
      </w:tr>
      <w:tr>
        <w:trPr>
          <w:cantSplit w:val="0"/>
          <w:trHeight w:val="50" w:hRule="atLeast"/>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40" w:line="23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Supplies, Cleaning, &amp; Disinfection: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Shared surfaces, equipment and gear should be cleaned, disinfected and dried before use. Any disinfecting product used should be on the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EPA List-N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Clorox disinfecting wipes, Lysol multi-surface cleaner, Envirocleanse-A, Peroxide Multisurface Cleaner &amp; Disinfectant </w:t>
            </w:r>
          </w:p>
        </w:tc>
      </w:tr>
      <w:tr>
        <w:trPr>
          <w:cantSplit w:val="0"/>
          <w:trHeight w:val="50" w:hRule="atLeast"/>
          <w:tblHeader w:val="0"/>
        </w:trPr>
        <w:tc>
          <w:tcPr>
            <w:tcBorders>
              <w:left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 soap </w:t>
            </w:r>
          </w:p>
          <w:p w:rsidR="00000000" w:rsidDel="00000000" w:rsidP="00000000" w:rsidRDefault="00000000" w:rsidRPr="00000000" w14:paraId="0000004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 sanitizer (&gt; 60% alcohol)                                                </w:t>
            </w:r>
          </w:p>
          <w:p w:rsidR="00000000" w:rsidDel="00000000" w:rsidP="00000000" w:rsidRDefault="00000000" w:rsidRPr="00000000" w14:paraId="0000004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Single-use paper towels                                           </w:t>
            </w:r>
          </w:p>
          <w:p w:rsidR="00000000" w:rsidDel="00000000" w:rsidP="00000000" w:rsidRDefault="00000000" w:rsidRPr="00000000" w14:paraId="0000004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Disposable nitrile gloves</w:t>
            </w:r>
          </w:p>
          <w:p w:rsidR="00000000" w:rsidDel="00000000" w:rsidP="00000000" w:rsidRDefault="00000000" w:rsidRPr="00000000" w14:paraId="0000004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Disinfectant: </w:t>
            </w:r>
          </w:p>
        </w:tc>
        <w:tc>
          <w:tcPr>
            <w:tcBorders>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 face covers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Carry a thermometer in your first aid kit</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water bottles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w:t>
            </w:r>
            <w:r w:rsidDel="00000000" w:rsidR="00000000" w:rsidRPr="00000000">
              <w:rPr>
                <w:rtl w:val="0"/>
              </w:rPr>
            </w:r>
          </w:p>
        </w:tc>
      </w:tr>
    </w:tbl>
    <w:p w:rsidR="00000000" w:rsidDel="00000000" w:rsidP="00000000" w:rsidRDefault="00000000" w:rsidRPr="00000000" w14:paraId="0000004F">
      <w:pPr>
        <w:pageBreakBefore w:val="0"/>
        <w:rPr>
          <w:sz w:val="20"/>
          <w:szCs w:val="20"/>
        </w:rPr>
        <w:sectPr>
          <w:footerReference r:id="rId14" w:type="default"/>
          <w:pgSz w:h="15840" w:w="12240" w:orient="portrait"/>
          <w:pgMar w:bottom="900" w:top="540" w:left="1080" w:right="900" w:header="720" w:footer="720"/>
          <w:pgNumType w:start="1"/>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10350.0" w:type="dxa"/>
        <w:jc w:val="left"/>
        <w:tblInd w:w="-5.0" w:type="dxa"/>
        <w:tblLayout w:type="fixed"/>
        <w:tblLook w:val="0000"/>
      </w:tblPr>
      <w:tblGrid>
        <w:gridCol w:w="10350"/>
        <w:tblGridChange w:id="0">
          <w:tblGrid>
            <w:gridCol w:w="10350"/>
          </w:tblGrid>
        </w:tblGridChange>
      </w:tblGrid>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2" w:lineRule="auto"/>
              <w:ind w:left="115" w:right="2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Emergency Procedures: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participants or attach roster; all team members must be able to provide clear and precise directions to the worksite.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Cell phone service available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no cell service, describe communication plan and check-in procedures; or attach project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field safety plan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map to nearest hospital. </w:t>
            </w:r>
          </w:p>
        </w:tc>
      </w:tr>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pageBreakBefore w:val="0"/>
              <w:rPr>
                <w:b w:val="1"/>
                <w:color w:val="000000"/>
                <w:sz w:val="20"/>
                <w:szCs w:val="20"/>
              </w:rPr>
            </w:pPr>
            <w:r w:rsidDel="00000000" w:rsidR="00000000" w:rsidRPr="00000000">
              <w:rPr>
                <w:b w:val="1"/>
                <w:color w:val="000000"/>
                <w:sz w:val="20"/>
                <w:szCs w:val="20"/>
                <w:rtl w:val="0"/>
              </w:rPr>
              <w:t xml:space="preserve">  Notes: Participants: Katherine Lauck and Katia Goldberg. Field safety plan for all sites attached.</w:t>
            </w:r>
          </w:p>
          <w:p w:rsidR="00000000" w:rsidDel="00000000" w:rsidP="00000000" w:rsidRDefault="00000000" w:rsidRPr="00000000" w14:paraId="00000053">
            <w:pPr>
              <w:pageBreakBefore w:val="0"/>
              <w:tabs>
                <w:tab w:val="left" w:leader="none" w:pos="7720"/>
              </w:tabs>
              <w:rPr>
                <w:b w:val="1"/>
                <w:color w:val="000000"/>
                <w:sz w:val="20"/>
                <w:szCs w:val="20"/>
              </w:rPr>
            </w:pPr>
            <w:r w:rsidDel="00000000" w:rsidR="00000000" w:rsidRPr="00000000">
              <w:rPr>
                <w:b w:val="1"/>
                <w:color w:val="000000"/>
                <w:sz w:val="20"/>
                <w:szCs w:val="20"/>
                <w:rtl w:val="0"/>
              </w:rPr>
              <w:tab/>
            </w:r>
          </w:p>
          <w:p w:rsidR="00000000" w:rsidDel="00000000" w:rsidP="00000000" w:rsidRDefault="00000000" w:rsidRPr="00000000" w14:paraId="00000054">
            <w:pPr>
              <w:pageBreakBefore w:val="0"/>
              <w:tabs>
                <w:tab w:val="left" w:leader="none" w:pos="7720"/>
              </w:tabs>
              <w:rPr>
                <w:b w:val="1"/>
                <w:color w:val="000000"/>
                <w:sz w:val="20"/>
                <w:szCs w:val="20"/>
              </w:rPr>
            </w:pPr>
            <w:r w:rsidDel="00000000" w:rsidR="00000000" w:rsidRPr="00000000">
              <w:rPr>
                <w:rtl w:val="0"/>
              </w:rPr>
            </w:r>
          </w:p>
          <w:p w:rsidR="00000000" w:rsidDel="00000000" w:rsidP="00000000" w:rsidRDefault="00000000" w:rsidRPr="00000000" w14:paraId="00000055">
            <w:pPr>
              <w:pageBreakBefore w:val="0"/>
              <w:tabs>
                <w:tab w:val="left" w:leader="none" w:pos="7720"/>
              </w:tabs>
              <w:rPr>
                <w:b w:val="1"/>
                <w:color w:val="000000"/>
                <w:sz w:val="20"/>
                <w:szCs w:val="20"/>
              </w:rPr>
            </w:pPr>
            <w:r w:rsidDel="00000000" w:rsidR="00000000" w:rsidRPr="00000000">
              <w:rPr>
                <w:rtl w:val="0"/>
              </w:rPr>
            </w:r>
          </w:p>
          <w:p w:rsidR="00000000" w:rsidDel="00000000" w:rsidP="00000000" w:rsidRDefault="00000000" w:rsidRPr="00000000" w14:paraId="00000056">
            <w:pPr>
              <w:pageBreakBefore w:val="0"/>
              <w:tabs>
                <w:tab w:val="left" w:leader="none" w:pos="7720"/>
              </w:tabs>
              <w:rPr>
                <w:b w:val="1"/>
                <w:color w:val="000000"/>
                <w:sz w:val="20"/>
                <w:szCs w:val="20"/>
              </w:rPr>
            </w:pPr>
            <w:r w:rsidDel="00000000" w:rsidR="00000000" w:rsidRPr="00000000">
              <w:rPr>
                <w:rtl w:val="0"/>
              </w:rPr>
            </w:r>
          </w:p>
          <w:p w:rsidR="00000000" w:rsidDel="00000000" w:rsidP="00000000" w:rsidRDefault="00000000" w:rsidRPr="00000000" w14:paraId="00000057">
            <w:pPr>
              <w:pageBreakBefore w:val="0"/>
              <w:rPr>
                <w:b w:val="1"/>
                <w:color w:val="000000"/>
                <w:sz w:val="20"/>
                <w:szCs w:val="20"/>
              </w:rPr>
            </w:pPr>
            <w:r w:rsidDel="00000000" w:rsidR="00000000" w:rsidRPr="00000000">
              <w:rPr>
                <w:rtl w:val="0"/>
              </w:rPr>
            </w:r>
          </w:p>
          <w:p w:rsidR="00000000" w:rsidDel="00000000" w:rsidP="00000000" w:rsidRDefault="00000000" w:rsidRPr="00000000" w14:paraId="00000058">
            <w:pPr>
              <w:pageBreakBefore w:val="0"/>
              <w:rPr>
                <w:b w:val="1"/>
                <w:color w:val="000000"/>
                <w:sz w:val="20"/>
                <w:szCs w:val="20"/>
              </w:rPr>
            </w:pPr>
            <w:r w:rsidDel="00000000" w:rsidR="00000000" w:rsidRPr="00000000">
              <w:rPr>
                <w:rtl w:val="0"/>
              </w:rPr>
            </w:r>
          </w:p>
          <w:p w:rsidR="00000000" w:rsidDel="00000000" w:rsidP="00000000" w:rsidRDefault="00000000" w:rsidRPr="00000000" w14:paraId="00000059">
            <w:pPr>
              <w:pageBreakBefore w:val="0"/>
              <w:rPr>
                <w:b w:val="1"/>
                <w:color w:val="000000"/>
                <w:sz w:val="20"/>
                <w:szCs w:val="20"/>
              </w:rPr>
            </w:pPr>
            <w:r w:rsidDel="00000000" w:rsidR="00000000" w:rsidRPr="00000000">
              <w:rPr>
                <w:rtl w:val="0"/>
              </w:rPr>
            </w:r>
          </w:p>
        </w:tc>
      </w:tr>
      <w:tr>
        <w:trPr>
          <w:cantSplit w:val="0"/>
          <w:trHeight w:val="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Wrap Up:</w:t>
            </w:r>
          </w:p>
          <w:p w:rsidR="00000000" w:rsidDel="00000000" w:rsidP="00000000" w:rsidRDefault="00000000" w:rsidRPr="00000000" w14:paraId="0000005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40" w:line="23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Clean &amp; disinfect all shared equipment, touched surfaces.</w:t>
            </w:r>
          </w:p>
          <w:p w:rsidR="00000000" w:rsidDel="00000000" w:rsidP="00000000" w:rsidRDefault="00000000" w:rsidRPr="00000000" w14:paraId="0000005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Bag up used supplies; return to field office or campus for disposal, if possible.</w:t>
            </w:r>
          </w:p>
          <w:p w:rsidR="00000000" w:rsidDel="00000000" w:rsidP="00000000" w:rsidRDefault="00000000" w:rsidRPr="00000000" w14:paraId="0000005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40" w:line="230" w:lineRule="auto"/>
              <w:ind w:left="47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Debrief with all participants.</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tbl>
      <w:tblPr>
        <w:tblStyle w:val="Table3"/>
        <w:tblW w:w="10350.0" w:type="dxa"/>
        <w:jc w:val="left"/>
        <w:tblInd w:w="-5.0" w:type="dxa"/>
        <w:tblLayout w:type="fixed"/>
        <w:tblLook w:val="0000"/>
      </w:tblPr>
      <w:tblGrid>
        <w:gridCol w:w="4860"/>
        <w:gridCol w:w="5490"/>
        <w:tblGridChange w:id="0">
          <w:tblGrid>
            <w:gridCol w:w="4860"/>
            <w:gridCol w:w="5490"/>
          </w:tblGrid>
        </w:tblGridChange>
      </w:tblGrid>
      <w:tr>
        <w:trPr>
          <w:cantSplit w:val="0"/>
          <w:trHeight w:val="316" w:hRule="atLeast"/>
          <w:tblHeader w:val="0"/>
        </w:trPr>
        <w:tc>
          <w:tcPr>
            <w:gridSpan w:val="2"/>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15" w:right="-45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 Signs and Symptoms of COVID-19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per CDC May 13, 2020</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rHeight w:val="227" w:hRule="atLeast"/>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Symptoms may appear 2-14 days after exposure to the virus. People with these symptoms or combinations of     symptoms may have COVID-19 and should stay home, monitor symptoms, and call their medical provider:</w:t>
            </w:r>
          </w:p>
        </w:tc>
      </w:tr>
      <w:tr>
        <w:trPr>
          <w:cantSplit w:val="0"/>
          <w:trHeight w:val="227" w:hRule="atLeast"/>
          <w:tblHeader w:val="0"/>
        </w:trPr>
        <w:tc>
          <w:tcPr>
            <w:tcBorders>
              <w:left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Cough                                                                </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Shortness of breath or difficult breathing</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Fever</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Chills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Muscle pain</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Sore throat</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loss of taste or smell</w:t>
            </w:r>
          </w:p>
        </w:tc>
        <w:tc>
          <w:tcPr>
            <w:tcBorders>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Seek emergency medical care immediately:</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 breathing</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Persistent pain or pressure in the chest</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confusion</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Inability to wake or stay awake</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Bluish lips or face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900" w:top="540" w:left="1080" w:right="810" w:header="720" w:footer="720"/>
        </w:sect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900" w:top="540" w:left="1080" w:right="810" w:header="720" w:footer="720"/>
          <w:cols w:equalWidth="0" w:num="2">
            <w:col w:space="720" w:w="4815"/>
            <w:col w:space="0" w:w="4815"/>
          </w:cols>
        </w:sect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0350.0" w:type="dxa"/>
        <w:jc w:val="left"/>
        <w:tblInd w:w="-5.0" w:type="dxa"/>
        <w:tblLayout w:type="fixed"/>
        <w:tblLook w:val="0000"/>
      </w:tblPr>
      <w:tblGrid>
        <w:gridCol w:w="10350"/>
        <w:tblGridChange w:id="0">
          <w:tblGrid>
            <w:gridCol w:w="10350"/>
          </w:tblGrid>
        </w:tblGridChange>
      </w:tblGrid>
      <w:tr>
        <w:trPr>
          <w:cantSplit w:val="0"/>
          <w:trHeight w:val="316" w:hRule="atLeast"/>
          <w:tblHeader w:val="0"/>
        </w:trPr>
        <w:tc>
          <w:tcPr>
            <w:tcBorders>
              <w:top w:color="000000" w:space="0" w:sz="8"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Campus Resources</w:t>
            </w:r>
          </w:p>
        </w:tc>
      </w:tr>
      <w:tr>
        <w:trPr>
          <w:cantSplit w:val="0"/>
          <w:trHeight w:val="17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Emergency Medical Response: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911</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Campus Police Emergency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1-510-642-3333</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UC Berkeley COVID-19 Updates: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https://news.berkeley.edu/coronavirus/</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6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University Health Services Occupational Health Clinic: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http://www.uhs.berkeley.edu/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1-510-642-6891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3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Office of Environment, Health &amp; Safety (EH&amp;S):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http://ehs.berkeley.edu/</w:t>
              </w:r>
            </w:hyperlink>
            <w:hyperlink r:id="rId20">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1-510-642-3073</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1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UC Berkeley EH&amp;S Field Safety Resources: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http://ehs.berkeley.edu/field-safety</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1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UC Travel Insurance 24/7 Assistance:</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1-800-527-0218 or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assistance@uhcglobal.com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tc>
      </w:tr>
    </w:tbl>
    <w:p w:rsidR="00000000" w:rsidDel="00000000" w:rsidP="00000000" w:rsidRDefault="00000000" w:rsidRPr="00000000" w14:paraId="0000007C">
      <w:pPr>
        <w:pageBreakBefore w:val="0"/>
        <w:tabs>
          <w:tab w:val="left" w:leader="none" w:pos="6950"/>
        </w:tabs>
        <w:rPr/>
      </w:pPr>
      <w:r w:rsidDel="00000000" w:rsidR="00000000" w:rsidRPr="00000000">
        <w:rPr>
          <w:rtl w:val="0"/>
        </w:rPr>
      </w:r>
    </w:p>
    <w:p w:rsidR="00000000" w:rsidDel="00000000" w:rsidP="00000000" w:rsidRDefault="00000000" w:rsidRPr="00000000" w14:paraId="0000007D">
      <w:pPr>
        <w:pageBreakBefore w:val="0"/>
        <w:tabs>
          <w:tab w:val="left" w:leader="none" w:pos="6950"/>
        </w:tabs>
        <w:rPr/>
      </w:pPr>
      <w:r w:rsidDel="00000000" w:rsidR="00000000" w:rsidRPr="00000000">
        <w:rPr>
          <w:rtl w:val="0"/>
        </w:rPr>
      </w:r>
    </w:p>
    <w:p w:rsidR="00000000" w:rsidDel="00000000" w:rsidP="00000000" w:rsidRDefault="00000000" w:rsidRPr="00000000" w14:paraId="0000007E">
      <w:pPr>
        <w:pageBreakBefore w:val="0"/>
        <w:tabs>
          <w:tab w:val="left" w:leader="none" w:pos="6950"/>
        </w:tabs>
        <w:rPr/>
      </w:pPr>
      <w:r w:rsidDel="00000000" w:rsidR="00000000" w:rsidRPr="00000000">
        <w:rPr>
          <w:rtl w:val="0"/>
        </w:rPr>
        <w:t xml:space="preserve">COVID-19 Field Protocol – Field Safety Plan Addendum Worksite Planning Checklist</w:t>
      </w:r>
    </w:p>
    <w:p w:rsidR="00000000" w:rsidDel="00000000" w:rsidP="00000000" w:rsidRDefault="00000000" w:rsidRPr="00000000" w14:paraId="0000007F">
      <w:pPr>
        <w:pageBreakBefore w:val="0"/>
        <w:tabs>
          <w:tab w:val="left" w:leader="none" w:pos="6950"/>
        </w:tabs>
        <w:rPr/>
      </w:pPr>
      <w:r w:rsidDel="00000000" w:rsidR="00000000" w:rsidRPr="00000000">
        <w:rPr>
          <w:rtl w:val="0"/>
        </w:rPr>
      </w:r>
    </w:p>
    <w:p w:rsidR="00000000" w:rsidDel="00000000" w:rsidP="00000000" w:rsidRDefault="00000000" w:rsidRPr="00000000" w14:paraId="00000080">
      <w:pPr>
        <w:pageBreakBefore w:val="0"/>
        <w:tabs>
          <w:tab w:val="left" w:leader="none" w:pos="6950"/>
        </w:tabs>
        <w:rPr>
          <w:u w:val="single"/>
        </w:rPr>
      </w:pPr>
      <w:r w:rsidDel="00000000" w:rsidR="00000000" w:rsidRPr="00000000">
        <w:rPr>
          <w:u w:val="single"/>
          <w:rtl w:val="0"/>
        </w:rPr>
        <w:t xml:space="preserve">Training Documentation</w:t>
      </w:r>
    </w:p>
    <w:p w:rsidR="00000000" w:rsidDel="00000000" w:rsidP="00000000" w:rsidRDefault="00000000" w:rsidRPr="00000000" w14:paraId="00000081">
      <w:pPr>
        <w:pageBreakBefore w:val="0"/>
        <w:tabs>
          <w:tab w:val="left" w:leader="none" w:pos="6950"/>
        </w:tabs>
        <w:rPr/>
      </w:pPr>
      <w:r w:rsidDel="00000000" w:rsidR="00000000" w:rsidRPr="00000000">
        <w:rPr>
          <w:rtl w:val="0"/>
        </w:rPr>
        <w:t xml:space="preserve">Sign here to verify you read the worksite planning checklist, understand its contents, and agree to comply with its requirements.</w:t>
      </w:r>
    </w:p>
    <w:p w:rsidR="00000000" w:rsidDel="00000000" w:rsidP="00000000" w:rsidRDefault="00000000" w:rsidRPr="00000000" w14:paraId="00000082">
      <w:pPr>
        <w:pageBreakBefore w:val="0"/>
        <w:tabs>
          <w:tab w:val="left" w:leader="none" w:pos="6950"/>
        </w:tabs>
        <w:rPr/>
      </w:pPr>
      <w:r w:rsidDel="00000000" w:rsidR="00000000" w:rsidRPr="00000000">
        <w:rPr>
          <w:rtl w:val="0"/>
        </w:rPr>
      </w:r>
    </w:p>
    <w:tbl>
      <w:tblPr>
        <w:tblStyle w:val="Table5"/>
        <w:tblW w:w="10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15"/>
        <w:gridCol w:w="1440"/>
        <w:gridCol w:w="2114"/>
        <w:gridCol w:w="1126"/>
        <w:gridCol w:w="2160"/>
        <w:gridCol w:w="1885"/>
        <w:tblGridChange w:id="0">
          <w:tblGrid>
            <w:gridCol w:w="1615"/>
            <w:gridCol w:w="1440"/>
            <w:gridCol w:w="2114"/>
            <w:gridCol w:w="1126"/>
            <w:gridCol w:w="2160"/>
            <w:gridCol w:w="1885"/>
          </w:tblGrid>
        </w:tblGridChange>
      </w:tblGrid>
      <w:tr>
        <w:trPr>
          <w:cantSplit w:val="0"/>
          <w:tblHeader w:val="0"/>
        </w:trPr>
        <w:tc>
          <w:tcPr>
            <w:shd w:fill="a5a5a5" w:val="clear"/>
          </w:tcPr>
          <w:p w:rsidR="00000000" w:rsidDel="00000000" w:rsidP="00000000" w:rsidRDefault="00000000" w:rsidRPr="00000000" w14:paraId="00000083">
            <w:pPr>
              <w:pageBreakBefore w:val="0"/>
              <w:tabs>
                <w:tab w:val="left" w:leader="none" w:pos="6950"/>
              </w:tabs>
              <w:rPr/>
            </w:pPr>
            <w:r w:rsidDel="00000000" w:rsidR="00000000" w:rsidRPr="00000000">
              <w:rPr>
                <w:rtl w:val="0"/>
              </w:rPr>
              <w:t xml:space="preserve">Name</w:t>
            </w:r>
          </w:p>
        </w:tc>
        <w:tc>
          <w:tcPr>
            <w:shd w:fill="a5a5a5" w:val="clear"/>
          </w:tcPr>
          <w:p w:rsidR="00000000" w:rsidDel="00000000" w:rsidP="00000000" w:rsidRDefault="00000000" w:rsidRPr="00000000" w14:paraId="00000084">
            <w:pPr>
              <w:pageBreakBefore w:val="0"/>
              <w:tabs>
                <w:tab w:val="left" w:leader="none" w:pos="6950"/>
              </w:tabs>
              <w:rPr/>
            </w:pPr>
            <w:r w:rsidDel="00000000" w:rsidR="00000000" w:rsidRPr="00000000">
              <w:rPr>
                <w:rtl w:val="0"/>
              </w:rPr>
              <w:t xml:space="preserve">Phone number</w:t>
            </w:r>
          </w:p>
        </w:tc>
        <w:tc>
          <w:tcPr>
            <w:shd w:fill="a5a5a5" w:val="clear"/>
          </w:tcPr>
          <w:p w:rsidR="00000000" w:rsidDel="00000000" w:rsidP="00000000" w:rsidRDefault="00000000" w:rsidRPr="00000000" w14:paraId="00000085">
            <w:pPr>
              <w:pageBreakBefore w:val="0"/>
              <w:tabs>
                <w:tab w:val="left" w:leader="none" w:pos="6950"/>
              </w:tabs>
              <w:rPr/>
            </w:pPr>
            <w:r w:rsidDel="00000000" w:rsidR="00000000" w:rsidRPr="00000000">
              <w:rPr>
                <w:rtl w:val="0"/>
              </w:rPr>
              <w:t xml:space="preserve">Signature</w:t>
            </w:r>
          </w:p>
        </w:tc>
        <w:tc>
          <w:tcPr>
            <w:shd w:fill="a5a5a5" w:val="clear"/>
          </w:tcPr>
          <w:p w:rsidR="00000000" w:rsidDel="00000000" w:rsidP="00000000" w:rsidRDefault="00000000" w:rsidRPr="00000000" w14:paraId="00000086">
            <w:pPr>
              <w:pageBreakBefore w:val="0"/>
              <w:tabs>
                <w:tab w:val="left" w:leader="none" w:pos="6950"/>
              </w:tabs>
              <w:rPr/>
            </w:pPr>
            <w:r w:rsidDel="00000000" w:rsidR="00000000" w:rsidRPr="00000000">
              <w:rPr>
                <w:rtl w:val="0"/>
              </w:rPr>
              <w:t xml:space="preserve">Date</w:t>
            </w:r>
          </w:p>
        </w:tc>
        <w:tc>
          <w:tcPr>
            <w:shd w:fill="a5a5a5" w:val="clear"/>
          </w:tcPr>
          <w:p w:rsidR="00000000" w:rsidDel="00000000" w:rsidP="00000000" w:rsidRDefault="00000000" w:rsidRPr="00000000" w14:paraId="00000087">
            <w:pPr>
              <w:pageBreakBefore w:val="0"/>
              <w:tabs>
                <w:tab w:val="left" w:leader="none" w:pos="6950"/>
              </w:tabs>
              <w:rPr/>
            </w:pPr>
            <w:r w:rsidDel="00000000" w:rsidR="00000000" w:rsidRPr="00000000">
              <w:rPr>
                <w:rtl w:val="0"/>
              </w:rPr>
              <w:t xml:space="preserve">Emergency contact</w:t>
            </w:r>
          </w:p>
        </w:tc>
        <w:tc>
          <w:tcPr>
            <w:shd w:fill="a5a5a5" w:val="clear"/>
          </w:tcPr>
          <w:p w:rsidR="00000000" w:rsidDel="00000000" w:rsidP="00000000" w:rsidRDefault="00000000" w:rsidRPr="00000000" w14:paraId="00000088">
            <w:pPr>
              <w:pageBreakBefore w:val="0"/>
              <w:tabs>
                <w:tab w:val="left" w:leader="none" w:pos="6950"/>
              </w:tabs>
              <w:rPr/>
            </w:pPr>
            <w:r w:rsidDel="00000000" w:rsidR="00000000" w:rsidRPr="00000000">
              <w:rPr>
                <w:rtl w:val="0"/>
              </w:rPr>
              <w:t xml:space="preserve">Phone number</w:t>
            </w:r>
          </w:p>
        </w:tc>
      </w:tr>
      <w:tr>
        <w:trPr>
          <w:cantSplit w:val="0"/>
          <w:trHeight w:val="576" w:hRule="atLeast"/>
          <w:tblHeader w:val="0"/>
        </w:trPr>
        <w:tc>
          <w:tcPr/>
          <w:p w:rsidR="00000000" w:rsidDel="00000000" w:rsidP="00000000" w:rsidRDefault="00000000" w:rsidRPr="00000000" w14:paraId="00000089">
            <w:pPr>
              <w:pageBreakBefore w:val="0"/>
              <w:tabs>
                <w:tab w:val="left" w:leader="none" w:pos="6950"/>
              </w:tabs>
              <w:rPr/>
            </w:pPr>
            <w:r w:rsidDel="00000000" w:rsidR="00000000" w:rsidRPr="00000000">
              <w:rPr>
                <w:rtl w:val="0"/>
              </w:rPr>
              <w:t xml:space="preserve">Katia Goldberg</w:t>
            </w:r>
          </w:p>
        </w:tc>
        <w:tc>
          <w:tcPr/>
          <w:p w:rsidR="00000000" w:rsidDel="00000000" w:rsidP="00000000" w:rsidRDefault="00000000" w:rsidRPr="00000000" w14:paraId="0000008A">
            <w:pPr>
              <w:pageBreakBefore w:val="0"/>
              <w:tabs>
                <w:tab w:val="left" w:leader="none" w:pos="6950"/>
              </w:tabs>
              <w:rPr/>
            </w:pPr>
            <w:r w:rsidDel="00000000" w:rsidR="00000000" w:rsidRPr="00000000">
              <w:rPr>
                <w:rtl w:val="0"/>
              </w:rPr>
              <w:t xml:space="preserve">4439494675</w:t>
            </w:r>
          </w:p>
        </w:tc>
        <w:tc>
          <w:tcPr/>
          <w:p w:rsidR="00000000" w:rsidDel="00000000" w:rsidP="00000000" w:rsidRDefault="00000000" w:rsidRPr="00000000" w14:paraId="0000008B">
            <w:pPr>
              <w:pageBreakBefore w:val="0"/>
              <w:tabs>
                <w:tab w:val="left" w:leader="none" w:pos="6950"/>
              </w:tabs>
              <w:rPr/>
            </w:pPr>
            <w:r w:rsidDel="00000000" w:rsidR="00000000" w:rsidRPr="00000000">
              <w:rPr/>
              <w:drawing>
                <wp:inline distB="114300" distT="114300" distL="114300" distR="114300">
                  <wp:extent cx="1209675" cy="647700"/>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209675" cy="647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C">
            <w:pPr>
              <w:pageBreakBefore w:val="0"/>
              <w:tabs>
                <w:tab w:val="left" w:leader="none" w:pos="6950"/>
              </w:tabs>
              <w:rPr/>
            </w:pPr>
            <w:r w:rsidDel="00000000" w:rsidR="00000000" w:rsidRPr="00000000">
              <w:rPr>
                <w:rtl w:val="0"/>
              </w:rPr>
              <w:t xml:space="preserve">04/14/2020</w:t>
            </w:r>
          </w:p>
        </w:tc>
        <w:tc>
          <w:tcPr/>
          <w:p w:rsidR="00000000" w:rsidDel="00000000" w:rsidP="00000000" w:rsidRDefault="00000000" w:rsidRPr="00000000" w14:paraId="0000008D">
            <w:pPr>
              <w:pageBreakBefore w:val="0"/>
              <w:tabs>
                <w:tab w:val="left" w:leader="none" w:pos="6950"/>
              </w:tabs>
              <w:rPr/>
            </w:pPr>
            <w:r w:rsidDel="00000000" w:rsidR="00000000" w:rsidRPr="00000000">
              <w:rPr>
                <w:rtl w:val="0"/>
              </w:rPr>
              <w:t xml:space="preserve">Michael Goldberg</w:t>
            </w:r>
          </w:p>
        </w:tc>
        <w:tc>
          <w:tcPr/>
          <w:p w:rsidR="00000000" w:rsidDel="00000000" w:rsidP="00000000" w:rsidRDefault="00000000" w:rsidRPr="00000000" w14:paraId="0000008E">
            <w:pPr>
              <w:pageBreakBefore w:val="0"/>
              <w:tabs>
                <w:tab w:val="left" w:leader="none" w:pos="6950"/>
              </w:tabs>
              <w:rPr/>
            </w:pPr>
            <w:r w:rsidDel="00000000" w:rsidR="00000000" w:rsidRPr="00000000">
              <w:rPr>
                <w:rtl w:val="0"/>
              </w:rPr>
              <w:t xml:space="preserve">4439494656</w:t>
            </w:r>
          </w:p>
        </w:tc>
      </w:tr>
      <w:tr>
        <w:trPr>
          <w:cantSplit w:val="0"/>
          <w:trHeight w:val="576" w:hRule="atLeast"/>
          <w:tblHeader w:val="0"/>
        </w:trPr>
        <w:tc>
          <w:tcPr/>
          <w:p w:rsidR="00000000" w:rsidDel="00000000" w:rsidP="00000000" w:rsidRDefault="00000000" w:rsidRPr="00000000" w14:paraId="0000008F">
            <w:pPr>
              <w:pageBreakBefore w:val="0"/>
              <w:tabs>
                <w:tab w:val="left" w:leader="none" w:pos="6950"/>
              </w:tabs>
              <w:rPr/>
            </w:pPr>
            <w:r w:rsidDel="00000000" w:rsidR="00000000" w:rsidRPr="00000000">
              <w:rPr>
                <w:rtl w:val="0"/>
              </w:rPr>
              <w:t xml:space="preserve">Katherine Lauck</w:t>
            </w:r>
          </w:p>
        </w:tc>
        <w:tc>
          <w:tcPr/>
          <w:p w:rsidR="00000000" w:rsidDel="00000000" w:rsidP="00000000" w:rsidRDefault="00000000" w:rsidRPr="00000000" w14:paraId="00000090">
            <w:pPr>
              <w:pageBreakBefore w:val="0"/>
              <w:tabs>
                <w:tab w:val="left" w:leader="none" w:pos="6950"/>
              </w:tabs>
              <w:rPr/>
            </w:pPr>
            <w:r w:rsidDel="00000000" w:rsidR="00000000" w:rsidRPr="00000000">
              <w:rPr>
                <w:rtl w:val="0"/>
              </w:rPr>
              <w:t xml:space="preserve">5409230228</w:t>
            </w:r>
          </w:p>
        </w:tc>
        <w:tc>
          <w:tcPr/>
          <w:p w:rsidR="00000000" w:rsidDel="00000000" w:rsidP="00000000" w:rsidRDefault="00000000" w:rsidRPr="00000000" w14:paraId="00000091">
            <w:pPr>
              <w:pageBreakBefore w:val="0"/>
              <w:tabs>
                <w:tab w:val="left" w:leader="none" w:pos="6950"/>
              </w:tabs>
              <w:rPr/>
            </w:pPr>
            <w:r w:rsidDel="00000000" w:rsidR="00000000" w:rsidRPr="00000000">
              <w:rPr/>
              <mc:AlternateContent>
                <mc:Choice Requires="wpg">
                  <w:drawing>
                    <wp:inline distB="114300" distT="114300" distL="114300" distR="114300">
                      <wp:extent cx="1209675" cy="774700"/>
                      <wp:effectExtent b="0" l="0" r="0" t="0"/>
                      <wp:docPr id="3" name=""/>
                      <a:graphic>
                        <a:graphicData uri="http://schemas.microsoft.com/office/word/2010/wordprocessingShape">
                          <wps:wsp>
                            <wps:cNvSpPr/>
                            <wps:cNvPr id="2" name="Shape 2"/>
                            <wps:spPr>
                              <a:xfrm>
                                <a:off x="2114025" y="1845839"/>
                                <a:ext cx="2809725" cy="1801700"/>
                              </a:xfrm>
                              <a:custGeom>
                                <a:rect b="b" l="l" r="r" t="t"/>
                                <a:pathLst>
                                  <a:path extrusionOk="0" h="72068" w="112389">
                                    <a:moveTo>
                                      <a:pt x="0" y="37113"/>
                                    </a:moveTo>
                                    <a:cubicBezTo>
                                      <a:pt x="6457" y="42924"/>
                                      <a:pt x="18463" y="43393"/>
                                      <a:pt x="25987" y="39052"/>
                                    </a:cubicBezTo>
                                    <a:cubicBezTo>
                                      <a:pt x="35970" y="33292"/>
                                      <a:pt x="44183" y="23988"/>
                                      <a:pt x="49647" y="13840"/>
                                    </a:cubicBezTo>
                                    <a:cubicBezTo>
                                      <a:pt x="51763" y="9910"/>
                                      <a:pt x="55606" y="3247"/>
                                      <a:pt x="51974" y="653"/>
                                    </a:cubicBezTo>
                                    <a:cubicBezTo>
                                      <a:pt x="46809" y="-3036"/>
                                      <a:pt x="43326" y="10477"/>
                                      <a:pt x="41502" y="16556"/>
                                    </a:cubicBezTo>
                                    <a:cubicBezTo>
                                      <a:pt x="38363" y="27018"/>
                                      <a:pt x="35079" y="37439"/>
                                      <a:pt x="32193" y="47973"/>
                                    </a:cubicBezTo>
                                    <a:cubicBezTo>
                                      <a:pt x="30395" y="54536"/>
                                      <a:pt x="26629" y="60970"/>
                                      <a:pt x="27151" y="67754"/>
                                    </a:cubicBezTo>
                                    <a:cubicBezTo>
                                      <a:pt x="27245" y="68970"/>
                                      <a:pt x="29669" y="66886"/>
                                      <a:pt x="30253" y="65815"/>
                                    </a:cubicBezTo>
                                    <a:cubicBezTo>
                                      <a:pt x="32051" y="62519"/>
                                      <a:pt x="34222" y="58265"/>
                                      <a:pt x="38399" y="49912"/>
                                    </a:cubicBezTo>
                                    <a:cubicBezTo>
                                      <a:pt x="45202" y="36307"/>
                                      <a:pt x="48977" y="20331"/>
                                      <a:pt x="59731" y="9574"/>
                                    </a:cubicBezTo>
                                    <a:cubicBezTo>
                                      <a:pt x="60946" y="8358"/>
                                      <a:pt x="54115" y="26423"/>
                                      <a:pt x="53913" y="27028"/>
                                    </a:cubicBezTo>
                                    <a:cubicBezTo>
                                      <a:pt x="50537" y="37155"/>
                                      <a:pt x="46589" y="47181"/>
                                      <a:pt x="44605" y="57670"/>
                                    </a:cubicBezTo>
                                    <a:cubicBezTo>
                                      <a:pt x="43375" y="64174"/>
                                      <a:pt x="39862" y="65289"/>
                                      <a:pt x="43441" y="70857"/>
                                    </a:cubicBezTo>
                                    <a:cubicBezTo>
                                      <a:pt x="47255" y="76791"/>
                                      <a:pt x="50239" y="58444"/>
                                      <a:pt x="52750" y="51852"/>
                                    </a:cubicBezTo>
                                    <a:cubicBezTo>
                                      <a:pt x="56026" y="43253"/>
                                      <a:pt x="58777" y="34460"/>
                                      <a:pt x="62059" y="25864"/>
                                    </a:cubicBezTo>
                                    <a:cubicBezTo>
                                      <a:pt x="63703" y="21558"/>
                                      <a:pt x="63487" y="21454"/>
                                      <a:pt x="65549" y="17331"/>
                                    </a:cubicBezTo>
                                    <a:cubicBezTo>
                                      <a:pt x="66608" y="15214"/>
                                      <a:pt x="68265" y="11086"/>
                                      <a:pt x="68265" y="13453"/>
                                    </a:cubicBezTo>
                                    <a:cubicBezTo>
                                      <a:pt x="68265" y="21267"/>
                                      <a:pt x="63881" y="28454"/>
                                      <a:pt x="61671" y="35949"/>
                                    </a:cubicBezTo>
                                    <a:cubicBezTo>
                                      <a:pt x="58996" y="45020"/>
                                      <a:pt x="59306" y="45108"/>
                                      <a:pt x="56629" y="54179"/>
                                    </a:cubicBezTo>
                                    <a:cubicBezTo>
                                      <a:pt x="56016" y="56258"/>
                                      <a:pt x="53156" y="61918"/>
                                      <a:pt x="54689" y="60385"/>
                                    </a:cubicBezTo>
                                    <a:cubicBezTo>
                                      <a:pt x="56800" y="58274"/>
                                      <a:pt x="56625" y="54733"/>
                                      <a:pt x="57404" y="51852"/>
                                    </a:cubicBezTo>
                                    <a:cubicBezTo>
                                      <a:pt x="59335" y="44707"/>
                                      <a:pt x="62303" y="37884"/>
                                      <a:pt x="64774" y="30907"/>
                                    </a:cubicBezTo>
                                    <a:cubicBezTo>
                                      <a:pt x="65608" y="28553"/>
                                      <a:pt x="67109" y="21457"/>
                                      <a:pt x="67489" y="23925"/>
                                    </a:cubicBezTo>
                                    <a:cubicBezTo>
                                      <a:pt x="68712" y="31873"/>
                                      <a:pt x="66256" y="39962"/>
                                      <a:pt x="65549" y="47973"/>
                                    </a:cubicBezTo>
                                    <a:cubicBezTo>
                                      <a:pt x="65386" y="49817"/>
                                      <a:pt x="65252" y="54539"/>
                                      <a:pt x="66713" y="53403"/>
                                    </a:cubicBezTo>
                                    <a:cubicBezTo>
                                      <a:pt x="72986" y="48524"/>
                                      <a:pt x="73369" y="38912"/>
                                      <a:pt x="75634" y="31295"/>
                                    </a:cubicBezTo>
                                    <a:cubicBezTo>
                                      <a:pt x="76428" y="28625"/>
                                      <a:pt x="77355" y="21119"/>
                                      <a:pt x="78737" y="23537"/>
                                    </a:cubicBezTo>
                                    <a:cubicBezTo>
                                      <a:pt x="83510" y="31893"/>
                                      <a:pt x="72479" y="50010"/>
                                      <a:pt x="81840" y="52239"/>
                                    </a:cubicBezTo>
                                    <a:cubicBezTo>
                                      <a:pt x="93864" y="55103"/>
                                      <a:pt x="117620" y="40376"/>
                                      <a:pt x="111318" y="29743"/>
                                    </a:cubicBezTo>
                                    <a:cubicBezTo>
                                      <a:pt x="104776" y="18704"/>
                                      <a:pt x="85341" y="29243"/>
                                      <a:pt x="72919" y="32458"/>
                                    </a:cubicBezTo>
                                    <a:cubicBezTo>
                                      <a:pt x="58340" y="36232"/>
                                      <a:pt x="43909" y="40563"/>
                                      <a:pt x="29478" y="4487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09675" cy="774700"/>
                      <wp:effectExtent b="0" l="0" r="0" t="0"/>
                      <wp:docPr id="3"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209675" cy="774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2">
            <w:pPr>
              <w:pageBreakBefore w:val="0"/>
              <w:tabs>
                <w:tab w:val="left" w:leader="none" w:pos="6950"/>
              </w:tabs>
              <w:rPr/>
            </w:pPr>
            <w:r w:rsidDel="00000000" w:rsidR="00000000" w:rsidRPr="00000000">
              <w:rPr>
                <w:rtl w:val="0"/>
              </w:rPr>
              <w:t xml:space="preserve">4/20/21</w:t>
            </w:r>
          </w:p>
        </w:tc>
        <w:tc>
          <w:tcPr/>
          <w:p w:rsidR="00000000" w:rsidDel="00000000" w:rsidP="00000000" w:rsidRDefault="00000000" w:rsidRPr="00000000" w14:paraId="00000093">
            <w:pPr>
              <w:pageBreakBefore w:val="0"/>
              <w:tabs>
                <w:tab w:val="left" w:leader="none" w:pos="6950"/>
              </w:tabs>
              <w:rPr/>
            </w:pPr>
            <w:r w:rsidDel="00000000" w:rsidR="00000000" w:rsidRPr="00000000">
              <w:rPr>
                <w:rtl w:val="0"/>
              </w:rPr>
              <w:t xml:space="preserve">Megan Kirchoff</w:t>
            </w:r>
          </w:p>
        </w:tc>
        <w:tc>
          <w:tcPr/>
          <w:p w:rsidR="00000000" w:rsidDel="00000000" w:rsidP="00000000" w:rsidRDefault="00000000" w:rsidRPr="00000000" w14:paraId="00000094">
            <w:pPr>
              <w:pageBreakBefore w:val="0"/>
              <w:tabs>
                <w:tab w:val="left" w:leader="none" w:pos="6950"/>
              </w:tabs>
              <w:rPr/>
            </w:pPr>
            <w:r w:rsidDel="00000000" w:rsidR="00000000" w:rsidRPr="00000000">
              <w:rPr>
                <w:rtl w:val="0"/>
              </w:rPr>
              <w:t xml:space="preserve">5307608254</w:t>
            </w:r>
          </w:p>
        </w:tc>
      </w:tr>
      <w:tr>
        <w:trPr>
          <w:cantSplit w:val="0"/>
          <w:trHeight w:val="576" w:hRule="atLeast"/>
          <w:tblHeader w:val="0"/>
        </w:trPr>
        <w:tc>
          <w:tcPr/>
          <w:p w:rsidR="00000000" w:rsidDel="00000000" w:rsidP="00000000" w:rsidRDefault="00000000" w:rsidRPr="00000000" w14:paraId="00000095">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6">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7">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8">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9">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A">
            <w:pPr>
              <w:pageBreakBefore w:val="0"/>
              <w:tabs>
                <w:tab w:val="left" w:leader="none" w:pos="6950"/>
              </w:tabs>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B">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C">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D">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E">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9F">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0">
            <w:pPr>
              <w:pageBreakBefore w:val="0"/>
              <w:tabs>
                <w:tab w:val="left" w:leader="none" w:pos="6950"/>
              </w:tabs>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1">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2">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3">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4">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5">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6">
            <w:pPr>
              <w:pageBreakBefore w:val="0"/>
              <w:tabs>
                <w:tab w:val="left" w:leader="none" w:pos="6950"/>
              </w:tabs>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7">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8">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9">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A">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B">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C">
            <w:pPr>
              <w:pageBreakBefore w:val="0"/>
              <w:tabs>
                <w:tab w:val="left" w:leader="none" w:pos="6950"/>
              </w:tabs>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D">
            <w:pPr>
              <w:pageBreakBefore w:val="0"/>
              <w:tabs>
                <w:tab w:val="left" w:leader="none" w:pos="6950"/>
              </w:tabs>
              <w:rPr/>
            </w:pPr>
            <w:r w:rsidDel="00000000" w:rsidR="00000000" w:rsidRPr="00000000">
              <w:rPr>
                <w:rtl w:val="0"/>
              </w:rPr>
            </w:r>
          </w:p>
          <w:p w:rsidR="00000000" w:rsidDel="00000000" w:rsidP="00000000" w:rsidRDefault="00000000" w:rsidRPr="00000000" w14:paraId="000000AE">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AF">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0">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1">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2">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3">
            <w:pPr>
              <w:pageBreakBefore w:val="0"/>
              <w:tabs>
                <w:tab w:val="left" w:leader="none" w:pos="6950"/>
              </w:tabs>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4">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5">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6">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7">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8">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9">
            <w:pPr>
              <w:pageBreakBefore w:val="0"/>
              <w:tabs>
                <w:tab w:val="left" w:leader="none" w:pos="6950"/>
              </w:tabs>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A">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B">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C">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D">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E">
            <w:pPr>
              <w:pageBreakBefore w:val="0"/>
              <w:tabs>
                <w:tab w:val="left" w:leader="none" w:pos="6950"/>
              </w:tabs>
              <w:rPr/>
            </w:pPr>
            <w:r w:rsidDel="00000000" w:rsidR="00000000" w:rsidRPr="00000000">
              <w:rPr>
                <w:rtl w:val="0"/>
              </w:rPr>
            </w:r>
          </w:p>
        </w:tc>
        <w:tc>
          <w:tcPr/>
          <w:p w:rsidR="00000000" w:rsidDel="00000000" w:rsidP="00000000" w:rsidRDefault="00000000" w:rsidRPr="00000000" w14:paraId="000000BF">
            <w:pPr>
              <w:pageBreakBefore w:val="0"/>
              <w:tabs>
                <w:tab w:val="left" w:leader="none" w:pos="6950"/>
              </w:tabs>
              <w:rPr/>
            </w:pPr>
            <w:r w:rsidDel="00000000" w:rsidR="00000000" w:rsidRPr="00000000">
              <w:rPr>
                <w:rtl w:val="0"/>
              </w:rPr>
            </w:r>
          </w:p>
        </w:tc>
      </w:tr>
    </w:tbl>
    <w:p w:rsidR="00000000" w:rsidDel="00000000" w:rsidP="00000000" w:rsidRDefault="00000000" w:rsidRPr="00000000" w14:paraId="000000C0">
      <w:pPr>
        <w:pageBreakBefore w:val="0"/>
        <w:tabs>
          <w:tab w:val="left" w:leader="none" w:pos="6950"/>
        </w:tabs>
        <w:rPr/>
      </w:pPr>
      <w:r w:rsidDel="00000000" w:rsidR="00000000" w:rsidRPr="00000000">
        <w:rPr>
          <w:rtl w:val="0"/>
        </w:rPr>
      </w:r>
    </w:p>
    <w:sectPr>
      <w:type w:val="continuous"/>
      <w:pgSz w:h="15840" w:w="12240" w:orient="portrait"/>
      <w:pgMar w:bottom="900" w:top="540" w:left="1080" w:right="8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Times New Roman"/>
  <w:font w:name="Symbol"/>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4286250</wp:posOffset>
          </wp:positionH>
          <wp:positionV relativeFrom="paragraph">
            <wp:posOffset>0</wp:posOffset>
          </wp:positionV>
          <wp:extent cx="2286000" cy="420624"/>
          <wp:effectExtent b="0" l="0" r="0" t="0"/>
          <wp:wrapNone/>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86000" cy="420624"/>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3">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4">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5">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6">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7">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8">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9">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0">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1">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2">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3">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4">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5">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6">
    <w:lvl w:ilvl="0">
      <w:start w:val="1"/>
      <w:numFmt w:val="bullet"/>
      <w:lvlText w:val="🗷"/>
      <w:lvlJc w:val="left"/>
      <w:pPr>
        <w:ind w:left="835" w:hanging="360"/>
      </w:pPr>
      <w:rPr>
        <w:rFonts w:ascii="Noto Sans Symbols" w:cs="Noto Sans Symbols" w:eastAsia="Noto Sans Symbols" w:hAnsi="Noto Sans Symbols"/>
      </w:rPr>
    </w:lvl>
    <w:lvl w:ilvl="1">
      <w:start w:val="1"/>
      <w:numFmt w:val="bullet"/>
      <w:lvlText w:val="o"/>
      <w:lvlJc w:val="left"/>
      <w:pPr>
        <w:ind w:left="1555" w:hanging="360"/>
      </w:pPr>
      <w:rPr>
        <w:rFonts w:ascii="Courier New" w:cs="Courier New" w:eastAsia="Courier New" w:hAnsi="Courier New"/>
      </w:rPr>
    </w:lvl>
    <w:lvl w:ilvl="2">
      <w:start w:val="1"/>
      <w:numFmt w:val="bullet"/>
      <w:lvlText w:val="▪"/>
      <w:lvlJc w:val="left"/>
      <w:pPr>
        <w:ind w:left="2275" w:hanging="360"/>
      </w:pPr>
      <w:rPr>
        <w:rFonts w:ascii="Noto Sans Symbols" w:cs="Noto Sans Symbols" w:eastAsia="Noto Sans Symbols" w:hAnsi="Noto Sans Symbols"/>
      </w:rPr>
    </w:lvl>
    <w:lvl w:ilvl="3">
      <w:start w:val="1"/>
      <w:numFmt w:val="bullet"/>
      <w:lvlText w:val="●"/>
      <w:lvlJc w:val="left"/>
      <w:pPr>
        <w:ind w:left="2995" w:hanging="360"/>
      </w:pPr>
      <w:rPr>
        <w:rFonts w:ascii="Noto Sans Symbols" w:cs="Noto Sans Symbols" w:eastAsia="Noto Sans Symbols" w:hAnsi="Noto Sans Symbols"/>
      </w:rPr>
    </w:lvl>
    <w:lvl w:ilvl="4">
      <w:start w:val="1"/>
      <w:numFmt w:val="bullet"/>
      <w:lvlText w:val="o"/>
      <w:lvlJc w:val="left"/>
      <w:pPr>
        <w:ind w:left="3715" w:hanging="360"/>
      </w:pPr>
      <w:rPr>
        <w:rFonts w:ascii="Courier New" w:cs="Courier New" w:eastAsia="Courier New" w:hAnsi="Courier New"/>
      </w:rPr>
    </w:lvl>
    <w:lvl w:ilvl="5">
      <w:start w:val="1"/>
      <w:numFmt w:val="bullet"/>
      <w:lvlText w:val="▪"/>
      <w:lvlJc w:val="left"/>
      <w:pPr>
        <w:ind w:left="4435" w:hanging="360"/>
      </w:pPr>
      <w:rPr>
        <w:rFonts w:ascii="Noto Sans Symbols" w:cs="Noto Sans Symbols" w:eastAsia="Noto Sans Symbols" w:hAnsi="Noto Sans Symbols"/>
      </w:rPr>
    </w:lvl>
    <w:lvl w:ilvl="6">
      <w:start w:val="1"/>
      <w:numFmt w:val="bullet"/>
      <w:lvlText w:val="●"/>
      <w:lvlJc w:val="left"/>
      <w:pPr>
        <w:ind w:left="5155" w:hanging="360"/>
      </w:pPr>
      <w:rPr>
        <w:rFonts w:ascii="Noto Sans Symbols" w:cs="Noto Sans Symbols" w:eastAsia="Noto Sans Symbols" w:hAnsi="Noto Sans Symbols"/>
      </w:rPr>
    </w:lvl>
    <w:lvl w:ilvl="7">
      <w:start w:val="1"/>
      <w:numFmt w:val="bullet"/>
      <w:lvlText w:val="o"/>
      <w:lvlJc w:val="left"/>
      <w:pPr>
        <w:ind w:left="5875" w:hanging="360"/>
      </w:pPr>
      <w:rPr>
        <w:rFonts w:ascii="Courier New" w:cs="Courier New" w:eastAsia="Courier New" w:hAnsi="Courier New"/>
      </w:rPr>
    </w:lvl>
    <w:lvl w:ilvl="8">
      <w:start w:val="1"/>
      <w:numFmt w:val="bullet"/>
      <w:lvlText w:val="▪"/>
      <w:lvlJc w:val="left"/>
      <w:pPr>
        <w:ind w:left="6595" w:hanging="360"/>
      </w:pPr>
      <w:rPr>
        <w:rFonts w:ascii="Noto Sans Symbols" w:cs="Noto Sans Symbols" w:eastAsia="Noto Sans Symbols" w:hAnsi="Noto Sans Symbols"/>
      </w:rPr>
    </w:lvl>
  </w:abstractNum>
  <w:abstractNum w:abstractNumId="17">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8">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abstractNum w:abstractNumId="19">
    <w:lvl w:ilvl="0">
      <w:start w:val="1"/>
      <w:numFmt w:val="bullet"/>
      <w:lvlText w:val="🗷"/>
      <w:lvlJc w:val="left"/>
      <w:pPr>
        <w:ind w:left="475" w:hanging="360"/>
      </w:pPr>
      <w:rPr>
        <w:rFonts w:ascii="Noto Sans Symbols" w:cs="Noto Sans Symbols" w:eastAsia="Noto Sans Symbols" w:hAnsi="Noto Sans Symbols"/>
      </w:rPr>
    </w:lvl>
    <w:lvl w:ilvl="1">
      <w:start w:val="1"/>
      <w:numFmt w:val="bullet"/>
      <w:lvlText w:val="o"/>
      <w:lvlJc w:val="left"/>
      <w:pPr>
        <w:ind w:left="1195" w:hanging="360"/>
      </w:pPr>
      <w:rPr>
        <w:rFonts w:ascii="Courier New" w:cs="Courier New" w:eastAsia="Courier New" w:hAnsi="Courier New"/>
      </w:rPr>
    </w:lvl>
    <w:lvl w:ilvl="2">
      <w:start w:val="1"/>
      <w:numFmt w:val="bullet"/>
      <w:lvlText w:val="▪"/>
      <w:lvlJc w:val="left"/>
      <w:pPr>
        <w:ind w:left="1915" w:hanging="360"/>
      </w:pPr>
      <w:rPr>
        <w:rFonts w:ascii="Noto Sans Symbols" w:cs="Noto Sans Symbols" w:eastAsia="Noto Sans Symbols" w:hAnsi="Noto Sans Symbols"/>
      </w:rPr>
    </w:lvl>
    <w:lvl w:ilvl="3">
      <w:start w:val="1"/>
      <w:numFmt w:val="bullet"/>
      <w:lvlText w:val="●"/>
      <w:lvlJc w:val="left"/>
      <w:pPr>
        <w:ind w:left="2635" w:hanging="360"/>
      </w:pPr>
      <w:rPr>
        <w:rFonts w:ascii="Noto Sans Symbols" w:cs="Noto Sans Symbols" w:eastAsia="Noto Sans Symbols" w:hAnsi="Noto Sans Symbols"/>
      </w:rPr>
    </w:lvl>
    <w:lvl w:ilvl="4">
      <w:start w:val="1"/>
      <w:numFmt w:val="bullet"/>
      <w:lvlText w:val="o"/>
      <w:lvlJc w:val="left"/>
      <w:pPr>
        <w:ind w:left="3355" w:hanging="360"/>
      </w:pPr>
      <w:rPr>
        <w:rFonts w:ascii="Courier New" w:cs="Courier New" w:eastAsia="Courier New" w:hAnsi="Courier New"/>
      </w:rPr>
    </w:lvl>
    <w:lvl w:ilvl="5">
      <w:start w:val="1"/>
      <w:numFmt w:val="bullet"/>
      <w:lvlText w:val="▪"/>
      <w:lvlJc w:val="left"/>
      <w:pPr>
        <w:ind w:left="4075" w:hanging="360"/>
      </w:pPr>
      <w:rPr>
        <w:rFonts w:ascii="Noto Sans Symbols" w:cs="Noto Sans Symbols" w:eastAsia="Noto Sans Symbols" w:hAnsi="Noto Sans Symbols"/>
      </w:rPr>
    </w:lvl>
    <w:lvl w:ilvl="6">
      <w:start w:val="1"/>
      <w:numFmt w:val="bullet"/>
      <w:lvlText w:val="●"/>
      <w:lvlJc w:val="left"/>
      <w:pPr>
        <w:ind w:left="4795" w:hanging="360"/>
      </w:pPr>
      <w:rPr>
        <w:rFonts w:ascii="Noto Sans Symbols" w:cs="Noto Sans Symbols" w:eastAsia="Noto Sans Symbols" w:hAnsi="Noto Sans Symbols"/>
      </w:rPr>
    </w:lvl>
    <w:lvl w:ilvl="7">
      <w:start w:val="1"/>
      <w:numFmt w:val="bullet"/>
      <w:lvlText w:val="o"/>
      <w:lvlJc w:val="left"/>
      <w:pPr>
        <w:ind w:left="5515" w:hanging="360"/>
      </w:pPr>
      <w:rPr>
        <w:rFonts w:ascii="Courier New" w:cs="Courier New" w:eastAsia="Courier New" w:hAnsi="Courier New"/>
      </w:rPr>
    </w:lvl>
    <w:lvl w:ilvl="8">
      <w:start w:val="1"/>
      <w:numFmt w:val="bullet"/>
      <w:lvlText w:val="▪"/>
      <w:lvlJc w:val="left"/>
      <w:pPr>
        <w:ind w:left="623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1380" w:right="930"/>
      <w:jc w:val="center"/>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autoSpaceDE w:val="0"/>
      <w:autoSpaceDN w:val="0"/>
      <w:adjustRightInd w:val="0"/>
      <w:spacing w:after="0" w:line="240" w:lineRule="auto"/>
    </w:pPr>
    <w:rPr>
      <w:rFonts w:ascii="Arial" w:cs="Arial" w:hAnsi="Arial"/>
    </w:rPr>
  </w:style>
  <w:style w:type="paragraph" w:styleId="Heading1">
    <w:name w:val="heading 1"/>
    <w:basedOn w:val="Normal"/>
    <w:next w:val="Normal"/>
    <w:link w:val="Heading1Char"/>
    <w:uiPriority w:val="1"/>
    <w:qFormat w:val="1"/>
    <w:pPr>
      <w:ind w:left="1380" w:right="930"/>
      <w:jc w:val="center"/>
      <w:outlineLvl w:val="0"/>
    </w:pPr>
    <w:rPr>
      <w:b w:val="1"/>
      <w:bCs w:val="1"/>
      <w:sz w:val="28"/>
      <w:szCs w:val="28"/>
    </w:rPr>
  </w:style>
  <w:style w:type="paragraph" w:styleId="Heading3">
    <w:name w:val="heading 3"/>
    <w:basedOn w:val="Normal"/>
    <w:next w:val="Normal"/>
    <w:link w:val="Heading3Char"/>
    <w:uiPriority w:val="9"/>
    <w:semiHidden w:val="1"/>
    <w:unhideWhenUsed w:val="1"/>
    <w:qFormat w:val="1"/>
    <w:rsid w:val="004F22AF"/>
    <w:pPr>
      <w:keepNext w:val="1"/>
      <w:spacing w:after="60" w:before="240"/>
      <w:outlineLvl w:val="2"/>
    </w:pPr>
    <w:rPr>
      <w:rFonts w:cs="Times New Roman" w:asciiTheme="majorHAnsi" w:eastAsiaTheme="majorEastAsia" w:hAnsiTheme="majorHAnsi"/>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Pr>
      <w:rFonts w:cs="Times New Roman" w:asciiTheme="majorHAnsi" w:eastAsiaTheme="majorEastAsia" w:hAnsiTheme="majorHAnsi"/>
      <w:b w:val="1"/>
      <w:bCs w:val="1"/>
      <w:kern w:val="32"/>
      <w:sz w:val="32"/>
      <w:szCs w:val="32"/>
    </w:rPr>
  </w:style>
  <w:style w:type="character" w:styleId="Heading3Char" w:customStyle="1">
    <w:name w:val="Heading 3 Char"/>
    <w:basedOn w:val="DefaultParagraphFont"/>
    <w:link w:val="Heading3"/>
    <w:uiPriority w:val="9"/>
    <w:semiHidden w:val="1"/>
    <w:locked w:val="1"/>
    <w:rsid w:val="004F22AF"/>
    <w:rPr>
      <w:rFonts w:cs="Times New Roman" w:asciiTheme="majorHAnsi" w:eastAsiaTheme="majorEastAsia" w:hAnsiTheme="majorHAnsi"/>
      <w:b w:val="1"/>
      <w:bCs w:val="1"/>
      <w:sz w:val="26"/>
      <w:szCs w:val="26"/>
    </w:rPr>
  </w:style>
  <w:style w:type="paragraph" w:styleId="BodyText">
    <w:name w:val="Body Text"/>
    <w:basedOn w:val="Normal"/>
    <w:link w:val="BodyTextChar"/>
    <w:uiPriority w:val="1"/>
    <w:qFormat w:val="1"/>
    <w:rPr>
      <w:sz w:val="18"/>
      <w:szCs w:val="18"/>
    </w:rPr>
  </w:style>
  <w:style w:type="character" w:styleId="BodyTextChar" w:customStyle="1">
    <w:name w:val="Body Text Char"/>
    <w:basedOn w:val="DefaultParagraphFont"/>
    <w:link w:val="BodyText"/>
    <w:uiPriority w:val="99"/>
    <w:semiHidden w:val="1"/>
    <w:locked w:val="1"/>
    <w:rPr>
      <w:rFonts w:ascii="Arial" w:cs="Arial" w:hAnsi="Arial"/>
    </w:rPr>
  </w:style>
  <w:style w:type="paragraph" w:styleId="ListParagraph">
    <w:name w:val="List Paragraph"/>
    <w:basedOn w:val="Normal"/>
    <w:uiPriority w:val="1"/>
    <w:qFormat w:val="1"/>
    <w:rPr>
      <w:rFonts w:ascii="Times New Roman" w:cs="Times New Roman" w:hAnsi="Times New Roman"/>
      <w:sz w:val="24"/>
      <w:szCs w:val="24"/>
    </w:rPr>
  </w:style>
  <w:style w:type="paragraph" w:styleId="TableParagraph" w:customStyle="1">
    <w:name w:val="Table Paragraph"/>
    <w:basedOn w:val="Normal"/>
    <w:uiPriority w:val="1"/>
    <w:qFormat w:val="1"/>
    <w:pPr>
      <w:ind w:left="115"/>
    </w:pPr>
    <w:rPr>
      <w:sz w:val="24"/>
      <w:szCs w:val="24"/>
    </w:rPr>
  </w:style>
  <w:style w:type="character" w:styleId="Hyperlink">
    <w:name w:val="Hyperlink"/>
    <w:basedOn w:val="DefaultParagraphFont"/>
    <w:uiPriority w:val="99"/>
    <w:unhideWhenUsed w:val="1"/>
    <w:rsid w:val="00B07442"/>
    <w:rPr>
      <w:color w:val="0000ff"/>
      <w:u w:val="single"/>
    </w:rPr>
  </w:style>
  <w:style w:type="paragraph" w:styleId="Header">
    <w:name w:val="header"/>
    <w:basedOn w:val="Normal"/>
    <w:link w:val="HeaderChar"/>
    <w:uiPriority w:val="99"/>
    <w:unhideWhenUsed w:val="1"/>
    <w:rsid w:val="00B07442"/>
    <w:pPr>
      <w:tabs>
        <w:tab w:val="center" w:pos="4680"/>
        <w:tab w:val="right" w:pos="9360"/>
      </w:tabs>
    </w:pPr>
  </w:style>
  <w:style w:type="character" w:styleId="HeaderChar" w:customStyle="1">
    <w:name w:val="Header Char"/>
    <w:basedOn w:val="DefaultParagraphFont"/>
    <w:link w:val="Header"/>
    <w:uiPriority w:val="99"/>
    <w:locked w:val="1"/>
    <w:rsid w:val="00B07442"/>
    <w:rPr>
      <w:rFonts w:ascii="Arial" w:cs="Arial" w:hAnsi="Arial"/>
    </w:rPr>
  </w:style>
  <w:style w:type="paragraph" w:styleId="Footer">
    <w:name w:val="footer"/>
    <w:basedOn w:val="Normal"/>
    <w:link w:val="FooterChar"/>
    <w:uiPriority w:val="99"/>
    <w:unhideWhenUsed w:val="1"/>
    <w:rsid w:val="00B07442"/>
    <w:pPr>
      <w:tabs>
        <w:tab w:val="center" w:pos="4680"/>
        <w:tab w:val="right" w:pos="9360"/>
      </w:tabs>
    </w:pPr>
  </w:style>
  <w:style w:type="character" w:styleId="FooterChar" w:customStyle="1">
    <w:name w:val="Footer Char"/>
    <w:basedOn w:val="DefaultParagraphFont"/>
    <w:link w:val="Footer"/>
    <w:uiPriority w:val="99"/>
    <w:locked w:val="1"/>
    <w:rsid w:val="00B07442"/>
    <w:rPr>
      <w:rFonts w:ascii="Arial" w:cs="Arial" w:hAnsi="Arial"/>
    </w:rPr>
  </w:style>
  <w:style w:type="character" w:styleId="FollowedHyperlink">
    <w:name w:val="FollowedHyperlink"/>
    <w:basedOn w:val="DefaultParagraphFont"/>
    <w:uiPriority w:val="99"/>
    <w:semiHidden w:val="1"/>
    <w:unhideWhenUsed w:val="1"/>
    <w:rsid w:val="00E97DA6"/>
    <w:rPr>
      <w:color w:val="954f72" w:themeColor="followedHyperlink"/>
      <w:u w:val="single"/>
    </w:rPr>
  </w:style>
  <w:style w:type="table" w:styleId="TableGrid">
    <w:name w:val="Table Grid"/>
    <w:basedOn w:val="TableNormal"/>
    <w:uiPriority w:val="39"/>
    <w:rsid w:val="001840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hs.berkeley.edu/" TargetMode="External"/><Relationship Id="rId11" Type="http://schemas.openxmlformats.org/officeDocument/2006/relationships/hyperlink" Target="https://jwas.ehs.berkeley.edu/lmsi" TargetMode="External"/><Relationship Id="rId22" Type="http://schemas.openxmlformats.org/officeDocument/2006/relationships/image" Target="media/image1.png"/><Relationship Id="rId10" Type="http://schemas.openxmlformats.org/officeDocument/2006/relationships/hyperlink" Target="https://globalengagement.berkeley.edu/faculty-staff/international-travel-resources" TargetMode="External"/><Relationship Id="rId21" Type="http://schemas.openxmlformats.org/officeDocument/2006/relationships/hyperlink" Target="http://ehs.berkeley.edu/field-safety" TargetMode="External"/><Relationship Id="rId13" Type="http://schemas.openxmlformats.org/officeDocument/2006/relationships/hyperlink" Target="about:blank" TargetMode="External"/><Relationship Id="rId12" Type="http://schemas.openxmlformats.org/officeDocument/2006/relationships/hyperlink" Target="https://www.cdc.gov/coronavirus/2019-ncov/prevent-getting-sick/index.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hs.ucop.edu/away/#/" TargetMode="External"/><Relationship Id="rId15" Type="http://schemas.openxmlformats.org/officeDocument/2006/relationships/hyperlink" Target="https://ehs.berkeley.edu/field-safety/how-do-i-create-field-safety-plan" TargetMode="External"/><Relationship Id="rId14" Type="http://schemas.openxmlformats.org/officeDocument/2006/relationships/footer" Target="footer1.xml"/><Relationship Id="rId17" Type="http://schemas.openxmlformats.org/officeDocument/2006/relationships/hyperlink" Target="https://news.berkeley.edu/coronavirus/" TargetMode="External"/><Relationship Id="rId16" Type="http://schemas.openxmlformats.org/officeDocument/2006/relationships/hyperlink" Target="https://www.cdc.gov/coronavirus/2019-ncov/symptoms-testing/symptoms.html" TargetMode="External"/><Relationship Id="rId5" Type="http://schemas.openxmlformats.org/officeDocument/2006/relationships/styles" Target="styles.xml"/><Relationship Id="rId19" Type="http://schemas.openxmlformats.org/officeDocument/2006/relationships/hyperlink" Target="http://ehs.berkeley.edu/" TargetMode="External"/><Relationship Id="rId6" Type="http://schemas.openxmlformats.org/officeDocument/2006/relationships/customXml" Target="../customXML/item1.xml"/><Relationship Id="rId18" Type="http://schemas.openxmlformats.org/officeDocument/2006/relationships/hyperlink" Target="http://www.uhs.berkeley.edu/%20" TargetMode="External"/><Relationship Id="rId7" Type="http://schemas.openxmlformats.org/officeDocument/2006/relationships/image" Target="media/image3.png"/><Relationship Id="rId8" Type="http://schemas.openxmlformats.org/officeDocument/2006/relationships/hyperlink" Target="https://docs.google.com/forms/d/e/1FAIpQLSe2aIk6XD_V6eH-LTGaJ_i_f5glcmcpe1Ab8sDGisnw5yWnPw/view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aYsr6t/9VLLH+v4yNKkexlgr1Q==">AMUW2mWy5lm8FUB1b14c0b29Jy9pzYsGwZ/9BrYpiu5FHK/Z/uI36P1k6JCZ/FAWTYrXWYqHXRhdBlNkE+YVZVthTL47uo3O7r9vsRtS1x9950/2MW6Fv3twQirtiZeugy0ITVONMb8n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2020-06-08T22:47:00Z</dcterms:created>
  <dc:creator>Jesse R. Bickley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11 for Word</vt:lpwstr>
  </property>
</Properties>
</file>