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AAAB" w14:textId="4F5F99DC" w:rsidR="00213415" w:rsidRPr="002444A5" w:rsidRDefault="002444A5" w:rsidP="00227F2E">
      <w:pPr>
        <w:spacing w:line="480" w:lineRule="auto"/>
        <w:jc w:val="center"/>
        <w:rPr>
          <w:b/>
          <w:bCs/>
        </w:rPr>
      </w:pPr>
      <w:r w:rsidRPr="002444A5">
        <w:rPr>
          <w:b/>
          <w:bCs/>
        </w:rPr>
        <w:t>Why do the effects of temperature on nestling growth and survival vary across land uses?</w:t>
      </w:r>
    </w:p>
    <w:p w14:paraId="53916741" w14:textId="42814DE7" w:rsidR="002444A5" w:rsidRDefault="002444A5" w:rsidP="002444A5">
      <w:pPr>
        <w:spacing w:line="480" w:lineRule="auto"/>
        <w:ind w:firstLine="720"/>
      </w:pPr>
      <w:r>
        <w:t>The interactive effects of climate change and habitat conversion to agriculture constitute the primary threat to terrestrial wildlife</w:t>
      </w:r>
      <w:r w:rsidR="00DA502A">
        <w:t>.</w:t>
      </w:r>
      <w:r w:rsidR="006C3BCF">
        <w:fldChar w:fldCharType="begin"/>
      </w:r>
      <w:r w:rsidR="006C3BCF">
        <w:instrText xml:space="preserve"> ADDIN ZOTERO_ITEM CSL_CITATION {"citationID":"K9u7EAyG","properties":{"formattedCitation":"\\super 1\\nosupersub{}","plainCitation":"1","noteIndex":0},"citationItems":[{"id":1568,"uris":["http://zotero.org/groups/2527308/items/8D8BXMHQ"],"uri":["http://zotero.org/groups/2527308/items/8D8BXMHQ"],"itemData":{"id":1568,"type":"article-journal","container-title":"Proceedings of the Royal Society of London. Series B: Biological Sciences","DOI":"10.1098/rspb.2002.2246","ISSN":"0962-8452, 1471-2954","issue":"1514","journalAbbreviation":"Proc. R. Soc. Lond. B","language":"en","page":"467-473","source":"DOI.org (Crossref)","title":"Climate change and habitat destruction: a deadly anthropogenic cocktail","title-short":"Climate change and habitat destruction","volume":"270","author":[{"family":"Travis","given":"J. M. J."}],"issued":{"date-parts":[["2003",3,7]]}}}],"schema":"https://github.com/citation-style-language/schema/raw/master/csl-citation.json"} </w:instrText>
      </w:r>
      <w:r w:rsidR="006C3BCF">
        <w:fldChar w:fldCharType="separate"/>
      </w:r>
      <w:r w:rsidR="006C3BCF" w:rsidRPr="006C3BCF">
        <w:rPr>
          <w:rFonts w:cs="Times"/>
          <w:vertAlign w:val="superscript"/>
        </w:rPr>
        <w:t>1</w:t>
      </w:r>
      <w:r w:rsidR="006C3BCF">
        <w:fldChar w:fldCharType="end"/>
      </w:r>
      <w:r>
        <w:t xml:space="preserve"> </w:t>
      </w:r>
      <w:r w:rsidR="00C56533">
        <w:t xml:space="preserve">As </w:t>
      </w:r>
      <w:r>
        <w:t>climate change progresses, human-dominated landscapes may expose birds to new temperature extremes because converting forested land to agriculture removes trees that insulate the understory from ambient temperature</w:t>
      </w:r>
      <w:r w:rsidR="00DA502A">
        <w:t>.</w:t>
      </w:r>
      <w:r w:rsidR="006C3BCF">
        <w:fldChar w:fldCharType="begin"/>
      </w:r>
      <w:r w:rsidR="006C3BCF">
        <w:instrText xml:space="preserve"> ADDIN ZOTERO_ITEM CSL_CITATION {"citationID":"e4AGqVOQ","properties":{"formattedCitation":"\\super 2,3\\nosupersub{}","plainCitation":"2,3","noteIndex":0},"citationItems":[{"id":1548,"uris":["http://zotero.org/groups/2527308/items/DTG65N2D"],"uri":["http://zotero.org/groups/2527308/items/DTG65N2D"],"itemData":{"id":1548,"type":"article-journal","container-title":"Oikos","DOI":"10.1111/j.1600-0706.2010.18270.x","ISSN":"00301299","issue":"1","journalAbbreviation":"Oikos","language":"en","page":"1-8","source":"DOI.org (Crossref)","title":"Habitat microclimates drive fine-scale variation in extreme temperatures","volume":"120","author":[{"family":"Suggitt","given":"Andrew J."},{"family":"Gillingham","given":"Phillipa K."},{"family":"Hill","given":"Jane K."},{"family":"Huntley","given":"Brian"},{"family":"Kunin","given":"William E."},{"family":"Roy","given":"David B."},{"family":"Thomas","given":"Chris D."}],"issued":{"date-parts":[["2011",1]]}}},{"id":1575,"uris":["http://zotero.org/groups/2527308/items/CYWLJND3"],"uri":["http://zotero.org/groups/2527308/items/CYWLJND3"],"itemData":{"id":1575,"type":"article-journal","container-title":"Nature Ecology &amp; Evolution","DOI":"10.1038/s41559-019-0842-1","ISSN":"2397-334X","issue":"5","journalAbbreviation":"Nat Ecol Evol","language":"en","page":"744-749","source":"DOI.org (Crossref)","title":"Global buffering of temperatures under forest canopies","volume":"3","author":[{"family":"De Frenne","given":"Pieter"},{"family":"Zellweger","given":"Florian"},{"family":"Rodríguez-Sánchez","given":"Francisco"},{"family":"Scheffers","given":"Brett R."},{"family":"Hylander","given":"Kristoffer"},{"family":"Luoto","given":"Miska"},{"family":"Vellend","given":"Mark"},{"family":"Verheyen","given":"Kris"},{"family":"Lenoir","given":"Jonathan"}],"issued":{"date-parts":[["2019",5]]}}}],"schema":"https://github.com/citation-style-language/schema/raw/master/csl-citation.json"} </w:instrText>
      </w:r>
      <w:r w:rsidR="006C3BCF">
        <w:fldChar w:fldCharType="separate"/>
      </w:r>
      <w:r w:rsidR="006C3BCF" w:rsidRPr="006C3BCF">
        <w:rPr>
          <w:rFonts w:cs="Times"/>
          <w:vertAlign w:val="superscript"/>
        </w:rPr>
        <w:t>2,3</w:t>
      </w:r>
      <w:r w:rsidR="006C3BCF">
        <w:fldChar w:fldCharType="end"/>
      </w:r>
      <w:r>
        <w:t xml:space="preserve"> </w:t>
      </w:r>
      <w:r w:rsidR="00C52B27">
        <w:t>In</w:t>
      </w:r>
      <w:r>
        <w:t xml:space="preserve"> </w:t>
      </w:r>
      <w:r w:rsidR="00E7365E">
        <w:t>hot ecosystems</w:t>
      </w:r>
      <w:r>
        <w:t>, climate change-driven temperature spikes often induce nest failure and drive population collapse</w:t>
      </w:r>
      <w:r w:rsidR="00DA502A">
        <w:t>.</w:t>
      </w:r>
      <w:r w:rsidR="006C3BCF">
        <w:fldChar w:fldCharType="begin"/>
      </w:r>
      <w:r w:rsidR="006C3BCF">
        <w:instrText xml:space="preserve"> ADDIN ZOTERO_ITEM CSL_CITATION {"citationID":"zyMrxfCd","properties":{"formattedCitation":"\\super 5\\nosupersub{}","plainCitation":"5","noteIndex":0},"citationItems":[{"id":1547,"uris":["http://zotero.org/groups/2527308/items/PGEX96JJ"],"uri":["http://zotero.org/groups/2527308/items/PGEX96JJ"],"itemData":{"id":1547,"type":"article-journal","abstract":"Species respond to climate change in two dominant ways: range shifts in latitude or elevation and phenological shifts of life-history events. Range shifts are widely viewed as the principal mechanism for thermal niche tracking, and phenological shifts in birds and other consumers are widely understood as the principal mechanism for tracking temporal peaks in biotic resources. However, phenological and range shifts each present simultaneous opportunities for temperature and resource tracking, although the possible role for phenological shifts in thermal niche tracking has been widely overlooked. Using a canonical dataset of Californian bird surveys and a detectability-based approach for quantifying phenological signal, we show that Californian bird communities advanced their breeding phenology by 5–12 d over the last century. This phenological shift might track shifting resource peaks, but it also reduces average temperatures during nesting by over 1 °C, approximately the same magnitude that average temperatures have warmed over the same period. We further show that early-summer temperature anomalies are correlated with nest success in a continental-scale database of bird nests, suggesting avian thermal niches might be broadly limited by temperatures during nesting. These findings outline an adaptation surface where geographic range and breeding phenology respond jointly to constraints imposed by temperature and resource phenology. By stabilizing temperatures during nesting, phenological shifts might mitigate the need for range shifts. Global change ecology will benefit from further exploring phenological adjustment as a potential mechanism for thermal niche tracking and vice versa.","container-title":"Proceedings of the National Academy of Sciences","DOI":"10.1073/pnas.1705897114","ISSN":"0027-8424, 1091-6490","issue":"49","journalAbbreviation":"Proc Natl Acad Sci USA","language":"en","page":"12976-12981","source":"DOI.org (Crossref)","title":"Phenological shifts conserve thermal niches in North American birds and reshape expectations for climate-driven range shifts","volume":"114","author":[{"family":"Socolar","given":"Jacob B."},{"family":"Epanchin","given":"Peter N."},{"family":"Beissinger","given":"Steven R."},{"family":"Tingley","given":"Morgan W."}],"issued":{"date-parts":[["2017",12,5]]}}}],"schema":"https://github.com/citation-style-language/schema/raw/master/csl-citation.json"} </w:instrText>
      </w:r>
      <w:r w:rsidR="006C3BCF">
        <w:fldChar w:fldCharType="separate"/>
      </w:r>
      <w:r w:rsidR="006C3BCF" w:rsidRPr="006C3BCF">
        <w:rPr>
          <w:rFonts w:cs="Times"/>
          <w:vertAlign w:val="superscript"/>
        </w:rPr>
        <w:t>5</w:t>
      </w:r>
      <w:r w:rsidR="006C3BCF">
        <w:fldChar w:fldCharType="end"/>
      </w:r>
      <w:r>
        <w:t xml:space="preserve"> </w:t>
      </w:r>
      <w:r w:rsidR="00E7365E">
        <w:t>For example, m</w:t>
      </w:r>
      <w:r w:rsidR="00DA502A">
        <w:t>y</w:t>
      </w:r>
      <w:r w:rsidR="00C56533">
        <w:t xml:space="preserve"> </w:t>
      </w:r>
      <w:r>
        <w:t xml:space="preserve">preliminary results from an analysis of Cornell University’s </w:t>
      </w:r>
      <w:proofErr w:type="spellStart"/>
      <w:r>
        <w:t>NestWatch</w:t>
      </w:r>
      <w:proofErr w:type="spellEnd"/>
      <w:r>
        <w:t xml:space="preserve"> database show that, across North America, temperature spikes lower nesting success in agriculture and urban environments.</w:t>
      </w:r>
    </w:p>
    <w:p w14:paraId="1D4ADE4C" w14:textId="5B21DAAE" w:rsidR="002444A5" w:rsidRDefault="002444A5" w:rsidP="002444A5">
      <w:pPr>
        <w:spacing w:line="480" w:lineRule="auto"/>
        <w:ind w:firstLine="720"/>
      </w:pPr>
      <w:r>
        <w:t>For t</w:t>
      </w:r>
      <w:r>
        <w:t>his</w:t>
      </w:r>
      <w:r>
        <w:t xml:space="preserve"> project, I will investigate the two main mechanisms that could underlie the </w:t>
      </w:r>
      <w:r w:rsidR="00E7365E">
        <w:t>consequences</w:t>
      </w:r>
      <w:r w:rsidR="00905B75">
        <w:t xml:space="preserve"> of temperature spikes</w:t>
      </w:r>
      <w:r>
        <w:t xml:space="preserve">: direct thermoregulation challenge for nestlings and food availability. Nestlings can survive heat waves by using more energy to thermoregulate, but </w:t>
      </w:r>
      <w:r>
        <w:t>this</w:t>
      </w:r>
      <w:r w:rsidR="005A200E">
        <w:t xml:space="preserve"> </w:t>
      </w:r>
      <w:r>
        <w:t>may decrease growth and lead to lower survival</w:t>
      </w:r>
      <w:r w:rsidR="00DA502A">
        <w:t>.</w:t>
      </w:r>
      <w:r w:rsidR="006C3BCF">
        <w:fldChar w:fldCharType="begin"/>
      </w:r>
      <w:r w:rsidR="006C3BCF">
        <w:instrText xml:space="preserve"> ADDIN ZOTERO_ITEM CSL_CITATION {"citationID":"NaDvc1NO","properties":{"formattedCitation":"\\super 6\\nosupersub{}","plainCitation":"6","noteIndex":0},"citationItems":[{"id":1579,"uris":["http://zotero.org/groups/2527308/items/JBIHCYBD"],"uri":["http://zotero.org/groups/2527308/items/JBIHCYBD"],"itemData":{"id":1579,"type":"article-journal","abstract":"As global climate change progresses, the occurrence of potentially disruptive climatic events such as storms are increasing in frequency, duration and intensity resulting in higher mortality and reduced reproductive success. What constitutes an extreme climatic event? First we point out that extreme climatic events in biological contexts can occur in any environment. Focusing on field and laboratory data on wild birds we propose a mechanistic approach to defining and investigating what extreme climatic events are and how animals cope with them at physiological and behavioural levels. The life cycle of birds is made up of life-history stages such as migration, breeding and moult that evolved to match a range of environmental conditions an individual might expect during the year. When environmental conditions deteriorate and deviate from the expected range then the individual must trigger coping mechanisms (emergency life-history stage) that will disrupt the temporal progression of life-history stages, but enhance survival. Using the framework of allostasis, we argue that an extreme climatic event in biological contexts can be defined as when the cumulative resources available to an individual are exceeded by the sum of its energetic costs—a state called allostatic overload. This allostatic overload triggers the emergency life-history stage that temporarily allows the individual to cease regular activities in an attempt to survive extreme conditions. We propose that glucocorticoid hormones play a major role in orchestrating coping mechanisms and are critical for enduring extreme climatic events.\n            This article is part of the themed issue ‘Behavioural, ecological and evolutionary responses to extreme climatic events’.","container-title":"Philosophical Transactions of the Royal Society B: Biological Sciences","DOI":"10.1098/rstb.2016.0140","ISSN":"0962-8436, 1471-2970","issue":"1723","journalAbbreviation":"Phil. Trans. R. Soc. B","language":"en","page":"20160140","source":"DOI.org (Crossref)","title":"How birds cope physiologically and behaviourally with extreme climatic events","volume":"372","author":[{"family":"Wingfield","given":"John C."},{"family":"Pérez","given":"Jonathan H."},{"family":"Krause","given":"Jesse S."},{"family":"Word","given":"Karen R."},{"family":"González-Gómez","given":"Paulina L."},{"family":"Lisovski","given":"Simeon"},{"family":"Chmura","given":"Helen E."}],"issued":{"date-parts":[["2017",6,19]]}}}],"schema":"https://github.com/citation-style-language/schema/raw/master/csl-citation.json"} </w:instrText>
      </w:r>
      <w:r w:rsidR="006C3BCF">
        <w:fldChar w:fldCharType="separate"/>
      </w:r>
      <w:r w:rsidR="006C3BCF" w:rsidRPr="006C3BCF">
        <w:rPr>
          <w:rFonts w:cs="Times"/>
          <w:vertAlign w:val="superscript"/>
        </w:rPr>
        <w:t>6</w:t>
      </w:r>
      <w:r w:rsidR="006C3BCF">
        <w:fldChar w:fldCharType="end"/>
      </w:r>
      <w:r>
        <w:t xml:space="preserve"> Furthermore, heat waves may reduce food provisioning to nestlings, either by forcing adults to spend more energy thermoregulating or by reducing prey availability</w:t>
      </w:r>
      <w:r w:rsidR="00DA502A">
        <w:t>.</w:t>
      </w:r>
      <w:r w:rsidR="006C3BCF">
        <w:fldChar w:fldCharType="begin"/>
      </w:r>
      <w:r w:rsidR="006C3BCF">
        <w:instrText xml:space="preserve"> ADDIN ZOTERO_ITEM CSL_CITATION {"citationID":"gSs6W8MG","properties":{"formattedCitation":"\\super 7\\nosupersub{}","plainCitation":"7","noteIndex":0},"citationItems":[{"id":1614,"uris":["http://zotero.org/groups/2527308/items/CYABRXRJ"],"uri":["http://zotero.org/groups/2527308/items/CYABRXRJ"],"itemData":{"id":1614,"type":"article-journal","abstract":"Uncertainty remains regarding the role of anthropogenic climate change in declining insect populations, partly because our understanding of biotic response to climate is often complicated by habitat loss and degradation among other compounding stressors. We addressed this challenge by integrating expert and community scientist datasets that include decades of monitoring across more than 70 locations spanning the western United States. We found a 1.6% annual reduction in the number of individual butterflies observed over the past four decades, associated in particular with warming during fall months. The pervasive declines that we report advance our understanding of climate change impacts and suggest that a new approach is needed for butterfly conservation in the region, focused on suites of species with shared habitat or host associations.","container-title":"Science","DOI":"10.1126/science.abe5585","ISSN":"0036-8075, 1095-9203","issue":"6533","journalAbbreviation":"Science","language":"en","page":"1042-1045","source":"DOI.org (Crossref)","title":"Fewer butterflies seen by community scientists across the warming and drying landscapes of the American West","volume":"371","author":[{"family":"Forister","given":"M. L."},{"family":"Halsch","given":"C. A."},{"family":"Nice","given":"C. C."},{"family":"Fordyce","given":"J. A."},{"family":"Dilts","given":"T. E."},{"family":"Oliver","given":"J. C."},{"family":"Prudic","given":"K. L."},{"family":"Shapiro","given":"A. M."},{"family":"Wilson","given":"J. K."},{"family":"Glassberg","given":"J."}],"issued":{"date-parts":[["2021",3,5]]}}}],"schema":"https://github.com/citation-style-language/schema/raw/master/csl-citation.json"} </w:instrText>
      </w:r>
      <w:r w:rsidR="006C3BCF">
        <w:fldChar w:fldCharType="separate"/>
      </w:r>
      <w:r w:rsidR="006C3BCF" w:rsidRPr="006C3BCF">
        <w:rPr>
          <w:rFonts w:cs="Times"/>
          <w:vertAlign w:val="superscript"/>
        </w:rPr>
        <w:t>7</w:t>
      </w:r>
      <w:r w:rsidR="006C3BCF">
        <w:fldChar w:fldCharType="end"/>
      </w:r>
      <w:r>
        <w:t xml:space="preserve"> Here, I propose to investigate the relative contributions of thermoregulation challenge and food provisioning to </w:t>
      </w:r>
      <w:r w:rsidR="001E56EA">
        <w:t xml:space="preserve">reduced </w:t>
      </w:r>
      <w:r>
        <w:t>nestling growth under temperature spikes across four land uses: natural open canopy (grassland), natural closed canopy (riparian forest), agricultural open canopy (row crop), and agricultural closed canopy (orchard).</w:t>
      </w:r>
      <w:r>
        <w:t xml:space="preserve"> </w:t>
      </w:r>
    </w:p>
    <w:p w14:paraId="515983BF" w14:textId="2E751C54" w:rsidR="002444A5" w:rsidRDefault="002444A5" w:rsidP="002444A5">
      <w:pPr>
        <w:spacing w:line="480" w:lineRule="auto"/>
        <w:ind w:firstLine="720"/>
      </w:pPr>
      <w:r>
        <w:t xml:space="preserve">To do so, </w:t>
      </w:r>
      <w:r>
        <w:t xml:space="preserve">I will monitor Tree Swallow and Western Bluebird nest boxes </w:t>
      </w:r>
      <w:r>
        <w:t>in these land uses</w:t>
      </w:r>
      <w:r w:rsidR="00671ADE">
        <w:t xml:space="preserve"> at</w:t>
      </w:r>
      <w:r>
        <w:t xml:space="preserve"> 12</w:t>
      </w:r>
      <w:r w:rsidR="00C52B27">
        <w:t xml:space="preserve"> sites</w:t>
      </w:r>
      <w:r>
        <w:t xml:space="preserve"> (N= 3 sites/land use * 4 land uses). </w:t>
      </w:r>
      <w:r w:rsidR="005A200E">
        <w:t>This</w:t>
      </w:r>
      <w:r w:rsidR="00C52B27">
        <w:t xml:space="preserve"> season we expect to monitor 72 nests</w:t>
      </w:r>
      <w:r w:rsidR="00E7365E">
        <w:t xml:space="preserve">. </w:t>
      </w:r>
      <w:r>
        <w:t xml:space="preserve">At each nest box, after the start of incubation, </w:t>
      </w:r>
      <w:r w:rsidR="00905B75">
        <w:t>I</w:t>
      </w:r>
      <w:r>
        <w:t xml:space="preserve"> </w:t>
      </w:r>
      <w:r w:rsidR="00AE35D2">
        <w:t>will place</w:t>
      </w:r>
      <w:r>
        <w:t xml:space="preserve"> one HOBO temperature logger outside and one inside</w:t>
      </w:r>
      <w:r>
        <w:t xml:space="preserve"> to measure nest temperature. </w:t>
      </w:r>
      <w:r>
        <w:t xml:space="preserve">To quantify nestling growth, </w:t>
      </w:r>
      <w:r w:rsidR="00905B75">
        <w:t>I</w:t>
      </w:r>
      <w:r>
        <w:t xml:space="preserve"> </w:t>
      </w:r>
      <w:r w:rsidR="00AE35D2">
        <w:t xml:space="preserve">will </w:t>
      </w:r>
      <w:r w:rsidR="00905B75">
        <w:t>measure</w:t>
      </w:r>
      <w:r>
        <w:t xml:space="preserve"> mass</w:t>
      </w:r>
      <w:r w:rsidR="00450377">
        <w:t xml:space="preserve"> and morphometrics </w:t>
      </w:r>
      <w:r>
        <w:t xml:space="preserve">of </w:t>
      </w:r>
      <w:r w:rsidR="00F77127">
        <w:t xml:space="preserve">each </w:t>
      </w:r>
      <w:r>
        <w:t xml:space="preserve">nestling three times during the nestling period and paint the toenails </w:t>
      </w:r>
      <w:r>
        <w:lastRenderedPageBreak/>
        <w:t xml:space="preserve">of the chicks to track individuals until banding. </w:t>
      </w:r>
      <w:r>
        <w:t xml:space="preserve">To quantify parental food provisioning rates, </w:t>
      </w:r>
      <w:r w:rsidR="00905B75">
        <w:t>I</w:t>
      </w:r>
      <w:r>
        <w:t xml:space="preserve"> </w:t>
      </w:r>
      <w:r w:rsidR="00AE35D2">
        <w:t xml:space="preserve">will </w:t>
      </w:r>
      <w:r>
        <w:t xml:space="preserve">use motion-activated cameras (Phillips et al. in review) that </w:t>
      </w:r>
      <w:r w:rsidR="00C56533">
        <w:t>save footage</w:t>
      </w:r>
      <w:r>
        <w:t xml:space="preserve"> 30 seconds before and after motion activation</w:t>
      </w:r>
      <w:r w:rsidR="005A200E">
        <w:t xml:space="preserve"> and </w:t>
      </w:r>
      <w:r w:rsidR="00AE35D2">
        <w:t>place</w:t>
      </w:r>
      <w:r>
        <w:t xml:space="preserve"> a camera on two boxes per site for a total of 24</w:t>
      </w:r>
      <w:r w:rsidR="00A8292A">
        <w:t xml:space="preserve">. </w:t>
      </w:r>
      <w:r w:rsidR="00F61D47">
        <w:t xml:space="preserve">I will use image recognition </w:t>
      </w:r>
      <w:r w:rsidR="009F741C">
        <w:t>software</w:t>
      </w:r>
      <w:r w:rsidR="00F61D47">
        <w:t xml:space="preserve"> to determine which videos contain footage of birds</w:t>
      </w:r>
      <w:r w:rsidR="00125548">
        <w:t xml:space="preserve"> and</w:t>
      </w:r>
      <w:r>
        <w:t xml:space="preserve"> calculate </w:t>
      </w:r>
      <w:r w:rsidR="00376374">
        <w:t>the</w:t>
      </w:r>
      <w:r>
        <w:t xml:space="preserve"> hourly feeding rate. </w:t>
      </w:r>
      <w:r w:rsidR="00E17333">
        <w:t xml:space="preserve">To measure thermoregulation challenge, </w:t>
      </w:r>
      <w:r>
        <w:t xml:space="preserve">I will use ELISA assays to measure </w:t>
      </w:r>
      <w:r w:rsidR="00E17333">
        <w:t xml:space="preserve">blood </w:t>
      </w:r>
      <w:r>
        <w:t>cortisol concentrations</w:t>
      </w:r>
      <w:r w:rsidR="00E17333">
        <w:t xml:space="preserve"> of nestlings. </w:t>
      </w:r>
      <w:r>
        <w:t>I will use GLMMs to compare effects of provisioning rate and nestling cortisol concentration on nestling growth and survival rates among land uses.</w:t>
      </w:r>
    </w:p>
    <w:p w14:paraId="03ECCD2F" w14:textId="672BDE67" w:rsidR="002444A5" w:rsidRPr="00213415" w:rsidRDefault="002444A5" w:rsidP="002444A5">
      <w:pPr>
        <w:spacing w:line="480" w:lineRule="auto"/>
        <w:ind w:firstLine="720"/>
      </w:pPr>
      <w:bookmarkStart w:id="0" w:name="_Hlk74757962"/>
      <w:r w:rsidRPr="002444A5">
        <w:t xml:space="preserve">The results of this project will provide crucial insight into the mechanisms by which climate change may affect the ability of birds to survive in human-dominated habitats. </w:t>
      </w:r>
      <w:r w:rsidR="00E17333">
        <w:t>They</w:t>
      </w:r>
      <w:r w:rsidRPr="002444A5">
        <w:t xml:space="preserve"> will also provide concrete avenues through which working landscapes could be modified to better accommodate cavity-nesting birds. If the direct effects of heat are more important than food-mediated effects, nest boxes could be modified </w:t>
      </w:r>
      <w:r w:rsidR="005A200E">
        <w:t>to reduce their internal temperature</w:t>
      </w:r>
      <w:r w:rsidRPr="002444A5">
        <w:t xml:space="preserve">. </w:t>
      </w:r>
      <w:r w:rsidR="00ED2E3B">
        <w:t xml:space="preserve">If </w:t>
      </w:r>
      <w:r w:rsidRPr="002444A5">
        <w:t>food-mediated effects predominate, then</w:t>
      </w:r>
      <w:r>
        <w:t xml:space="preserve"> </w:t>
      </w:r>
      <w:r w:rsidRPr="002444A5">
        <w:t>maintaining patches of non-crop habitats in working landscapes to support</w:t>
      </w:r>
      <w:r>
        <w:t xml:space="preserve"> </w:t>
      </w:r>
      <w:r w:rsidRPr="002444A5">
        <w:t>food resources may be more effective.</w:t>
      </w:r>
    </w:p>
    <w:bookmarkEnd w:id="0"/>
    <w:p w14:paraId="41719350" w14:textId="0CAF1E33" w:rsidR="00213415" w:rsidRDefault="00213415" w:rsidP="00213415">
      <w:pPr>
        <w:spacing w:line="480" w:lineRule="auto"/>
      </w:pPr>
      <w:r w:rsidRPr="00213415">
        <w:t xml:space="preserve">Literature </w:t>
      </w:r>
      <w:r w:rsidR="006C3BCF">
        <w:t>C</w:t>
      </w:r>
      <w:r w:rsidRPr="00213415">
        <w:t>ited</w:t>
      </w:r>
    </w:p>
    <w:p w14:paraId="5DC72F99" w14:textId="77777777" w:rsidR="006C3BCF" w:rsidRPr="006C3BCF" w:rsidRDefault="006C3BCF" w:rsidP="006C3BCF">
      <w:pPr>
        <w:pStyle w:val="Bibliography"/>
        <w:rPr>
          <w:rFonts w:cs="Times"/>
        </w:rPr>
      </w:pPr>
      <w:r>
        <w:fldChar w:fldCharType="begin"/>
      </w:r>
      <w:r>
        <w:instrText xml:space="preserve"> ADDIN ZOTERO_BIBL {"uncited":[],"omitted":[],"custom":[]} CSL_BIBLIOGRAPHY </w:instrText>
      </w:r>
      <w:r>
        <w:fldChar w:fldCharType="separate"/>
      </w:r>
      <w:r w:rsidRPr="006C3BCF">
        <w:rPr>
          <w:rFonts w:cs="Times"/>
          <w:b/>
          <w:bCs/>
        </w:rPr>
        <w:t>1</w:t>
      </w:r>
      <w:r w:rsidRPr="006C3BCF">
        <w:rPr>
          <w:rFonts w:cs="Times"/>
        </w:rPr>
        <w:t xml:space="preserve"> Travis, J. M. J. </w:t>
      </w:r>
      <w:r w:rsidRPr="006C3BCF">
        <w:rPr>
          <w:rFonts w:cs="Times"/>
          <w:i/>
          <w:iCs/>
        </w:rPr>
        <w:t>Proc. R. Soc. Lond. B Biol. Sci.</w:t>
      </w:r>
      <w:r w:rsidRPr="006C3BCF">
        <w:rPr>
          <w:rFonts w:cs="Times"/>
        </w:rPr>
        <w:t xml:space="preserve"> 270, 467–473 (2003)</w:t>
      </w:r>
    </w:p>
    <w:p w14:paraId="3D79EC41" w14:textId="77777777" w:rsidR="006C3BCF" w:rsidRPr="006C3BCF" w:rsidRDefault="006C3BCF" w:rsidP="006C3BCF">
      <w:pPr>
        <w:pStyle w:val="Bibliography"/>
        <w:rPr>
          <w:rFonts w:cs="Times"/>
        </w:rPr>
      </w:pPr>
      <w:r w:rsidRPr="006C3BCF">
        <w:rPr>
          <w:rFonts w:cs="Times"/>
          <w:b/>
          <w:bCs/>
        </w:rPr>
        <w:t>2</w:t>
      </w:r>
      <w:r w:rsidRPr="006C3BCF">
        <w:rPr>
          <w:rFonts w:cs="Times"/>
        </w:rPr>
        <w:t xml:space="preserve"> Suggitt, A. J. </w:t>
      </w:r>
      <w:r w:rsidRPr="006C3BCF">
        <w:rPr>
          <w:rFonts w:cs="Times"/>
          <w:i/>
          <w:iCs/>
        </w:rPr>
        <w:t>et al.</w:t>
      </w:r>
      <w:r w:rsidRPr="006C3BCF">
        <w:rPr>
          <w:rFonts w:cs="Times"/>
        </w:rPr>
        <w:t xml:space="preserve"> </w:t>
      </w:r>
      <w:r w:rsidRPr="006C3BCF">
        <w:rPr>
          <w:rFonts w:cs="Times"/>
          <w:i/>
          <w:iCs/>
        </w:rPr>
        <w:t>Oikos</w:t>
      </w:r>
      <w:r w:rsidRPr="006C3BCF">
        <w:rPr>
          <w:rFonts w:cs="Times"/>
        </w:rPr>
        <w:t xml:space="preserve"> 120, 1–8 (2011)</w:t>
      </w:r>
    </w:p>
    <w:p w14:paraId="09695421" w14:textId="77777777" w:rsidR="006C3BCF" w:rsidRPr="006C3BCF" w:rsidRDefault="006C3BCF" w:rsidP="006C3BCF">
      <w:pPr>
        <w:pStyle w:val="Bibliography"/>
        <w:rPr>
          <w:rFonts w:cs="Times"/>
        </w:rPr>
      </w:pPr>
      <w:r w:rsidRPr="006C3BCF">
        <w:rPr>
          <w:rFonts w:cs="Times"/>
          <w:b/>
          <w:bCs/>
          <w:lang w:val="es-419"/>
        </w:rPr>
        <w:t>3</w:t>
      </w:r>
      <w:r w:rsidRPr="006C3BCF">
        <w:rPr>
          <w:rFonts w:cs="Times"/>
          <w:lang w:val="es-419"/>
        </w:rPr>
        <w:t xml:space="preserve"> </w:t>
      </w:r>
      <w:proofErr w:type="gramStart"/>
      <w:r w:rsidRPr="006C3BCF">
        <w:rPr>
          <w:rFonts w:cs="Times"/>
          <w:lang w:val="es-419"/>
        </w:rPr>
        <w:t>De</w:t>
      </w:r>
      <w:proofErr w:type="gramEnd"/>
      <w:r w:rsidRPr="006C3BCF">
        <w:rPr>
          <w:rFonts w:cs="Times"/>
          <w:lang w:val="es-419"/>
        </w:rPr>
        <w:t xml:space="preserve"> </w:t>
      </w:r>
      <w:proofErr w:type="spellStart"/>
      <w:r w:rsidRPr="006C3BCF">
        <w:rPr>
          <w:rFonts w:cs="Times"/>
          <w:lang w:val="es-419"/>
        </w:rPr>
        <w:t>Frenne</w:t>
      </w:r>
      <w:proofErr w:type="spellEnd"/>
      <w:r w:rsidRPr="006C3BCF">
        <w:rPr>
          <w:rFonts w:cs="Times"/>
          <w:lang w:val="es-419"/>
        </w:rPr>
        <w:t xml:space="preserve">, P. </w:t>
      </w:r>
      <w:r w:rsidRPr="006C3BCF">
        <w:rPr>
          <w:rFonts w:cs="Times"/>
          <w:i/>
          <w:iCs/>
          <w:lang w:val="es-419"/>
        </w:rPr>
        <w:t>et al.</w:t>
      </w:r>
      <w:r w:rsidRPr="006C3BCF">
        <w:rPr>
          <w:rFonts w:cs="Times"/>
          <w:lang w:val="es-419"/>
        </w:rPr>
        <w:t xml:space="preserve"> </w:t>
      </w:r>
      <w:r w:rsidRPr="006C3BCF">
        <w:rPr>
          <w:rFonts w:cs="Times"/>
          <w:i/>
          <w:iCs/>
        </w:rPr>
        <w:t xml:space="preserve">Nat. Ecol. </w:t>
      </w:r>
      <w:proofErr w:type="spellStart"/>
      <w:r w:rsidRPr="006C3BCF">
        <w:rPr>
          <w:rFonts w:cs="Times"/>
          <w:i/>
          <w:iCs/>
        </w:rPr>
        <w:t>Evol</w:t>
      </w:r>
      <w:proofErr w:type="spellEnd"/>
      <w:r w:rsidRPr="006C3BCF">
        <w:rPr>
          <w:rFonts w:cs="Times"/>
          <w:i/>
          <w:iCs/>
        </w:rPr>
        <w:t>.</w:t>
      </w:r>
      <w:r w:rsidRPr="006C3BCF">
        <w:rPr>
          <w:rFonts w:cs="Times"/>
        </w:rPr>
        <w:t xml:space="preserve"> 3, 744–749 (2019)</w:t>
      </w:r>
    </w:p>
    <w:p w14:paraId="28CD39A6" w14:textId="77777777" w:rsidR="006C3BCF" w:rsidRPr="006C3BCF" w:rsidRDefault="006C3BCF" w:rsidP="006C3BCF">
      <w:pPr>
        <w:pStyle w:val="Bibliography"/>
        <w:rPr>
          <w:rFonts w:cs="Times"/>
        </w:rPr>
      </w:pPr>
      <w:r w:rsidRPr="006C3BCF">
        <w:rPr>
          <w:rFonts w:cs="Times"/>
          <w:b/>
          <w:bCs/>
        </w:rPr>
        <w:t>4</w:t>
      </w:r>
      <w:r w:rsidRPr="006C3BCF">
        <w:rPr>
          <w:rFonts w:cs="Times"/>
        </w:rPr>
        <w:t xml:space="preserve"> Dunn, E. H. </w:t>
      </w:r>
      <w:r w:rsidRPr="006C3BCF">
        <w:rPr>
          <w:rFonts w:cs="Times"/>
          <w:i/>
          <w:iCs/>
        </w:rPr>
        <w:t>Wilson Bull.</w:t>
      </w:r>
      <w:r w:rsidRPr="006C3BCF">
        <w:rPr>
          <w:rFonts w:cs="Times"/>
        </w:rPr>
        <w:t xml:space="preserve"> 91, 455–457 (1979)</w:t>
      </w:r>
    </w:p>
    <w:p w14:paraId="64296FF7" w14:textId="77777777" w:rsidR="006C3BCF" w:rsidRPr="006C3BCF" w:rsidRDefault="006C3BCF" w:rsidP="006C3BCF">
      <w:pPr>
        <w:pStyle w:val="Bibliography"/>
        <w:rPr>
          <w:rFonts w:cs="Times"/>
        </w:rPr>
      </w:pPr>
      <w:r w:rsidRPr="006C3BCF">
        <w:rPr>
          <w:rFonts w:cs="Times"/>
          <w:b/>
          <w:bCs/>
          <w:lang w:val="es-419"/>
        </w:rPr>
        <w:t>5</w:t>
      </w:r>
      <w:r w:rsidRPr="006C3BCF">
        <w:rPr>
          <w:rFonts w:cs="Times"/>
          <w:lang w:val="es-419"/>
        </w:rPr>
        <w:t xml:space="preserve"> </w:t>
      </w:r>
      <w:proofErr w:type="gramStart"/>
      <w:r w:rsidRPr="006C3BCF">
        <w:rPr>
          <w:rFonts w:cs="Times"/>
          <w:lang w:val="es-419"/>
        </w:rPr>
        <w:t>Socolar</w:t>
      </w:r>
      <w:proofErr w:type="gramEnd"/>
      <w:r w:rsidRPr="006C3BCF">
        <w:rPr>
          <w:rFonts w:cs="Times"/>
          <w:lang w:val="es-419"/>
        </w:rPr>
        <w:t xml:space="preserve">, J. B. </w:t>
      </w:r>
      <w:r w:rsidRPr="006C3BCF">
        <w:rPr>
          <w:rFonts w:cs="Times"/>
          <w:i/>
          <w:iCs/>
          <w:lang w:val="es-419"/>
        </w:rPr>
        <w:t>et al.</w:t>
      </w:r>
      <w:r w:rsidRPr="006C3BCF">
        <w:rPr>
          <w:rFonts w:cs="Times"/>
          <w:lang w:val="es-419"/>
        </w:rPr>
        <w:t xml:space="preserve"> </w:t>
      </w:r>
      <w:r w:rsidRPr="006C3BCF">
        <w:rPr>
          <w:rFonts w:cs="Times"/>
          <w:i/>
          <w:iCs/>
        </w:rPr>
        <w:t>Proc. Natl. Acad. Sci.</w:t>
      </w:r>
      <w:r w:rsidRPr="006C3BCF">
        <w:rPr>
          <w:rFonts w:cs="Times"/>
        </w:rPr>
        <w:t xml:space="preserve"> 114, 12976–12981 (2017)</w:t>
      </w:r>
    </w:p>
    <w:p w14:paraId="24B94EB1" w14:textId="77777777" w:rsidR="006C3BCF" w:rsidRPr="006C3BCF" w:rsidRDefault="006C3BCF" w:rsidP="006C3BCF">
      <w:pPr>
        <w:pStyle w:val="Bibliography"/>
        <w:rPr>
          <w:rFonts w:cs="Times"/>
        </w:rPr>
      </w:pPr>
      <w:r w:rsidRPr="006C3BCF">
        <w:rPr>
          <w:rFonts w:cs="Times"/>
          <w:b/>
          <w:bCs/>
        </w:rPr>
        <w:t>6</w:t>
      </w:r>
      <w:r w:rsidRPr="006C3BCF">
        <w:rPr>
          <w:rFonts w:cs="Times"/>
        </w:rPr>
        <w:t xml:space="preserve"> Wingfield, J. C. </w:t>
      </w:r>
      <w:r w:rsidRPr="006C3BCF">
        <w:rPr>
          <w:rFonts w:cs="Times"/>
          <w:i/>
          <w:iCs/>
        </w:rPr>
        <w:t>et al.</w:t>
      </w:r>
      <w:r w:rsidRPr="006C3BCF">
        <w:rPr>
          <w:rFonts w:cs="Times"/>
        </w:rPr>
        <w:t xml:space="preserve"> </w:t>
      </w:r>
      <w:r w:rsidRPr="006C3BCF">
        <w:rPr>
          <w:rFonts w:cs="Times"/>
          <w:i/>
          <w:iCs/>
        </w:rPr>
        <w:t>Philos. Trans. R. Soc. B Biol. Sci.</w:t>
      </w:r>
      <w:r w:rsidRPr="006C3BCF">
        <w:rPr>
          <w:rFonts w:cs="Times"/>
        </w:rPr>
        <w:t xml:space="preserve"> 372, 20160140 (2017)</w:t>
      </w:r>
    </w:p>
    <w:p w14:paraId="740CAEB8" w14:textId="77777777" w:rsidR="006C3BCF" w:rsidRPr="006C3BCF" w:rsidRDefault="006C3BCF" w:rsidP="006C3BCF">
      <w:pPr>
        <w:pStyle w:val="Bibliography"/>
        <w:rPr>
          <w:rFonts w:cs="Times"/>
        </w:rPr>
      </w:pPr>
      <w:r w:rsidRPr="006C3BCF">
        <w:rPr>
          <w:rFonts w:cs="Times"/>
          <w:b/>
          <w:bCs/>
        </w:rPr>
        <w:t>7</w:t>
      </w:r>
      <w:r w:rsidRPr="006C3BCF">
        <w:rPr>
          <w:rFonts w:cs="Times"/>
        </w:rPr>
        <w:t xml:space="preserve"> Forister, M. L. </w:t>
      </w:r>
      <w:r w:rsidRPr="006C3BCF">
        <w:rPr>
          <w:rFonts w:cs="Times"/>
          <w:i/>
          <w:iCs/>
        </w:rPr>
        <w:t>et al.</w:t>
      </w:r>
      <w:r w:rsidRPr="006C3BCF">
        <w:rPr>
          <w:rFonts w:cs="Times"/>
        </w:rPr>
        <w:t xml:space="preserve"> </w:t>
      </w:r>
      <w:r w:rsidRPr="006C3BCF">
        <w:rPr>
          <w:rFonts w:cs="Times"/>
          <w:i/>
          <w:iCs/>
        </w:rPr>
        <w:t>Science</w:t>
      </w:r>
      <w:r w:rsidRPr="006C3BCF">
        <w:rPr>
          <w:rFonts w:cs="Times"/>
        </w:rPr>
        <w:t xml:space="preserve"> 371, 1042–1045 (2021)</w:t>
      </w:r>
    </w:p>
    <w:p w14:paraId="352650F6" w14:textId="11E4C61A" w:rsidR="006C3BCF" w:rsidRPr="00213415" w:rsidRDefault="006C3BCF" w:rsidP="00213415">
      <w:pPr>
        <w:spacing w:line="480" w:lineRule="auto"/>
      </w:pPr>
      <w:r>
        <w:fldChar w:fldCharType="end"/>
      </w:r>
    </w:p>
    <w:p w14:paraId="379255C0" w14:textId="77777777" w:rsidR="00B430C9" w:rsidRPr="00213415" w:rsidRDefault="003A3E07" w:rsidP="00213415">
      <w:pPr>
        <w:spacing w:line="480" w:lineRule="auto"/>
      </w:pPr>
    </w:p>
    <w:sectPr w:rsidR="00B430C9" w:rsidRPr="0021341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A3D44" w14:textId="77777777" w:rsidR="003A3E07" w:rsidRDefault="003A3E07" w:rsidP="00213415">
      <w:r>
        <w:separator/>
      </w:r>
    </w:p>
  </w:endnote>
  <w:endnote w:type="continuationSeparator" w:id="0">
    <w:p w14:paraId="64C678C0" w14:textId="77777777" w:rsidR="003A3E07" w:rsidRDefault="003A3E07" w:rsidP="00213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514268"/>
      <w:docPartObj>
        <w:docPartGallery w:val="Page Numbers (Bottom of Page)"/>
        <w:docPartUnique/>
      </w:docPartObj>
    </w:sdtPr>
    <w:sdtEndPr>
      <w:rPr>
        <w:noProof/>
      </w:rPr>
    </w:sdtEndPr>
    <w:sdtContent>
      <w:p w14:paraId="48DC4A88" w14:textId="710FFC3D" w:rsidR="00213415" w:rsidRDefault="002134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447BDF" w14:textId="77777777" w:rsidR="00213415" w:rsidRDefault="00213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48EA6" w14:textId="77777777" w:rsidR="003A3E07" w:rsidRDefault="003A3E07" w:rsidP="00213415">
      <w:r>
        <w:separator/>
      </w:r>
    </w:p>
  </w:footnote>
  <w:footnote w:type="continuationSeparator" w:id="0">
    <w:p w14:paraId="49DDFD35" w14:textId="77777777" w:rsidR="003A3E07" w:rsidRDefault="003A3E07" w:rsidP="002134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15"/>
    <w:rsid w:val="000331E4"/>
    <w:rsid w:val="00125548"/>
    <w:rsid w:val="001E56EA"/>
    <w:rsid w:val="00213415"/>
    <w:rsid w:val="00227F2E"/>
    <w:rsid w:val="002444A5"/>
    <w:rsid w:val="002A06D0"/>
    <w:rsid w:val="00376374"/>
    <w:rsid w:val="003A3E07"/>
    <w:rsid w:val="00450377"/>
    <w:rsid w:val="005A200E"/>
    <w:rsid w:val="005C1239"/>
    <w:rsid w:val="00662D33"/>
    <w:rsid w:val="00671ADE"/>
    <w:rsid w:val="006C3BCF"/>
    <w:rsid w:val="007D6292"/>
    <w:rsid w:val="00884A45"/>
    <w:rsid w:val="00905B75"/>
    <w:rsid w:val="009F68FA"/>
    <w:rsid w:val="009F741C"/>
    <w:rsid w:val="00A8292A"/>
    <w:rsid w:val="00AE35D2"/>
    <w:rsid w:val="00B16BF7"/>
    <w:rsid w:val="00C52B27"/>
    <w:rsid w:val="00C56533"/>
    <w:rsid w:val="00DA502A"/>
    <w:rsid w:val="00E17333"/>
    <w:rsid w:val="00E7365E"/>
    <w:rsid w:val="00ED2E3B"/>
    <w:rsid w:val="00F61D47"/>
    <w:rsid w:val="00F7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48751D"/>
  <w15:chartTrackingRefBased/>
  <w15:docId w15:val="{A77AC589-9B2A-4AD1-A8F5-4ECC25C5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415"/>
    <w:pPr>
      <w:spacing w:after="0" w:line="240" w:lineRule="auto"/>
    </w:pPr>
    <w:rPr>
      <w:rFonts w:ascii="Times" w:hAns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415"/>
    <w:pPr>
      <w:tabs>
        <w:tab w:val="center" w:pos="4680"/>
        <w:tab w:val="right" w:pos="9360"/>
      </w:tabs>
    </w:pPr>
  </w:style>
  <w:style w:type="character" w:customStyle="1" w:styleId="HeaderChar">
    <w:name w:val="Header Char"/>
    <w:basedOn w:val="DefaultParagraphFont"/>
    <w:link w:val="Header"/>
    <w:uiPriority w:val="99"/>
    <w:rsid w:val="00213415"/>
    <w:rPr>
      <w:rFonts w:ascii="Times" w:hAnsi="Times"/>
      <w:sz w:val="24"/>
      <w:szCs w:val="24"/>
    </w:rPr>
  </w:style>
  <w:style w:type="paragraph" w:styleId="Footer">
    <w:name w:val="footer"/>
    <w:basedOn w:val="Normal"/>
    <w:link w:val="FooterChar"/>
    <w:uiPriority w:val="99"/>
    <w:unhideWhenUsed/>
    <w:rsid w:val="00213415"/>
    <w:pPr>
      <w:tabs>
        <w:tab w:val="center" w:pos="4680"/>
        <w:tab w:val="right" w:pos="9360"/>
      </w:tabs>
    </w:pPr>
  </w:style>
  <w:style w:type="character" w:customStyle="1" w:styleId="FooterChar">
    <w:name w:val="Footer Char"/>
    <w:basedOn w:val="DefaultParagraphFont"/>
    <w:link w:val="Footer"/>
    <w:uiPriority w:val="99"/>
    <w:rsid w:val="00213415"/>
    <w:rPr>
      <w:rFonts w:ascii="Times" w:hAnsi="Times"/>
      <w:sz w:val="24"/>
      <w:szCs w:val="24"/>
    </w:rPr>
  </w:style>
  <w:style w:type="paragraph" w:styleId="Bibliography">
    <w:name w:val="Bibliography"/>
    <w:basedOn w:val="Normal"/>
    <w:next w:val="Normal"/>
    <w:uiPriority w:val="37"/>
    <w:unhideWhenUsed/>
    <w:rsid w:val="006C3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DADED-08A8-4D5A-8D49-C9BCD2FEC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2</Pages>
  <Words>2180</Words>
  <Characters>12366</Characters>
  <Application>Microsoft Office Word</Application>
  <DocSecurity>0</DocSecurity>
  <Lines>176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Katie Lauck</cp:lastModifiedBy>
  <cp:revision>28</cp:revision>
  <dcterms:created xsi:type="dcterms:W3CDTF">2021-06-16T21:19:00Z</dcterms:created>
  <dcterms:modified xsi:type="dcterms:W3CDTF">2021-06-17T22:23:00Z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id="xD0SGoZj"/&gt;&lt;style id="http://www.zotero.org/styles/minimal-grant-proposals"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