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E19A3" w14:textId="1B8E608B" w:rsidR="00B430C9" w:rsidRPr="00BB11EB" w:rsidRDefault="00452A60" w:rsidP="00452A60">
      <w:pPr>
        <w:rPr>
          <w:rFonts w:ascii="Georgia Pro" w:hAnsi="Georgia Pro"/>
          <w:b/>
          <w:bCs/>
          <w:sz w:val="24"/>
          <w:szCs w:val="24"/>
        </w:rPr>
      </w:pPr>
      <w:r w:rsidRPr="00BB11EB">
        <w:rPr>
          <w:rFonts w:ascii="Georgia Pro" w:hAnsi="Georgia Pro"/>
          <w:b/>
          <w:bCs/>
          <w:sz w:val="24"/>
          <w:szCs w:val="24"/>
        </w:rPr>
        <w:t>Research Prospectus</w:t>
      </w:r>
    </w:p>
    <w:p w14:paraId="47208620" w14:textId="13C6A005" w:rsidR="00452A60" w:rsidRDefault="00BB11EB" w:rsidP="00452A60">
      <w:pPr>
        <w:contextualSpacing/>
        <w:rPr>
          <w:rFonts w:ascii="Georgia Pro" w:hAnsi="Georgia Pro"/>
        </w:rPr>
      </w:pPr>
      <w:r w:rsidRPr="00BB11EB">
        <w:rPr>
          <w:rFonts w:ascii="Georgia Pro" w:hAnsi="Georgia Pro"/>
          <w:b/>
          <w:bCs/>
        </w:rPr>
        <w:t xml:space="preserve">Title: </w:t>
      </w:r>
      <w:r w:rsidR="00312388" w:rsidRPr="00312388">
        <w:rPr>
          <w:rFonts w:ascii="Georgia Pro" w:hAnsi="Georgia Pro"/>
        </w:rPr>
        <w:t>Why do the effects of temperature on nestling growth and survival vary across land uses?</w:t>
      </w:r>
    </w:p>
    <w:p w14:paraId="3D51D558" w14:textId="77777777" w:rsidR="00BB11EB" w:rsidRDefault="00BB11EB" w:rsidP="00452A60">
      <w:pPr>
        <w:contextualSpacing/>
        <w:rPr>
          <w:rFonts w:ascii="Georgia Pro" w:hAnsi="Georgia Pro"/>
        </w:rPr>
      </w:pPr>
      <w:r w:rsidRPr="00BB11EB">
        <w:rPr>
          <w:rFonts w:ascii="Georgia Pro" w:hAnsi="Georgia Pro"/>
          <w:b/>
          <w:bCs/>
        </w:rPr>
        <w:t>Project leader:</w:t>
      </w:r>
      <w:r>
        <w:rPr>
          <w:rFonts w:ascii="Georgia Pro" w:hAnsi="Georgia Pro"/>
        </w:rPr>
        <w:t xml:space="preserve"> Katherine Lauck, WFCB UC Davis</w:t>
      </w:r>
    </w:p>
    <w:p w14:paraId="1F1945D2" w14:textId="1C7EBB1D" w:rsidR="00BB11EB" w:rsidRDefault="006523CA" w:rsidP="00452A60">
      <w:pPr>
        <w:contextualSpacing/>
        <w:rPr>
          <w:rFonts w:ascii="Georgia Pro" w:hAnsi="Georgia Pro"/>
        </w:rPr>
      </w:pPr>
      <w:hyperlink r:id="rId5" w:history="1">
        <w:r w:rsidR="00BB11EB" w:rsidRPr="001F103B">
          <w:rPr>
            <w:rStyle w:val="Hyperlink"/>
            <w:rFonts w:ascii="Georgia Pro" w:hAnsi="Georgia Pro"/>
          </w:rPr>
          <w:t>kslauck@ucdavis.edu</w:t>
        </w:r>
      </w:hyperlink>
      <w:r w:rsidR="00BB11EB">
        <w:rPr>
          <w:rFonts w:ascii="Georgia Pro" w:hAnsi="Georgia Pro"/>
        </w:rPr>
        <w:t>; 5409230228</w:t>
      </w:r>
    </w:p>
    <w:p w14:paraId="11575D9D" w14:textId="77777777" w:rsidR="00BB11EB" w:rsidRDefault="00BB11EB" w:rsidP="00452A60">
      <w:pPr>
        <w:contextualSpacing/>
        <w:rPr>
          <w:rFonts w:ascii="Georgia Pro" w:hAnsi="Georgia Pro"/>
        </w:rPr>
      </w:pPr>
      <w:r w:rsidRPr="00BB11EB">
        <w:rPr>
          <w:rFonts w:ascii="Georgia Pro" w:hAnsi="Georgia Pro"/>
          <w:b/>
          <w:bCs/>
        </w:rPr>
        <w:t>Principal investigator:</w:t>
      </w:r>
      <w:r>
        <w:rPr>
          <w:rFonts w:ascii="Georgia Pro" w:hAnsi="Georgia Pro"/>
        </w:rPr>
        <w:t xml:space="preserve"> Daniel Karp, WFCB UC Davis</w:t>
      </w:r>
    </w:p>
    <w:p w14:paraId="34FBC115" w14:textId="111DC476" w:rsidR="00BB11EB" w:rsidRDefault="006523CA" w:rsidP="00452A60">
      <w:pPr>
        <w:contextualSpacing/>
        <w:rPr>
          <w:rFonts w:ascii="Georgia Pro" w:hAnsi="Georgia Pro"/>
        </w:rPr>
      </w:pPr>
      <w:hyperlink r:id="rId6" w:history="1">
        <w:r w:rsidR="00BB11EB" w:rsidRPr="001F103B">
          <w:rPr>
            <w:rStyle w:val="Hyperlink"/>
            <w:rFonts w:ascii="Georgia Pro" w:hAnsi="Georgia Pro"/>
          </w:rPr>
          <w:t>dkarp@ucdavis.edu</w:t>
        </w:r>
      </w:hyperlink>
      <w:r w:rsidR="00BB11EB">
        <w:rPr>
          <w:rFonts w:ascii="Georgia Pro" w:hAnsi="Georgia Pro"/>
        </w:rPr>
        <w:t>; 5302199868</w:t>
      </w:r>
    </w:p>
    <w:p w14:paraId="1F3C5167" w14:textId="77777777" w:rsidR="00BB11EB" w:rsidRDefault="00BB11EB" w:rsidP="00452A60">
      <w:pPr>
        <w:contextualSpacing/>
        <w:rPr>
          <w:rFonts w:ascii="Georgia Pro" w:hAnsi="Georgia Pro"/>
        </w:rPr>
      </w:pPr>
      <w:r>
        <w:rPr>
          <w:rFonts w:ascii="Georgia Pro" w:hAnsi="Georgia Pro"/>
          <w:b/>
          <w:bCs/>
        </w:rPr>
        <w:t>Undergraduate researcher:</w:t>
      </w:r>
      <w:r>
        <w:rPr>
          <w:rFonts w:ascii="Georgia Pro" w:hAnsi="Georgia Pro"/>
        </w:rPr>
        <w:t xml:space="preserve"> Katia Goldberg, WFCB UC Davis</w:t>
      </w:r>
    </w:p>
    <w:p w14:paraId="6B8D9A31" w14:textId="398E5A37" w:rsidR="00BB11EB" w:rsidRPr="00BB11EB" w:rsidRDefault="006523CA" w:rsidP="00452A60">
      <w:pPr>
        <w:contextualSpacing/>
        <w:rPr>
          <w:rFonts w:ascii="Georgia Pro" w:hAnsi="Georgia Pro"/>
        </w:rPr>
      </w:pPr>
      <w:hyperlink r:id="rId7" w:history="1">
        <w:r w:rsidR="00BB11EB" w:rsidRPr="001F103B">
          <w:rPr>
            <w:rStyle w:val="Hyperlink"/>
            <w:rFonts w:ascii="Georgia Pro" w:hAnsi="Georgia Pro"/>
          </w:rPr>
          <w:t>krgoldberg@ucdavis.edu</w:t>
        </w:r>
      </w:hyperlink>
      <w:r w:rsidR="00BB11EB">
        <w:rPr>
          <w:rFonts w:ascii="Georgia Pro" w:hAnsi="Georgia Pro"/>
        </w:rPr>
        <w:t xml:space="preserve">; 4439494675 </w:t>
      </w:r>
    </w:p>
    <w:p w14:paraId="78EDC1FA" w14:textId="77777777" w:rsidR="00BB11EB" w:rsidRDefault="00BB11EB" w:rsidP="00452A60">
      <w:pPr>
        <w:contextualSpacing/>
        <w:rPr>
          <w:rFonts w:ascii="Georgia Pro" w:hAnsi="Georgia Pro"/>
        </w:rPr>
      </w:pPr>
    </w:p>
    <w:p w14:paraId="5160FE20" w14:textId="2527C507" w:rsidR="00BB11EB" w:rsidRDefault="00BB11EB" w:rsidP="00452A60">
      <w:pPr>
        <w:rPr>
          <w:rFonts w:ascii="Georgia Pro" w:hAnsi="Georgia Pro"/>
          <w:b/>
          <w:bCs/>
        </w:rPr>
      </w:pPr>
      <w:r w:rsidRPr="00BB11EB">
        <w:rPr>
          <w:rFonts w:ascii="Georgia Pro" w:hAnsi="Georgia Pro"/>
          <w:b/>
          <w:bCs/>
        </w:rPr>
        <w:t>Introduction</w:t>
      </w:r>
    </w:p>
    <w:p w14:paraId="1D531A14" w14:textId="77777777" w:rsidR="00BB11EB" w:rsidRPr="00BB11EB" w:rsidRDefault="00BB11EB" w:rsidP="00BB11EB">
      <w:pPr>
        <w:rPr>
          <w:rFonts w:ascii="Georgia Pro" w:hAnsi="Georgia Pro"/>
        </w:rPr>
      </w:pPr>
      <w:r w:rsidRPr="00BB11EB">
        <w:rPr>
          <w:rFonts w:ascii="Georgia Pro" w:hAnsi="Georgia Pro"/>
        </w:rPr>
        <w:t xml:space="preserve">The interactive effects of climate change and habitat conversion to agriculture constitute the primary threat to terrestrial wildlife (Travis 2003). Efforts to increase biodiversity in agricultural landscapes, such as planting polycultures, may allow more species to thrive in human-dominated landscapes (Kremen and Merenlender 2018). However, as climate change progresses, human-dominated landscapes may expose birds to new temperature extremes because converting forested land to agriculture removes trees that insulate the understory from ambient temperature (Suggitt et al. 2011, De Frenne et al. 2019). In bird species with altricial young, nestlings are ectothermic, so both low and high temperatures divert energy from growth to thermoregulation (Dunn 1979). The lethal effects of cold are well-documented (Shipley et al. 2020). But in the future, climate change will drive temperature increases globally and exacerbate the intensity of short-term temperature spikes. Especially in hot ecosystems, climate change-driven temperature spikes often induce nest failure and drive population collapse (Socolar et al. 2017). For example, in the Putah Creek ecosystem near Davis, CA, warm temperatures during nesting are associated with lower nestling growth (and survival in some species) (Riggio et al. in prep). Furthermore, our preliminary results from an analysis of Cornell University’s NestWatch database (N= 152,863 nesting attempts across 58 species) show that, across North America, temperature spikes lower nesting success in agriculture and urban environments. However, nesting success remains stable in grassland and increases in forested areas following temperature spikes. </w:t>
      </w:r>
    </w:p>
    <w:p w14:paraId="01BE573E" w14:textId="56C7AF8D" w:rsidR="00BB11EB" w:rsidRDefault="0070738E" w:rsidP="00BB11EB">
      <w:pPr>
        <w:rPr>
          <w:rFonts w:ascii="Georgia Pro" w:hAnsi="Georgia Pro"/>
        </w:rPr>
      </w:pPr>
      <w:r>
        <w:rPr>
          <w:rFonts w:ascii="Georgia Pro" w:hAnsi="Georgia Pro"/>
        </w:rPr>
        <w:t>For this project, we</w:t>
      </w:r>
      <w:r w:rsidR="00BB11EB" w:rsidRPr="00BB11EB">
        <w:rPr>
          <w:rFonts w:ascii="Georgia Pro" w:hAnsi="Georgia Pro"/>
        </w:rPr>
        <w:t xml:space="preserve"> will investigate the two main mechanisms that could underlie the effects of heat waves: direct thermoregulation challenge for nestlings and food availability. Nestlings can survive heat waves by using more energy to thermoregulate, but this may increase stress, decrease growth, and lead to lower survival (Wingfield et al. 2017). Furthermore, heat waves may reduce food provisioning to nestlings, either by forcing adults to spend more energy thermoregulating or by reducing prey availability. For example, warming temperatures are driving lepidopteran declines across the U.S. (a key resource for young birds; Forister et al. 2021). Here, I propose to investigate the relative contributions of thermoregulation challenge and food provisioning to nestling growth under temperature spikes across four land use types: natural open canopy (grassland), natural closed canopy (riparian forest), agricultural open canopy (row crop), and agricultural closed canopy (orchard).</w:t>
      </w:r>
    </w:p>
    <w:p w14:paraId="779D9A9E" w14:textId="77777777" w:rsidR="00BB11EB" w:rsidRPr="00BB11EB" w:rsidRDefault="00BB11EB" w:rsidP="00BB11EB">
      <w:pPr>
        <w:rPr>
          <w:rFonts w:ascii="Georgia Pro" w:hAnsi="Georgia Pro"/>
          <w:b/>
          <w:bCs/>
        </w:rPr>
      </w:pPr>
      <w:r w:rsidRPr="00BB11EB">
        <w:rPr>
          <w:rFonts w:ascii="Georgia Pro" w:hAnsi="Georgia Pro"/>
          <w:b/>
          <w:bCs/>
        </w:rPr>
        <w:t>Questions</w:t>
      </w:r>
    </w:p>
    <w:p w14:paraId="13E0F0A8" w14:textId="2C11CCDA" w:rsidR="00883918" w:rsidRPr="00883918" w:rsidRDefault="00883918" w:rsidP="00BB11EB">
      <w:pPr>
        <w:rPr>
          <w:rFonts w:ascii="Georgia Pro" w:hAnsi="Georgia Pro"/>
        </w:rPr>
      </w:pPr>
      <w:r>
        <w:rPr>
          <w:rFonts w:ascii="Georgia Pro" w:hAnsi="Georgia Pro"/>
          <w:i/>
          <w:iCs/>
        </w:rPr>
        <w:t xml:space="preserve">Question 1. </w:t>
      </w:r>
      <w:r>
        <w:rPr>
          <w:rFonts w:ascii="Georgia Pro" w:hAnsi="Georgia Pro"/>
        </w:rPr>
        <w:t>How do ambient temperature and land use affect nest box internal temperature?</w:t>
      </w:r>
    </w:p>
    <w:p w14:paraId="790252E5" w14:textId="782B2A96" w:rsidR="00883918" w:rsidRDefault="00883918" w:rsidP="00BB11EB">
      <w:pPr>
        <w:rPr>
          <w:rFonts w:ascii="Georgia Pro" w:hAnsi="Georgia Pro"/>
          <w:i/>
          <w:iCs/>
        </w:rPr>
      </w:pPr>
      <w:r>
        <w:rPr>
          <w:rFonts w:ascii="Georgia Pro" w:hAnsi="Georgia Pro"/>
          <w:i/>
          <w:iCs/>
        </w:rPr>
        <w:t xml:space="preserve">Hypothesis 1. </w:t>
      </w:r>
      <w:r w:rsidRPr="00883918">
        <w:rPr>
          <w:rFonts w:ascii="Georgia Pro" w:hAnsi="Georgia Pro"/>
        </w:rPr>
        <w:t>In habitats that have closed canopies (i.e. closed riparian and orchard sites) we expect nest boxes to show fewer and less severe temperature spikes over the nesting season. Forest canopies insulate the area below the canopy from both high and low macroclimatic temperatures, so we expect that more closed canopies will offer a higher buffering capacity (De Frenne et al. 2019)</w:t>
      </w:r>
      <w:r>
        <w:rPr>
          <w:rFonts w:ascii="Georgia Pro" w:hAnsi="Georgia Pro"/>
        </w:rPr>
        <w:t>.</w:t>
      </w:r>
    </w:p>
    <w:p w14:paraId="744197A8" w14:textId="2ABFA554" w:rsidR="00BB11EB" w:rsidRPr="00BB11EB" w:rsidRDefault="00BB11EB" w:rsidP="00BB11EB">
      <w:pPr>
        <w:rPr>
          <w:rFonts w:ascii="Georgia Pro" w:hAnsi="Georgia Pro"/>
        </w:rPr>
      </w:pPr>
      <w:r w:rsidRPr="00BB11EB">
        <w:rPr>
          <w:rFonts w:ascii="Georgia Pro" w:hAnsi="Georgia Pro"/>
          <w:i/>
          <w:iCs/>
        </w:rPr>
        <w:lastRenderedPageBreak/>
        <w:t xml:space="preserve">Question </w:t>
      </w:r>
      <w:r w:rsidR="00883918">
        <w:rPr>
          <w:rFonts w:ascii="Georgia Pro" w:hAnsi="Georgia Pro"/>
          <w:i/>
          <w:iCs/>
        </w:rPr>
        <w:t>2</w:t>
      </w:r>
      <w:r w:rsidRPr="00BB11EB">
        <w:rPr>
          <w:rFonts w:ascii="Georgia Pro" w:hAnsi="Georgia Pro"/>
          <w:i/>
          <w:iCs/>
        </w:rPr>
        <w:t>.</w:t>
      </w:r>
      <w:r w:rsidRPr="00BB11EB">
        <w:rPr>
          <w:rFonts w:ascii="Georgia Pro" w:hAnsi="Georgia Pro"/>
        </w:rPr>
        <w:t xml:space="preserve"> How do ambient temperature and land use affect food provisioning</w:t>
      </w:r>
      <w:r w:rsidR="00883918">
        <w:rPr>
          <w:rFonts w:ascii="Georgia Pro" w:hAnsi="Georgia Pro"/>
        </w:rPr>
        <w:t xml:space="preserve"> of nestlings</w:t>
      </w:r>
      <w:r w:rsidRPr="00BB11EB">
        <w:rPr>
          <w:rFonts w:ascii="Georgia Pro" w:hAnsi="Georgia Pro"/>
        </w:rPr>
        <w:t>?</w:t>
      </w:r>
    </w:p>
    <w:p w14:paraId="1363F667" w14:textId="3212BC62" w:rsidR="00BB11EB" w:rsidRPr="00BB11EB" w:rsidRDefault="00BB11EB" w:rsidP="00BB11EB">
      <w:pPr>
        <w:rPr>
          <w:rFonts w:ascii="Georgia Pro" w:hAnsi="Georgia Pro"/>
        </w:rPr>
      </w:pPr>
      <w:r w:rsidRPr="00BB11EB">
        <w:rPr>
          <w:rFonts w:ascii="Georgia Pro" w:hAnsi="Georgia Pro"/>
          <w:i/>
          <w:iCs/>
        </w:rPr>
        <w:t xml:space="preserve">Hypothesis </w:t>
      </w:r>
      <w:r w:rsidR="00883918">
        <w:rPr>
          <w:rFonts w:ascii="Georgia Pro" w:hAnsi="Georgia Pro"/>
          <w:i/>
          <w:iCs/>
        </w:rPr>
        <w:t>2</w:t>
      </w:r>
      <w:r w:rsidRPr="00BB11EB">
        <w:rPr>
          <w:rFonts w:ascii="Georgia Pro" w:hAnsi="Georgia Pro"/>
          <w:i/>
          <w:iCs/>
        </w:rPr>
        <w:t>.</w:t>
      </w:r>
      <w:r w:rsidRPr="00BB11EB">
        <w:rPr>
          <w:rFonts w:ascii="Georgia Pro" w:hAnsi="Georgia Pro"/>
        </w:rPr>
        <w:t xml:space="preserve"> Temperature spikes will be more frequent and more severe in open lands (i.e., grassland and row crop (i.e., open lands)), decreasing provisioning rates. </w:t>
      </w:r>
      <w:r w:rsidR="00673AD0">
        <w:rPr>
          <w:rFonts w:ascii="Georgia Pro" w:hAnsi="Georgia Pro"/>
        </w:rPr>
        <w:t>Additionally, p</w:t>
      </w:r>
      <w:r w:rsidRPr="00BB11EB">
        <w:rPr>
          <w:rFonts w:ascii="Georgia Pro" w:hAnsi="Georgia Pro"/>
        </w:rPr>
        <w:t>arents may decrease foraging time to meet thermoregulatory demands or lower insect availability</w:t>
      </w:r>
      <w:r w:rsidR="00673AD0">
        <w:rPr>
          <w:rFonts w:ascii="Georgia Pro" w:hAnsi="Georgia Pro"/>
        </w:rPr>
        <w:t xml:space="preserve"> in agriculture</w:t>
      </w:r>
      <w:r w:rsidRPr="00BB11EB">
        <w:rPr>
          <w:rFonts w:ascii="Georgia Pro" w:hAnsi="Georgia Pro"/>
        </w:rPr>
        <w:t xml:space="preserve"> may increase search effort. </w:t>
      </w:r>
    </w:p>
    <w:p w14:paraId="54581E67" w14:textId="76394F4D" w:rsidR="00BB11EB" w:rsidRPr="00BB11EB" w:rsidRDefault="00BB11EB" w:rsidP="00BB11EB">
      <w:pPr>
        <w:rPr>
          <w:rFonts w:ascii="Georgia Pro" w:hAnsi="Georgia Pro"/>
        </w:rPr>
      </w:pPr>
      <w:r w:rsidRPr="00BB11EB">
        <w:rPr>
          <w:rFonts w:ascii="Georgia Pro" w:hAnsi="Georgia Pro"/>
          <w:i/>
          <w:iCs/>
        </w:rPr>
        <w:t>Question 3.</w:t>
      </w:r>
      <w:r w:rsidRPr="00BB11EB">
        <w:rPr>
          <w:rFonts w:ascii="Georgia Pro" w:hAnsi="Georgia Pro"/>
        </w:rPr>
        <w:t xml:space="preserve"> </w:t>
      </w:r>
      <w:r w:rsidR="006523CA" w:rsidRPr="006523CA">
        <w:rPr>
          <w:rFonts w:ascii="Georgia Pro" w:hAnsi="Georgia Pro"/>
        </w:rPr>
        <w:t>How do temperature spikes affect nestling stress physiology across land-use types?</w:t>
      </w:r>
    </w:p>
    <w:p w14:paraId="7526754C" w14:textId="5F1B9437" w:rsidR="00BB11EB" w:rsidRDefault="00BB11EB" w:rsidP="00BB11EB">
      <w:pPr>
        <w:rPr>
          <w:rFonts w:ascii="Georgia Pro" w:hAnsi="Georgia Pro"/>
        </w:rPr>
      </w:pPr>
      <w:r w:rsidRPr="00BB11EB">
        <w:rPr>
          <w:rFonts w:ascii="Georgia Pro" w:hAnsi="Georgia Pro"/>
          <w:i/>
          <w:iCs/>
        </w:rPr>
        <w:t>Hypothesis 3</w:t>
      </w:r>
      <w:r w:rsidRPr="00BB11EB">
        <w:rPr>
          <w:rFonts w:ascii="Georgia Pro" w:hAnsi="Georgia Pro"/>
        </w:rPr>
        <w:t xml:space="preserve">. </w:t>
      </w:r>
      <w:r w:rsidR="006523CA" w:rsidRPr="006523CA">
        <w:rPr>
          <w:rFonts w:ascii="Georgia Pro" w:hAnsi="Georgia Pro"/>
        </w:rPr>
        <w:t>Temperature spikes will increase nestling stress (</w:t>
      </w:r>
      <w:r w:rsidR="006523CA" w:rsidRPr="006523CA">
        <w:rPr>
          <w:rFonts w:ascii="Georgia Pro" w:hAnsi="Georgia Pro"/>
          <w:i/>
        </w:rPr>
        <w:t>i.e.,</w:t>
      </w:r>
      <w:r w:rsidR="006523CA" w:rsidRPr="006523CA">
        <w:rPr>
          <w:rFonts w:ascii="Georgia Pro" w:hAnsi="Georgia Pro"/>
        </w:rPr>
        <w:t xml:space="preserve"> cortisol and heat stress protein levels) most in open-canopied environments because the lack of thermal buffering may leave nestlings more vulnerable to hyperthermia, which can elevate cortisol in nestlings (Wingfield et al. 2017).</w:t>
      </w:r>
    </w:p>
    <w:p w14:paraId="4F0DAD8F" w14:textId="34E6B3B5" w:rsidR="006523CA" w:rsidRDefault="006523CA" w:rsidP="00BB11EB">
      <w:pPr>
        <w:rPr>
          <w:rFonts w:ascii="Georgia Pro" w:hAnsi="Georgia Pro"/>
        </w:rPr>
      </w:pPr>
      <w:r>
        <w:rPr>
          <w:rFonts w:ascii="Georgia Pro" w:hAnsi="Georgia Pro"/>
          <w:i/>
          <w:iCs/>
        </w:rPr>
        <w:t xml:space="preserve">Question 4. </w:t>
      </w:r>
      <w:r w:rsidRPr="006523CA">
        <w:rPr>
          <w:rFonts w:ascii="Georgia Pro" w:hAnsi="Georgia Pro"/>
        </w:rPr>
        <w:t>What are the cascading consequences of physiological heat effects (Q3) and food-mediated effects (Q2) for nestling growth and survival?</w:t>
      </w:r>
    </w:p>
    <w:p w14:paraId="1188EE50" w14:textId="3A39ECFE" w:rsidR="006523CA" w:rsidRPr="006523CA" w:rsidRDefault="006523CA" w:rsidP="00BB11EB">
      <w:pPr>
        <w:rPr>
          <w:rFonts w:ascii="Georgia Pro" w:hAnsi="Georgia Pro"/>
        </w:rPr>
      </w:pPr>
      <w:r>
        <w:rPr>
          <w:rFonts w:ascii="Georgia Pro" w:hAnsi="Georgia Pro"/>
          <w:i/>
          <w:iCs/>
        </w:rPr>
        <w:t>Hypothesis 4.</w:t>
      </w:r>
      <w:r>
        <w:rPr>
          <w:rFonts w:ascii="Georgia Pro" w:hAnsi="Georgia Pro"/>
        </w:rPr>
        <w:t xml:space="preserve"> </w:t>
      </w:r>
      <w:r w:rsidRPr="006523CA">
        <w:rPr>
          <w:rFonts w:ascii="Georgia Pro" w:hAnsi="Georgia Pro"/>
        </w:rPr>
        <w:t>In open land uses (i.e., grassland and row crops), the direct physiological effects of heat on nestlings will eclipse effects of food provisioning. Hyperthermia will drive cellular damage, forcing nestlings to expend more energy on maintenance, lowering their growth (Wingfield et al. 2017). However, because hyperthermia may also cause adults to decrease provisioning during temperature spikes, food-mediated effects may also be important, causing lower nestling growth and survival. Finally, compared to open natural habitats with similar levels of shade, low resource (</w:t>
      </w:r>
      <w:r w:rsidRPr="006523CA">
        <w:rPr>
          <w:rFonts w:ascii="Georgia Pro" w:hAnsi="Georgia Pro"/>
          <w:i/>
        </w:rPr>
        <w:t>i.e.,</w:t>
      </w:r>
      <w:r w:rsidRPr="006523CA">
        <w:rPr>
          <w:rFonts w:ascii="Georgia Pro" w:hAnsi="Georgia Pro"/>
        </w:rPr>
        <w:t xml:space="preserve"> insect) availability in agriculture will exacerbate food-mediated effects on nestlings.</w:t>
      </w:r>
    </w:p>
    <w:p w14:paraId="2E4469E6" w14:textId="77777777" w:rsidR="00BB11EB" w:rsidRPr="00BB11EB" w:rsidRDefault="00BB11EB" w:rsidP="00BB11EB">
      <w:pPr>
        <w:rPr>
          <w:rFonts w:ascii="Georgia Pro" w:hAnsi="Georgia Pro"/>
          <w:b/>
          <w:bCs/>
        </w:rPr>
      </w:pPr>
      <w:r w:rsidRPr="00BB11EB">
        <w:rPr>
          <w:rFonts w:ascii="Georgia Pro" w:hAnsi="Georgia Pro"/>
          <w:b/>
          <w:bCs/>
        </w:rPr>
        <w:t>Methods</w:t>
      </w:r>
    </w:p>
    <w:p w14:paraId="105FD3AE" w14:textId="1AF7AB92" w:rsidR="00DD2721" w:rsidRDefault="00BB11EB" w:rsidP="00BB11EB">
      <w:pPr>
        <w:rPr>
          <w:rFonts w:ascii="Georgia Pro" w:hAnsi="Georgia Pro"/>
        </w:rPr>
      </w:pPr>
      <w:r w:rsidRPr="00BB11EB">
        <w:rPr>
          <w:rFonts w:ascii="Georgia Pro" w:hAnsi="Georgia Pro"/>
        </w:rPr>
        <w:t xml:space="preserve">To address these questions, </w:t>
      </w:r>
      <w:r w:rsidR="00562312">
        <w:rPr>
          <w:rFonts w:ascii="Georgia Pro" w:hAnsi="Georgia Pro"/>
        </w:rPr>
        <w:t xml:space="preserve">I propose to </w:t>
      </w:r>
      <w:r w:rsidR="00F517B4">
        <w:rPr>
          <w:rFonts w:ascii="Georgia Pro" w:hAnsi="Georgia Pro"/>
        </w:rPr>
        <w:t xml:space="preserve">monitor </w:t>
      </w:r>
      <w:r w:rsidRPr="00BB11EB">
        <w:rPr>
          <w:rFonts w:ascii="Georgia Pro" w:hAnsi="Georgia Pro"/>
        </w:rPr>
        <w:t>Tree Swallow and Western Bluebird nest boxes in four land use treatments: row crops, orchards, grasslands, and high canopy cover riparian forests.</w:t>
      </w:r>
      <w:r w:rsidR="00562312">
        <w:rPr>
          <w:rFonts w:ascii="Georgia Pro" w:hAnsi="Georgia Pro"/>
        </w:rPr>
        <w:t xml:space="preserve"> We hope to monitor</w:t>
      </w:r>
      <w:r w:rsidR="00562312" w:rsidRPr="00BB11EB">
        <w:rPr>
          <w:rFonts w:ascii="Georgia Pro" w:hAnsi="Georgia Pro"/>
        </w:rPr>
        <w:t xml:space="preserve"> 36 boxes (N= </w:t>
      </w:r>
      <w:r w:rsidR="00562312">
        <w:rPr>
          <w:rFonts w:ascii="Georgia Pro" w:hAnsi="Georgia Pro"/>
        </w:rPr>
        <w:t xml:space="preserve">4 land uses * 3 sites/land use * </w:t>
      </w:r>
      <w:r w:rsidR="00562312" w:rsidRPr="00BB11EB">
        <w:rPr>
          <w:rFonts w:ascii="Georgia Pro" w:hAnsi="Georgia Pro"/>
        </w:rPr>
        <w:t>3 nests/site)</w:t>
      </w:r>
      <w:r w:rsidR="00562312">
        <w:rPr>
          <w:rFonts w:ascii="Georgia Pro" w:hAnsi="Georgia Pro"/>
        </w:rPr>
        <w:t xml:space="preserve"> concurrently</w:t>
      </w:r>
      <w:r w:rsidR="00562312" w:rsidRPr="00BB11EB">
        <w:rPr>
          <w:rFonts w:ascii="Georgia Pro" w:hAnsi="Georgia Pro"/>
        </w:rPr>
        <w:t xml:space="preserve">. After chicks fledge, we will move on to new nests. We expect to complete </w:t>
      </w:r>
      <w:r w:rsidR="00562312">
        <w:rPr>
          <w:rFonts w:ascii="Georgia Pro" w:hAnsi="Georgia Pro"/>
        </w:rPr>
        <w:t>2-3</w:t>
      </w:r>
      <w:r w:rsidR="00562312" w:rsidRPr="00BB11EB">
        <w:rPr>
          <w:rFonts w:ascii="Georgia Pro" w:hAnsi="Georgia Pro"/>
        </w:rPr>
        <w:t xml:space="preserve"> rounds of sampling for a </w:t>
      </w:r>
      <w:r w:rsidR="00562312">
        <w:rPr>
          <w:rFonts w:ascii="Georgia Pro" w:hAnsi="Georgia Pro"/>
        </w:rPr>
        <w:t>maximum</w:t>
      </w:r>
      <w:r w:rsidR="00562312" w:rsidRPr="00BB11EB">
        <w:rPr>
          <w:rFonts w:ascii="Georgia Pro" w:hAnsi="Georgia Pro"/>
        </w:rPr>
        <w:t xml:space="preserve"> of 108 nests monitored in 2021.</w:t>
      </w:r>
      <w:r w:rsidR="00DD2721">
        <w:rPr>
          <w:rFonts w:ascii="Georgia Pro" w:hAnsi="Georgia Pro"/>
        </w:rPr>
        <w:t xml:space="preserve"> </w:t>
      </w:r>
      <w:r w:rsidR="007B2771">
        <w:rPr>
          <w:rFonts w:ascii="Georgia Pro" w:hAnsi="Georgia Pro"/>
        </w:rPr>
        <w:t xml:space="preserve">We intend to visit the nests not more than once a week. </w:t>
      </w:r>
      <w:r w:rsidR="00DD2721">
        <w:rPr>
          <w:rFonts w:ascii="Georgia Pro" w:hAnsi="Georgia Pro"/>
        </w:rPr>
        <w:t xml:space="preserve">Please see Figure 1 for a map of </w:t>
      </w:r>
      <w:r w:rsidR="001F5AC8">
        <w:rPr>
          <w:rFonts w:ascii="Georgia Pro" w:hAnsi="Georgia Pro"/>
        </w:rPr>
        <w:t>most sites</w:t>
      </w:r>
      <w:r w:rsidR="00DD2721">
        <w:rPr>
          <w:rFonts w:ascii="Georgia Pro" w:hAnsi="Georgia Pro"/>
        </w:rPr>
        <w:t xml:space="preserve"> I propose to monitor.</w:t>
      </w:r>
      <w:r w:rsidR="00562312" w:rsidRPr="00BB11EB">
        <w:rPr>
          <w:rFonts w:ascii="Georgia Pro" w:hAnsi="Georgia Pro"/>
        </w:rPr>
        <w:t xml:space="preserve"> </w:t>
      </w:r>
      <w:r w:rsidR="00DD2721">
        <w:rPr>
          <w:rFonts w:ascii="Georgia Pro" w:hAnsi="Georgia Pro"/>
        </w:rPr>
        <w:t xml:space="preserve">I have installed three sets of 10 nestboxes each at the following row crop sites: (1) H.M. Clause Innovation Center, (2) Foundation Plant Services, (3) Russell Ranch Century Experiment. In addition, I have installed 10 nestboxes in orchards at (4) Foundation Plant Services. </w:t>
      </w:r>
      <w:r w:rsidR="00562312">
        <w:rPr>
          <w:rFonts w:ascii="Georgia Pro" w:hAnsi="Georgia Pro"/>
        </w:rPr>
        <w:t xml:space="preserve">I </w:t>
      </w:r>
      <w:r w:rsidR="00DD2721">
        <w:rPr>
          <w:rFonts w:ascii="Georgia Pro" w:hAnsi="Georgia Pro"/>
        </w:rPr>
        <w:t xml:space="preserve">have secured permission to access nestboxes previously installed in grassland at (5) Putah Creek Riparian Reserve (PCRR) and (6) South Fork Preserve (owned by the City of Davis), and installed 10 nest boxes in (7) PCRR’s Experimental Ecosystem. </w:t>
      </w:r>
      <w:r w:rsidRPr="00BB11EB">
        <w:rPr>
          <w:rFonts w:ascii="Georgia Pro" w:hAnsi="Georgia Pro"/>
        </w:rPr>
        <w:t xml:space="preserve">I </w:t>
      </w:r>
      <w:r w:rsidR="00562312">
        <w:rPr>
          <w:rFonts w:ascii="Georgia Pro" w:hAnsi="Georgia Pro"/>
        </w:rPr>
        <w:t xml:space="preserve">am requesting access to the following sites in the </w:t>
      </w:r>
      <w:r w:rsidRPr="00BB11EB">
        <w:rPr>
          <w:rFonts w:ascii="Georgia Pro" w:hAnsi="Georgia Pro"/>
        </w:rPr>
        <w:t>Museum of Wildlife and Fish Biology (MWFB)</w:t>
      </w:r>
      <w:r w:rsidR="00562312">
        <w:rPr>
          <w:rFonts w:ascii="Georgia Pro" w:hAnsi="Georgia Pro"/>
        </w:rPr>
        <w:t xml:space="preserve">’s </w:t>
      </w:r>
      <w:r w:rsidRPr="00BB11EB">
        <w:rPr>
          <w:rFonts w:ascii="Georgia Pro" w:hAnsi="Georgia Pro"/>
        </w:rPr>
        <w:t>Putah Creek Nest Box Highway</w:t>
      </w:r>
      <w:r w:rsidR="00562312">
        <w:rPr>
          <w:rFonts w:ascii="Georgia Pro" w:hAnsi="Georgia Pro"/>
        </w:rPr>
        <w:t>: (</w:t>
      </w:r>
      <w:r w:rsidR="00DD2721">
        <w:rPr>
          <w:rFonts w:ascii="Georgia Pro" w:hAnsi="Georgia Pro"/>
        </w:rPr>
        <w:t>8</w:t>
      </w:r>
      <w:r w:rsidR="00562312">
        <w:rPr>
          <w:rFonts w:ascii="Georgia Pro" w:hAnsi="Georgia Pro"/>
        </w:rPr>
        <w:t>) Mace Boulevard (MBN), (</w:t>
      </w:r>
      <w:r w:rsidR="00DD2721">
        <w:rPr>
          <w:rFonts w:ascii="Georgia Pro" w:hAnsi="Georgia Pro"/>
        </w:rPr>
        <w:t>9</w:t>
      </w:r>
      <w:r w:rsidR="00562312">
        <w:rPr>
          <w:rFonts w:ascii="Georgia Pro" w:hAnsi="Georgia Pro"/>
        </w:rPr>
        <w:t>) Picnic Grounds (PIC), (</w:t>
      </w:r>
      <w:r w:rsidR="00DD2721">
        <w:rPr>
          <w:rFonts w:ascii="Georgia Pro" w:hAnsi="Georgia Pro"/>
        </w:rPr>
        <w:t>10</w:t>
      </w:r>
      <w:r w:rsidR="00562312">
        <w:rPr>
          <w:rFonts w:ascii="Georgia Pro" w:hAnsi="Georgia Pro"/>
        </w:rPr>
        <w:t>) Russell Ranch (RRR), McNamara Orchard, and Barbour Ranch.</w:t>
      </w:r>
    </w:p>
    <w:p w14:paraId="5BDCDC13" w14:textId="7C490E3E" w:rsidR="00DD2721" w:rsidRDefault="008B5626" w:rsidP="00BB11EB">
      <w:pPr>
        <w:rPr>
          <w:rFonts w:ascii="Georgia Pro" w:hAnsi="Georgia Pro"/>
        </w:rPr>
      </w:pPr>
      <w:r>
        <w:rPr>
          <w:rFonts w:ascii="Georgia Pro" w:hAnsi="Georgia Pro"/>
          <w:noProof/>
        </w:rPr>
        <w:lastRenderedPageBreak/>
        <w:drawing>
          <wp:inline distT="0" distB="0" distL="0" distR="0" wp14:anchorId="19B45ABC" wp14:editId="0793D0F7">
            <wp:extent cx="5943600" cy="4186555"/>
            <wp:effectExtent l="0" t="0" r="0" b="444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86555"/>
                    </a:xfrm>
                    <a:prstGeom prst="rect">
                      <a:avLst/>
                    </a:prstGeom>
                  </pic:spPr>
                </pic:pic>
              </a:graphicData>
            </a:graphic>
          </wp:inline>
        </w:drawing>
      </w:r>
    </w:p>
    <w:p w14:paraId="18096618" w14:textId="3266AD71" w:rsidR="00DD2721" w:rsidRPr="00BB11EB" w:rsidRDefault="00DD2721" w:rsidP="00BB11EB">
      <w:pPr>
        <w:rPr>
          <w:rFonts w:ascii="Georgia Pro" w:hAnsi="Georgia Pro"/>
        </w:rPr>
      </w:pPr>
      <w:r>
        <w:rPr>
          <w:rFonts w:ascii="Georgia Pro" w:hAnsi="Georgia Pro"/>
        </w:rPr>
        <w:t xml:space="preserve">Figure 1. </w:t>
      </w:r>
      <w:r w:rsidR="001F5AC8">
        <w:rPr>
          <w:rFonts w:ascii="Georgia Pro" w:hAnsi="Georgia Pro"/>
        </w:rPr>
        <w:t>10 of 12</w:t>
      </w:r>
      <w:r>
        <w:rPr>
          <w:rFonts w:ascii="Georgia Pro" w:hAnsi="Georgia Pro"/>
        </w:rPr>
        <w:t xml:space="preserve"> proposed sites: three each of four land uses.</w:t>
      </w:r>
      <w:r w:rsidR="001F5AC8">
        <w:rPr>
          <w:rFonts w:ascii="Georgia Pro" w:hAnsi="Georgia Pro"/>
        </w:rPr>
        <w:t xml:space="preserve"> </w:t>
      </w:r>
      <w:r w:rsidR="008B5626">
        <w:rPr>
          <w:rFonts w:ascii="Georgia Pro" w:hAnsi="Georgia Pro"/>
        </w:rPr>
        <w:t xml:space="preserve">Numbers refer to locations specified above in the text. </w:t>
      </w:r>
      <w:r w:rsidR="001F5AC8">
        <w:rPr>
          <w:rFonts w:ascii="Georgia Pro" w:hAnsi="Georgia Pro"/>
        </w:rPr>
        <w:t>I have not included McNamara Orchard or Barbour Ranch because I do not yet know the specific location of these sites.</w:t>
      </w:r>
    </w:p>
    <w:p w14:paraId="27C3EB5F" w14:textId="7A8D75B4" w:rsidR="00A431E0" w:rsidRDefault="00A431E0" w:rsidP="00BB11EB">
      <w:pPr>
        <w:rPr>
          <w:rFonts w:ascii="Georgia Pro" w:hAnsi="Georgia Pro"/>
        </w:rPr>
      </w:pPr>
      <w:r>
        <w:rPr>
          <w:rFonts w:ascii="Georgia Pro" w:hAnsi="Georgia Pro"/>
        </w:rPr>
        <w:t>To address question 1, we propose to use HOBO temperature loggers to track hourly temperature at three active nests at each site. One logger will be screwed onto the bottom of the nest box, and one will be placed inside, under the nest.</w:t>
      </w:r>
      <w:r w:rsidR="00BB11EB" w:rsidRPr="00BB11EB">
        <w:rPr>
          <w:rFonts w:ascii="Georgia Pro" w:hAnsi="Georgia Pro"/>
        </w:rPr>
        <w:t xml:space="preserve"> </w:t>
      </w:r>
      <w:r>
        <w:rPr>
          <w:rFonts w:ascii="Georgia Pro" w:hAnsi="Georgia Pro"/>
        </w:rPr>
        <w:t xml:space="preserve">We </w:t>
      </w:r>
      <w:r w:rsidR="00673AD0">
        <w:rPr>
          <w:rFonts w:ascii="Georgia Pro" w:hAnsi="Georgia Pro"/>
        </w:rPr>
        <w:t xml:space="preserve">will </w:t>
      </w:r>
      <w:r>
        <w:rPr>
          <w:rFonts w:ascii="Georgia Pro" w:hAnsi="Georgia Pro"/>
        </w:rPr>
        <w:t xml:space="preserve">place these loggers after egg laying, and to allow them to remain until after fledging to minimize the disturbance to the birds. </w:t>
      </w:r>
      <w:r w:rsidR="004014B7">
        <w:rPr>
          <w:rFonts w:ascii="Georgia Pro" w:hAnsi="Georgia Pro"/>
        </w:rPr>
        <w:t>Data will be offloaded after fledging, and the batteries do not need to be replaced over the course of the field season</w:t>
      </w:r>
      <w:r w:rsidR="002F5663">
        <w:rPr>
          <w:rFonts w:ascii="Georgia Pro" w:hAnsi="Georgia Pro"/>
        </w:rPr>
        <w:t>.</w:t>
      </w:r>
      <w:r w:rsidR="004014B7">
        <w:rPr>
          <w:rFonts w:ascii="Georgia Pro" w:hAnsi="Georgia Pro"/>
        </w:rPr>
        <w:t xml:space="preserve"> </w:t>
      </w:r>
      <w:r w:rsidR="00673AD0">
        <w:rPr>
          <w:rFonts w:ascii="Georgia Pro" w:hAnsi="Georgia Pro"/>
        </w:rPr>
        <w:t>We will use linear models to estimate the effect of land use and ambient temperature on nest box internal temperature.</w:t>
      </w:r>
    </w:p>
    <w:p w14:paraId="60E7373B" w14:textId="4008FDD2" w:rsidR="004014B7" w:rsidRPr="00BB11EB" w:rsidRDefault="00BB11EB" w:rsidP="004014B7">
      <w:pPr>
        <w:rPr>
          <w:rFonts w:ascii="Georgia Pro" w:hAnsi="Georgia Pro"/>
        </w:rPr>
      </w:pPr>
      <w:r w:rsidRPr="00BB11EB">
        <w:rPr>
          <w:rFonts w:ascii="Georgia Pro" w:hAnsi="Georgia Pro"/>
        </w:rPr>
        <w:t>To</w:t>
      </w:r>
      <w:r w:rsidR="000D0C00">
        <w:rPr>
          <w:rFonts w:ascii="Georgia Pro" w:hAnsi="Georgia Pro"/>
        </w:rPr>
        <w:t xml:space="preserve"> address question 2, </w:t>
      </w:r>
      <w:r w:rsidRPr="00BB11EB">
        <w:rPr>
          <w:rFonts w:ascii="Georgia Pro" w:hAnsi="Georgia Pro"/>
        </w:rPr>
        <w:t>I will use Raspberry Pi-based motion-activated cameras (Phillips et al. in review) that will record 30 seconds before and after motion activation</w:t>
      </w:r>
      <w:r w:rsidR="000D0C00">
        <w:rPr>
          <w:rFonts w:ascii="Georgia Pro" w:hAnsi="Georgia Pro"/>
        </w:rPr>
        <w:t xml:space="preserve"> to measure provisioning rate over the nestling period</w:t>
      </w:r>
      <w:r w:rsidRPr="00BB11EB">
        <w:rPr>
          <w:rFonts w:ascii="Georgia Pro" w:hAnsi="Georgia Pro"/>
        </w:rPr>
        <w:t>.</w:t>
      </w:r>
      <w:r w:rsidR="000D0C00">
        <w:rPr>
          <w:rFonts w:ascii="Georgia Pro" w:hAnsi="Georgia Pro"/>
        </w:rPr>
        <w:t xml:space="preserve"> I propose to place these cameras on top of</w:t>
      </w:r>
      <w:r w:rsidR="00F12504">
        <w:rPr>
          <w:rFonts w:ascii="Georgia Pro" w:hAnsi="Georgia Pro"/>
        </w:rPr>
        <w:t xml:space="preserve"> selected nest boxes</w:t>
      </w:r>
      <w:r w:rsidR="000D0C00">
        <w:rPr>
          <w:rFonts w:ascii="Georgia Pro" w:hAnsi="Georgia Pro"/>
        </w:rPr>
        <w:t>, facing down, so that they are compatible with the box lifting system employed in the Putah Creek Nest Box Highway.</w:t>
      </w:r>
      <w:r w:rsidR="00F12504">
        <w:rPr>
          <w:rFonts w:ascii="Georgia Pro" w:hAnsi="Georgia Pro"/>
        </w:rPr>
        <w:t xml:space="preserve"> </w:t>
      </w:r>
      <w:r w:rsidR="007B2771">
        <w:rPr>
          <w:rFonts w:ascii="Georgia Pro" w:hAnsi="Georgia Pro"/>
        </w:rPr>
        <w:t xml:space="preserve">Box installation requires less than five minutes because the cameras are pre-assembled and then attached to the top of the boxes using Velcro. </w:t>
      </w:r>
      <w:r w:rsidR="00F12504">
        <w:rPr>
          <w:rFonts w:ascii="Georgia Pro" w:hAnsi="Georgia Pro"/>
        </w:rPr>
        <w:t xml:space="preserve">This year we propose to place one camera per site, with potential for expansion if the cameras perform well. </w:t>
      </w:r>
      <w:r w:rsidR="004014B7">
        <w:rPr>
          <w:rFonts w:ascii="Georgia Pro" w:hAnsi="Georgia Pro"/>
        </w:rPr>
        <w:t>We will place the cameras during the first visit</w:t>
      </w:r>
      <w:r w:rsidR="002F5663">
        <w:rPr>
          <w:rFonts w:ascii="Georgia Pro" w:hAnsi="Georgia Pro"/>
        </w:rPr>
        <w:t xml:space="preserve"> to the nest during the fledging period</w:t>
      </w:r>
      <w:r w:rsidR="004014B7">
        <w:rPr>
          <w:rFonts w:ascii="Georgia Pro" w:hAnsi="Georgia Pro"/>
        </w:rPr>
        <w:t xml:space="preserve"> and remove them </w:t>
      </w:r>
      <w:r w:rsidR="002F5663">
        <w:rPr>
          <w:rFonts w:ascii="Georgia Pro" w:hAnsi="Georgia Pro"/>
        </w:rPr>
        <w:t>during the second</w:t>
      </w:r>
      <w:r w:rsidR="00F12504">
        <w:rPr>
          <w:rFonts w:ascii="Georgia Pro" w:hAnsi="Georgia Pro"/>
        </w:rPr>
        <w:t>. If possible, we will then move the camera to an appropriate nest at the same site.</w:t>
      </w:r>
      <w:r w:rsidR="004014B7">
        <w:rPr>
          <w:rFonts w:ascii="Georgia Pro" w:hAnsi="Georgia Pro"/>
        </w:rPr>
        <w:t xml:space="preserve"> We will use linear models to estimate the effects of land use and ambient temperature on provisioning rate.</w:t>
      </w:r>
    </w:p>
    <w:p w14:paraId="461730DA" w14:textId="33A27B38" w:rsidR="00BB11EB" w:rsidRPr="00452A60" w:rsidRDefault="00BB11EB" w:rsidP="00452A60">
      <w:pPr>
        <w:rPr>
          <w:rFonts w:ascii="Georgia Pro" w:hAnsi="Georgia Pro"/>
        </w:rPr>
      </w:pPr>
      <w:r w:rsidRPr="00BB11EB">
        <w:rPr>
          <w:rFonts w:ascii="Georgia Pro" w:hAnsi="Georgia Pro"/>
        </w:rPr>
        <w:lastRenderedPageBreak/>
        <w:t xml:space="preserve">To address question 3, I </w:t>
      </w:r>
      <w:r w:rsidR="00F12504">
        <w:rPr>
          <w:rFonts w:ascii="Georgia Pro" w:hAnsi="Georgia Pro"/>
        </w:rPr>
        <w:t xml:space="preserve">propose to </w:t>
      </w:r>
      <w:r w:rsidRPr="00BB11EB">
        <w:rPr>
          <w:rFonts w:ascii="Georgia Pro" w:hAnsi="Georgia Pro"/>
        </w:rPr>
        <w:t xml:space="preserve">partner with the MWFB to monitor nestling growth and survival. </w:t>
      </w:r>
      <w:r w:rsidR="00F12504">
        <w:rPr>
          <w:rFonts w:ascii="Georgia Pro" w:hAnsi="Georgia Pro"/>
        </w:rPr>
        <w:t>I and Katia Goldberg will</w:t>
      </w:r>
      <w:r w:rsidRPr="00BB11EB">
        <w:rPr>
          <w:rFonts w:ascii="Georgia Pro" w:hAnsi="Georgia Pro"/>
        </w:rPr>
        <w:t xml:space="preserve"> record mass, tarsus length, bill length, and wing chord of nestlings</w:t>
      </w:r>
      <w:r w:rsidR="00F12504">
        <w:rPr>
          <w:rFonts w:ascii="Georgia Pro" w:hAnsi="Georgia Pro"/>
        </w:rPr>
        <w:t xml:space="preserve"> in selected non-Putah Creek Nestbox Highway boxes</w:t>
      </w:r>
      <w:r w:rsidRPr="00BB11EB">
        <w:rPr>
          <w:rFonts w:ascii="Georgia Pro" w:hAnsi="Georgia Pro"/>
        </w:rPr>
        <w:t xml:space="preserve"> twice</w:t>
      </w:r>
      <w:r w:rsidR="00F12504">
        <w:rPr>
          <w:rFonts w:ascii="Georgia Pro" w:hAnsi="Georgia Pro"/>
        </w:rPr>
        <w:t xml:space="preserve"> (one week apart)</w:t>
      </w:r>
      <w:r w:rsidRPr="00BB11EB">
        <w:rPr>
          <w:rFonts w:ascii="Georgia Pro" w:hAnsi="Georgia Pro"/>
        </w:rPr>
        <w:t xml:space="preserve"> during the nestling period and band them at the appropriate time.</w:t>
      </w:r>
      <w:r w:rsidR="00F12504">
        <w:rPr>
          <w:rFonts w:ascii="Georgia Pro" w:hAnsi="Georgia Pro"/>
        </w:rPr>
        <w:t xml:space="preserve"> Currently, the MWFB measures the nestlings once during the nestling period, at the time of banding. I propose that I perform a second measurement either a week before or a week after banding, as appropriate. I am currently in the process of being certified as a sub-permitee of master bander Andrew Engilis.</w:t>
      </w:r>
      <w:r w:rsidRPr="00BB11EB">
        <w:rPr>
          <w:rFonts w:ascii="Georgia Pro" w:hAnsi="Georgia Pro"/>
        </w:rPr>
        <w:t xml:space="preserve"> </w:t>
      </w:r>
      <w:r w:rsidR="00F12504">
        <w:rPr>
          <w:rFonts w:ascii="Georgia Pro" w:hAnsi="Georgia Pro"/>
        </w:rPr>
        <w:t>I will use GLMMs to compare the relative importance of internal nest box temperature (Question 1) and provisioning rate (Question 2) on nestling growth and survival among land uses.</w:t>
      </w:r>
    </w:p>
    <w:sectPr w:rsidR="00BB11EB" w:rsidRPr="00452A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Pro">
    <w:altName w:val="Georgia Pro"/>
    <w:charset w:val="00"/>
    <w:family w:val="roman"/>
    <w:pitch w:val="variable"/>
    <w:sig w:usb0="800002AF" w:usb1="0000000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AE2D11"/>
    <w:multiLevelType w:val="multilevel"/>
    <w:tmpl w:val="522CC11C"/>
    <w:lvl w:ilvl="0">
      <w:start w:val="4"/>
      <w:numFmt w:val="decimal"/>
      <w:lvlText w:val="Q%1."/>
      <w:lvlJc w:val="left"/>
      <w:pPr>
        <w:ind w:left="360" w:firstLine="0"/>
      </w:pPr>
      <w:rPr>
        <w:rFonts w:hint="default"/>
      </w:rPr>
    </w:lvl>
    <w:lvl w:ilvl="1">
      <w:start w:val="4"/>
      <w:numFmt w:val="decimal"/>
      <w:lvlText w:val="H%2."/>
      <w:lvlJc w:val="left"/>
      <w:pPr>
        <w:ind w:left="72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A60"/>
    <w:rsid w:val="000C102C"/>
    <w:rsid w:val="000D0C00"/>
    <w:rsid w:val="001F5AC8"/>
    <w:rsid w:val="002F5663"/>
    <w:rsid w:val="00312388"/>
    <w:rsid w:val="004014B7"/>
    <w:rsid w:val="00452A60"/>
    <w:rsid w:val="00562312"/>
    <w:rsid w:val="005C1239"/>
    <w:rsid w:val="006523CA"/>
    <w:rsid w:val="00673AD0"/>
    <w:rsid w:val="0070738E"/>
    <w:rsid w:val="007B2771"/>
    <w:rsid w:val="007D6292"/>
    <w:rsid w:val="00883918"/>
    <w:rsid w:val="008B5626"/>
    <w:rsid w:val="00A431E0"/>
    <w:rsid w:val="00BB11EB"/>
    <w:rsid w:val="00DD2721"/>
    <w:rsid w:val="00F12504"/>
    <w:rsid w:val="00F51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14F93"/>
  <w15:chartTrackingRefBased/>
  <w15:docId w15:val="{C2C334C8-A8B2-4459-9252-FF896C6AB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2A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2A6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B11EB"/>
    <w:rPr>
      <w:color w:val="0563C1" w:themeColor="hyperlink"/>
      <w:u w:val="single"/>
    </w:rPr>
  </w:style>
  <w:style w:type="character" w:styleId="UnresolvedMention">
    <w:name w:val="Unresolved Mention"/>
    <w:basedOn w:val="DefaultParagraphFont"/>
    <w:uiPriority w:val="99"/>
    <w:semiHidden/>
    <w:unhideWhenUsed/>
    <w:rsid w:val="00BB11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893912">
      <w:bodyDiv w:val="1"/>
      <w:marLeft w:val="0"/>
      <w:marRight w:val="0"/>
      <w:marTop w:val="0"/>
      <w:marBottom w:val="0"/>
      <w:divBdr>
        <w:top w:val="none" w:sz="0" w:space="0" w:color="auto"/>
        <w:left w:val="none" w:sz="0" w:space="0" w:color="auto"/>
        <w:bottom w:val="none" w:sz="0" w:space="0" w:color="auto"/>
        <w:right w:val="none" w:sz="0" w:space="0" w:color="auto"/>
      </w:divBdr>
    </w:div>
    <w:div w:id="588080136">
      <w:bodyDiv w:val="1"/>
      <w:marLeft w:val="0"/>
      <w:marRight w:val="0"/>
      <w:marTop w:val="0"/>
      <w:marBottom w:val="0"/>
      <w:divBdr>
        <w:top w:val="none" w:sz="0" w:space="0" w:color="auto"/>
        <w:left w:val="none" w:sz="0" w:space="0" w:color="auto"/>
        <w:bottom w:val="none" w:sz="0" w:space="0" w:color="auto"/>
        <w:right w:val="none" w:sz="0" w:space="0" w:color="auto"/>
      </w:divBdr>
    </w:div>
    <w:div w:id="1123304636">
      <w:bodyDiv w:val="1"/>
      <w:marLeft w:val="0"/>
      <w:marRight w:val="0"/>
      <w:marTop w:val="0"/>
      <w:marBottom w:val="0"/>
      <w:divBdr>
        <w:top w:val="none" w:sz="0" w:space="0" w:color="auto"/>
        <w:left w:val="none" w:sz="0" w:space="0" w:color="auto"/>
        <w:bottom w:val="none" w:sz="0" w:space="0" w:color="auto"/>
        <w:right w:val="none" w:sz="0" w:space="0" w:color="auto"/>
      </w:divBdr>
    </w:div>
    <w:div w:id="1811315842">
      <w:bodyDiv w:val="1"/>
      <w:marLeft w:val="0"/>
      <w:marRight w:val="0"/>
      <w:marTop w:val="0"/>
      <w:marBottom w:val="0"/>
      <w:divBdr>
        <w:top w:val="none" w:sz="0" w:space="0" w:color="auto"/>
        <w:left w:val="none" w:sz="0" w:space="0" w:color="auto"/>
        <w:bottom w:val="none" w:sz="0" w:space="0" w:color="auto"/>
        <w:right w:val="none" w:sz="0" w:space="0" w:color="auto"/>
      </w:divBdr>
    </w:div>
    <w:div w:id="192271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ettings" Target="settings.xml"/><Relationship Id="rId7" Type="http://schemas.openxmlformats.org/officeDocument/2006/relationships/hyperlink" Target="mailto:krgoldberg@ucdavis.ed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dkarp@ucdavis.edu" TargetMode="External"/><Relationship Id="rId5" Type="http://schemas.openxmlformats.org/officeDocument/2006/relationships/hyperlink" Target="mailto:kslauck@ucdavis.edu"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4</Pages>
  <Words>1387</Words>
  <Characters>7908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Lauck</dc:creator>
  <cp:keywords/>
  <dc:description/>
  <cp:lastModifiedBy>Katie Lauck</cp:lastModifiedBy>
  <cp:revision>12</cp:revision>
  <dcterms:created xsi:type="dcterms:W3CDTF">2021-04-10T01:04:00Z</dcterms:created>
  <dcterms:modified xsi:type="dcterms:W3CDTF">2022-02-17T02:31:00Z</dcterms:modified>
</cp:coreProperties>
</file>