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4500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雙動能交易策略--雙動能 (Dual Momentum)回測專案說明</w:t>
      </w:r>
    </w:p>
    <w:p w14:paraId="6227137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策略目標</w:t>
      </w:r>
    </w:p>
    <w:p w14:paraId="102205C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Calmar Ratio &gt; 4</w:t>
      </w:r>
    </w:p>
    <w:p w14:paraId="0443BB4C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35750197" w14:textId="77777777" w:rsidR="00F03938" w:rsidRPr="00F03938" w:rsidRDefault="00F03938" w:rsidP="00F03938">
      <w:pPr>
        <w:pStyle w:val="a3"/>
        <w:rPr>
          <w:rFonts w:hAnsi="細明體" w:cs="細明體"/>
        </w:rPr>
      </w:pPr>
      <w:proofErr w:type="gramStart"/>
      <w:r w:rsidRPr="00F03938">
        <w:rPr>
          <w:rFonts w:hAnsi="細明體" w:cs="細明體"/>
        </w:rPr>
        <w:t>最大回撤</w:t>
      </w:r>
      <w:proofErr w:type="gramEnd"/>
      <w:r w:rsidRPr="00F03938">
        <w:rPr>
          <w:rFonts w:hAnsi="細明體" w:cs="細明體"/>
        </w:rPr>
        <w:t xml:space="preserve"> (MDD) &lt; 15%</w:t>
      </w:r>
    </w:p>
    <w:p w14:paraId="64CAD36C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41DC0B5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年化報酬率 &gt; 100%</w:t>
      </w:r>
    </w:p>
    <w:p w14:paraId="1476BDDE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2A5EA685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資金配置</w:t>
      </w:r>
    </w:p>
    <w:p w14:paraId="0C2710F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初始資金：新台幣 1000 萬元</w:t>
      </w:r>
    </w:p>
    <w:p w14:paraId="51C37720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2BDEFD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每次單筆投入：1000 萬元</w:t>
      </w:r>
    </w:p>
    <w:p w14:paraId="5BA64C64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15CD70E5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平均分配至 最強動能前 2 檔商品</w:t>
      </w:r>
    </w:p>
    <w:p w14:paraId="0570CF7F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3D4E77E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資料來源</w:t>
      </w:r>
    </w:p>
    <w:p w14:paraId="29C1BAF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檔案：資料2.xls</w:t>
      </w:r>
    </w:p>
    <w:p w14:paraId="082F8389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21D5C968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內容：16 種商品的 周收盤價</w:t>
      </w:r>
    </w:p>
    <w:p w14:paraId="219C5BD2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67B543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特性：</w:t>
      </w:r>
    </w:p>
    <w:p w14:paraId="445B96E7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8B90798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商品起始時間不一致</w:t>
      </w:r>
    </w:p>
    <w:p w14:paraId="3D65065F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7B22E2B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回測時，隨著新商品逐步加入，擴大樣本群</w:t>
      </w:r>
    </w:p>
    <w:p w14:paraId="39A228A6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1CFE39E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例：</w:t>
      </w:r>
    </w:p>
    <w:p w14:paraId="60002556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0A54CF5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2017/5/2 → 5 檔商品</w:t>
      </w:r>
    </w:p>
    <w:p w14:paraId="6085F804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E88A752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2017/7/24 → 9 檔商品</w:t>
      </w:r>
    </w:p>
    <w:p w14:paraId="2B87A904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E6BC916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2017/9/4 → 10 檔商品</w:t>
      </w:r>
    </w:p>
    <w:p w14:paraId="580E012C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2C4FC6F5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2017/10/2 → 11 檔商品</w:t>
      </w:r>
    </w:p>
    <w:p w14:paraId="0B9073E8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3FBB4906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策略流程</w:t>
      </w:r>
    </w:p>
    <w:p w14:paraId="0EED386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計算動能</w:t>
      </w:r>
    </w:p>
    <w:p w14:paraId="3D9AB837" w14:textId="0DB4563D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lastRenderedPageBreak/>
        <w:t># 策略參數最佳化方法，使用</w:t>
      </w:r>
      <w:r w:rsidR="00096F4E">
        <w:rPr>
          <w:rFonts w:hAnsi="細明體" w:cs="細明體" w:hint="eastAsia"/>
        </w:rPr>
        <w:t>暴力</w:t>
      </w:r>
      <w:r w:rsidRPr="00F03938">
        <w:rPr>
          <w:rFonts w:hAnsi="細明體" w:cs="細明體"/>
        </w:rPr>
        <w:t>演算法</w:t>
      </w:r>
    </w:p>
    <w:p w14:paraId="7399F12A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73C5DAA1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## 目標優先順序</w:t>
      </w:r>
    </w:p>
    <w:p w14:paraId="086154CB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最終策略必須以 **Calmar ratio 最高** 為唯一目標。</w:t>
      </w:r>
    </w:p>
    <w:p w14:paraId="18FE9E6E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若全域最佳化能提供更高的 Calmar ratio，則選擇全域最佳化。</w:t>
      </w:r>
    </w:p>
    <w:p w14:paraId="7B109BA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- </w:t>
      </w:r>
      <w:proofErr w:type="gramStart"/>
      <w:r w:rsidRPr="00F03938">
        <w:rPr>
          <w:rFonts w:hAnsi="細明體" w:cs="細明體"/>
        </w:rPr>
        <w:t>若逐標</w:t>
      </w:r>
      <w:proofErr w:type="gramEnd"/>
      <w:r w:rsidRPr="00F03938">
        <w:rPr>
          <w:rFonts w:hAnsi="細明體" w:cs="細明體"/>
        </w:rPr>
        <w:t>的最佳化能提供更高的 Calmar ratio，則</w:t>
      </w:r>
      <w:proofErr w:type="gramStart"/>
      <w:r w:rsidRPr="00F03938">
        <w:rPr>
          <w:rFonts w:hAnsi="細明體" w:cs="細明體"/>
        </w:rPr>
        <w:t>選擇逐標的</w:t>
      </w:r>
      <w:proofErr w:type="gramEnd"/>
      <w:r w:rsidRPr="00F03938">
        <w:rPr>
          <w:rFonts w:hAnsi="細明體" w:cs="細明體"/>
        </w:rPr>
        <w:t>最佳化。</w:t>
      </w:r>
    </w:p>
    <w:p w14:paraId="473050A0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2391E6D0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## 1. 全域最佳化 (Global Optimization)</w:t>
      </w:r>
    </w:p>
    <w:p w14:paraId="2F50877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定義一組參數 (例如 [3, 15] 周)。可以是過去單周期、或是過去雙周期平均、或是</w:t>
      </w:r>
      <w:proofErr w:type="gramStart"/>
      <w:r w:rsidRPr="00F03938">
        <w:rPr>
          <w:rFonts w:hAnsi="細明體" w:cs="細明體"/>
        </w:rPr>
        <w:t>三</w:t>
      </w:r>
      <w:proofErr w:type="gramEnd"/>
      <w:r w:rsidRPr="00F03938">
        <w:rPr>
          <w:rFonts w:hAnsi="細明體" w:cs="細明體"/>
        </w:rPr>
        <w:t>周期平均</w:t>
      </w:r>
    </w:p>
    <w:p w14:paraId="3F6A9CA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對所有商品套用同一組參數。</w:t>
      </w:r>
    </w:p>
    <w:p w14:paraId="78088F20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- **若此方法的 Calmar ratio &gt; </w:t>
      </w:r>
      <w:proofErr w:type="gramStart"/>
      <w:r w:rsidRPr="00F03938">
        <w:rPr>
          <w:rFonts w:hAnsi="細明體" w:cs="細明體"/>
        </w:rPr>
        <w:t>逐標的</w:t>
      </w:r>
      <w:proofErr w:type="gramEnd"/>
      <w:r w:rsidRPr="00F03938">
        <w:rPr>
          <w:rFonts w:hAnsi="細明體" w:cs="細明體"/>
        </w:rPr>
        <w:t>最佳化，則最終採用此方法。**</w:t>
      </w:r>
    </w:p>
    <w:p w14:paraId="7B67C45E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6E55331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## 2. </w:t>
      </w:r>
      <w:proofErr w:type="gramStart"/>
      <w:r w:rsidRPr="00F03938">
        <w:rPr>
          <w:rFonts w:hAnsi="細明體" w:cs="細明體"/>
        </w:rPr>
        <w:t>逐標的</w:t>
      </w:r>
      <w:proofErr w:type="gramEnd"/>
      <w:r w:rsidRPr="00F03938">
        <w:rPr>
          <w:rFonts w:hAnsi="細明體" w:cs="細明體"/>
        </w:rPr>
        <w:t>最佳化 (Per-Asset Optimization)</w:t>
      </w:r>
    </w:p>
    <w:p w14:paraId="36B5612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每</w:t>
      </w:r>
      <w:proofErr w:type="gramStart"/>
      <w:r w:rsidRPr="00F03938">
        <w:rPr>
          <w:rFonts w:hAnsi="細明體" w:cs="細明體"/>
        </w:rPr>
        <w:t>個</w:t>
      </w:r>
      <w:proofErr w:type="gramEnd"/>
      <w:r w:rsidRPr="00F03938">
        <w:rPr>
          <w:rFonts w:hAnsi="細明體" w:cs="細明體"/>
        </w:rPr>
        <w:t>商品各自測試多組候選週期參數：</w:t>
      </w:r>
    </w:p>
    <w:p w14:paraId="675E0E81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  - 單週期 (如 13 周)</w:t>
      </w:r>
    </w:p>
    <w:p w14:paraId="1E5F612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  - 雙週期平均 (如 4 與 17 周)</w:t>
      </w:r>
    </w:p>
    <w:p w14:paraId="4C1FCDEB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  - 三週期平均 (如 3、9、19 周)</w:t>
      </w:r>
    </w:p>
    <w:p w14:paraId="7B2B90A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為每</w:t>
      </w:r>
      <w:proofErr w:type="gramStart"/>
      <w:r w:rsidRPr="00F03938">
        <w:rPr>
          <w:rFonts w:hAnsi="細明體" w:cs="細明體"/>
        </w:rPr>
        <w:t>個</w:t>
      </w:r>
      <w:proofErr w:type="gramEnd"/>
      <w:r w:rsidRPr="00F03938">
        <w:rPr>
          <w:rFonts w:hAnsi="細明體" w:cs="細明體"/>
        </w:rPr>
        <w:t>商品找出「自己最佳化後的參數組合」。</w:t>
      </w:r>
    </w:p>
    <w:p w14:paraId="5159402B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在每次再平衡時：</w:t>
      </w:r>
    </w:p>
    <w:p w14:paraId="67FF81DE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  1. 使用各商品的最佳化分數。</w:t>
      </w:r>
    </w:p>
    <w:p w14:paraId="50261018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  2. 排序挑選前 2 檔。</w:t>
      </w:r>
    </w:p>
    <w:p w14:paraId="5F443884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 xml:space="preserve">  3. 平均分配資金。</w:t>
      </w:r>
    </w:p>
    <w:p w14:paraId="57390AF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**若此方法的 Calmar ratio &gt; 全域最佳化，則最終採用此方法。**</w:t>
      </w:r>
    </w:p>
    <w:p w14:paraId="4265F4CD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C6D4539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## 3. 策略選擇規則</w:t>
      </w:r>
    </w:p>
    <w:p w14:paraId="670572F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在回測完成後，計算兩種方法的 Calmar ratio。</w:t>
      </w:r>
    </w:p>
    <w:p w14:paraId="571991E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**選擇 Calmar ratio 較高的方法作為最終回測結果。**</w:t>
      </w:r>
    </w:p>
    <w:p w14:paraId="0B002384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1F5F4071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4. 輸出結果</w:t>
      </w:r>
    </w:p>
    <w:p w14:paraId="2437FF7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篩選標的</w:t>
      </w:r>
    </w:p>
    <w:p w14:paraId="134FB4CC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73D7BDAA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選取 報酬率為正值 的前 2 檔商品</w:t>
      </w:r>
    </w:p>
    <w:p w14:paraId="36940E81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8FD4C7E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作為投資組合配置</w:t>
      </w:r>
    </w:p>
    <w:p w14:paraId="586C719D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34F66D4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交易規則</w:t>
      </w:r>
    </w:p>
    <w:p w14:paraId="2828C835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3F95500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lastRenderedPageBreak/>
        <w:t>每周重新配置一次。當周收盤價作為進出場價，計算持有期間報酬率</w:t>
      </w:r>
    </w:p>
    <w:p w14:paraId="5E2BEDEA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 策略再平衡與持股規則</w:t>
      </w:r>
    </w:p>
    <w:p w14:paraId="56530DE3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4B489C2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## 1. 新一期持股判斷</w:t>
      </w:r>
    </w:p>
    <w:p w14:paraId="3B9C349A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若新一期篩選出的商品與上一期相同，則 **保留原有持股數**。</w:t>
      </w:r>
    </w:p>
    <w:p w14:paraId="729AD202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不重新依照新一期股價計算股數。</w:t>
      </w:r>
    </w:p>
    <w:p w14:paraId="38777D4E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目的：確保損益計算正確，避免因股數變動而影響報酬率。</w:t>
      </w:r>
    </w:p>
    <w:p w14:paraId="5B0EE670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5AB2D01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## 2. 新增標的</w:t>
      </w:r>
    </w:p>
    <w:p w14:paraId="72EA62CA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若新一期篩選出的商品為新標的，則依照資金配置原則計算股數。</w:t>
      </w:r>
    </w:p>
    <w:p w14:paraId="24DCE103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48B0ECDB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## 3. 移除標的</w:t>
      </w:r>
    </w:p>
    <w:p w14:paraId="467B7350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若上一期持有商品未被新一期選中，則在新一期收盤價全數賣出，並計算損益。</w:t>
      </w:r>
    </w:p>
    <w:p w14:paraId="0903912B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8E4CE9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## 4. 損益計算原則</w:t>
      </w:r>
    </w:p>
    <w:p w14:paraId="2CD5C0D5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保留標的：沿用前一期股數，依新一期收盤價計算市值。</w:t>
      </w:r>
    </w:p>
    <w:p w14:paraId="1F5386A5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新增標的：依資金配置原則計算股數。</w:t>
      </w:r>
    </w:p>
    <w:p w14:paraId="6261248E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- 移除標的：依賣出價與原持股數計算損益。</w:t>
      </w:r>
    </w:p>
    <w:p w14:paraId="43C459C4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EB4898B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程式設計需求</w:t>
      </w:r>
    </w:p>
    <w:p w14:paraId="4F0D956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所有程式碼放在同一</w:t>
      </w:r>
      <w:proofErr w:type="gramStart"/>
      <w:r w:rsidRPr="00F03938">
        <w:rPr>
          <w:rFonts w:hAnsi="細明體" w:cs="細明體"/>
        </w:rPr>
        <w:t>個</w:t>
      </w:r>
      <w:proofErr w:type="gramEnd"/>
      <w:r w:rsidRPr="00F03938">
        <w:rPr>
          <w:rFonts w:hAnsi="細明體" w:cs="細明體"/>
        </w:rPr>
        <w:t xml:space="preserve"> </w:t>
      </w:r>
      <w:proofErr w:type="spellStart"/>
      <w:r w:rsidRPr="00F03938">
        <w:rPr>
          <w:rFonts w:hAnsi="細明體" w:cs="細明體"/>
        </w:rPr>
        <w:t>ipynb</w:t>
      </w:r>
      <w:proofErr w:type="spellEnd"/>
      <w:r w:rsidRPr="00F03938">
        <w:rPr>
          <w:rFonts w:hAnsi="細明體" w:cs="細明體"/>
        </w:rPr>
        <w:t xml:space="preserve"> 檔案，並把所有參數集中在同一區域，以利後續修改較為集中</w:t>
      </w:r>
    </w:p>
    <w:p w14:paraId="572A6112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FDACDA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必須有 結構嚴謹、詳細繁體中文註解</w:t>
      </w:r>
    </w:p>
    <w:p w14:paraId="5810388A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155DACE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輸出結果:</w:t>
      </w:r>
    </w:p>
    <w:p w14:paraId="55B7CE0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1. Excel 檔案：strategy_results.xlsx</w:t>
      </w:r>
    </w:p>
    <w:p w14:paraId="0768B1ED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67E90E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頁面</w:t>
      </w:r>
      <w:proofErr w:type="gramStart"/>
      <w:r w:rsidRPr="00F03938">
        <w:rPr>
          <w:rFonts w:hAnsi="細明體" w:cs="細明體"/>
        </w:rPr>
        <w:t>一</w:t>
      </w:r>
      <w:proofErr w:type="gramEnd"/>
      <w:r w:rsidRPr="00F03938">
        <w:rPr>
          <w:rFonts w:hAnsi="細明體" w:cs="細明體"/>
        </w:rPr>
        <w:t>:Trades：交易明細(含買進日期、標的名稱、價格、股數、每周平衡時保留倉與上一期相同之商品、賣出剃除商品、買進新持有商品、價格、股數、每期報酬表現)，包含每檔商品的最佳參數。買進參數詳細內容 (可多欄)原因。最後一欄：繁體中文說明選取出的資產及其相對動能值</w:t>
      </w:r>
    </w:p>
    <w:p w14:paraId="508B17BC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31A6B41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頁面二:</w:t>
      </w:r>
      <w:proofErr w:type="spellStart"/>
      <w:r w:rsidRPr="00F03938">
        <w:rPr>
          <w:rFonts w:hAnsi="細明體" w:cs="細明體"/>
        </w:rPr>
        <w:t>Equity_Curve</w:t>
      </w:r>
      <w:proofErr w:type="spellEnd"/>
      <w:r w:rsidRPr="00F03938">
        <w:rPr>
          <w:rFonts w:hAnsi="細明體" w:cs="細明體"/>
        </w:rPr>
        <w:t>:每期權益變化數據、權益曲線圖 (</w:t>
      </w:r>
      <w:proofErr w:type="gramStart"/>
      <w:r w:rsidRPr="00F03938">
        <w:rPr>
          <w:rFonts w:hAnsi="細明體" w:cs="細明體"/>
        </w:rPr>
        <w:t>含回撤</w:t>
      </w:r>
      <w:proofErr w:type="gramEnd"/>
      <w:r w:rsidRPr="00F03938">
        <w:rPr>
          <w:rFonts w:hAnsi="細明體" w:cs="細明體"/>
        </w:rPr>
        <w:t>陰影)</w:t>
      </w:r>
    </w:p>
    <w:p w14:paraId="27915BEE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E807F99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頁面三:</w:t>
      </w:r>
      <w:proofErr w:type="spellStart"/>
      <w:r w:rsidRPr="00F03938">
        <w:rPr>
          <w:rFonts w:hAnsi="細明體" w:cs="細明體"/>
        </w:rPr>
        <w:t>Equity_Hold</w:t>
      </w:r>
      <w:proofErr w:type="spellEnd"/>
      <w:r w:rsidRPr="00F03938">
        <w:rPr>
          <w:rFonts w:hAnsi="細明體" w:cs="細明體"/>
        </w:rPr>
        <w:t>:每期持股檔數與明細</w:t>
      </w:r>
    </w:p>
    <w:p w14:paraId="72ABDBA8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4616BC62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頁面四:Summary:包含</w:t>
      </w:r>
    </w:p>
    <w:p w14:paraId="7145DB48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1FFA57A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lastRenderedPageBreak/>
        <w:t>CAGR</w:t>
      </w:r>
    </w:p>
    <w:p w14:paraId="6200D311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4AE1E9F" w14:textId="77777777" w:rsidR="00F03938" w:rsidRPr="00F03938" w:rsidRDefault="00F03938" w:rsidP="00F03938">
      <w:pPr>
        <w:pStyle w:val="a3"/>
        <w:rPr>
          <w:rFonts w:hAnsi="細明體" w:cs="細明體"/>
        </w:rPr>
      </w:pPr>
      <w:proofErr w:type="spellStart"/>
      <w:r w:rsidRPr="00F03938">
        <w:rPr>
          <w:rFonts w:hAnsi="細明體" w:cs="細明體"/>
        </w:rPr>
        <w:t>MaxDD</w:t>
      </w:r>
      <w:proofErr w:type="spellEnd"/>
    </w:p>
    <w:p w14:paraId="36D9A5BC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56B7ED52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Calmar Ratio</w:t>
      </w:r>
    </w:p>
    <w:p w14:paraId="69183C54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1CF3EA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勝率 (Win Rate)</w:t>
      </w:r>
    </w:p>
    <w:p w14:paraId="66A45CB8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4A85F1E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最佳參數</w:t>
      </w:r>
    </w:p>
    <w:p w14:paraId="0F9F37AB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A27466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每年度年化報酬率</w:t>
      </w:r>
    </w:p>
    <w:p w14:paraId="7FC5C359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0E421EB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2. Markdown 文件 (繁體中文)</w:t>
      </w:r>
    </w:p>
    <w:p w14:paraId="2AF6267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嚴謹清晰</w:t>
      </w:r>
    </w:p>
    <w:p w14:paraId="402F5563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72EB97D8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詳細計算步驟</w:t>
      </w:r>
    </w:p>
    <w:p w14:paraId="532D345A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83E3658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可讓 AI 或研究者完整重現程式與結果</w:t>
      </w:r>
    </w:p>
    <w:p w14:paraId="55B772AF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79B77D8F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3. 參數高原表</w:t>
      </w:r>
    </w:p>
    <w:p w14:paraId="0F58DCED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將所有最佳化的參數值整理成表格</w:t>
      </w:r>
    </w:p>
    <w:p w14:paraId="5F201AE1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6DB41F13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顯示不同週期組合下的績效表現</w:t>
      </w:r>
    </w:p>
    <w:p w14:paraId="321906FA" w14:textId="77777777" w:rsidR="00F03938" w:rsidRPr="00F03938" w:rsidRDefault="00F03938" w:rsidP="00F03938">
      <w:pPr>
        <w:pStyle w:val="a3"/>
        <w:rPr>
          <w:rFonts w:hAnsi="細明體" w:cs="細明體"/>
        </w:rPr>
      </w:pPr>
    </w:p>
    <w:p w14:paraId="052D6E0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範例表格：參數高原表</w:t>
      </w:r>
    </w:p>
    <w:p w14:paraId="3AE2C7C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參數組合</w:t>
      </w:r>
      <w:r w:rsidRPr="00F03938">
        <w:rPr>
          <w:rFonts w:hAnsi="細明體" w:cs="細明體"/>
        </w:rPr>
        <w:tab/>
        <w:t>CAGR</w:t>
      </w:r>
      <w:r w:rsidRPr="00F03938">
        <w:rPr>
          <w:rFonts w:hAnsi="細明體" w:cs="細明體"/>
        </w:rPr>
        <w:tab/>
      </w:r>
      <w:proofErr w:type="spellStart"/>
      <w:r w:rsidRPr="00F03938">
        <w:rPr>
          <w:rFonts w:hAnsi="細明體" w:cs="細明體"/>
        </w:rPr>
        <w:t>MaxDD</w:t>
      </w:r>
      <w:proofErr w:type="spellEnd"/>
      <w:r w:rsidRPr="00F03938">
        <w:rPr>
          <w:rFonts w:hAnsi="細明體" w:cs="細明體"/>
        </w:rPr>
        <w:tab/>
        <w:t>Calmar</w:t>
      </w:r>
      <w:r w:rsidRPr="00F03938">
        <w:rPr>
          <w:rFonts w:hAnsi="細明體" w:cs="細明體"/>
        </w:rPr>
        <w:tab/>
        <w:t>勝率</w:t>
      </w:r>
      <w:r w:rsidRPr="00F03938">
        <w:rPr>
          <w:rFonts w:hAnsi="細明體" w:cs="細明體"/>
        </w:rPr>
        <w:tab/>
        <w:t>備註</w:t>
      </w:r>
    </w:p>
    <w:p w14:paraId="2916F0D7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12 周</w:t>
      </w:r>
      <w:r w:rsidRPr="00F03938">
        <w:rPr>
          <w:rFonts w:hAnsi="細明體" w:cs="細明體"/>
        </w:rPr>
        <w:tab/>
        <w:t>105%</w:t>
      </w:r>
      <w:r w:rsidRPr="00F03938">
        <w:rPr>
          <w:rFonts w:hAnsi="細明體" w:cs="細明體"/>
        </w:rPr>
        <w:tab/>
        <w:t>14%</w:t>
      </w:r>
      <w:r w:rsidRPr="00F03938">
        <w:rPr>
          <w:rFonts w:hAnsi="細明體" w:cs="細明體"/>
        </w:rPr>
        <w:tab/>
        <w:t>7.5</w:t>
      </w:r>
      <w:r w:rsidRPr="00F03938">
        <w:rPr>
          <w:rFonts w:hAnsi="細明體" w:cs="細明體"/>
        </w:rPr>
        <w:tab/>
        <w:t>62%</w:t>
      </w:r>
      <w:r w:rsidRPr="00F03938">
        <w:rPr>
          <w:rFonts w:hAnsi="細明體" w:cs="細明體"/>
        </w:rPr>
        <w:tab/>
        <w:t>單參數最佳</w:t>
      </w:r>
    </w:p>
    <w:p w14:paraId="70222FE2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5, 11 周</w:t>
      </w:r>
      <w:r w:rsidRPr="00F03938">
        <w:rPr>
          <w:rFonts w:hAnsi="細明體" w:cs="細明體"/>
        </w:rPr>
        <w:tab/>
        <w:t>110%</w:t>
      </w:r>
      <w:r w:rsidRPr="00F03938">
        <w:rPr>
          <w:rFonts w:hAnsi="細明體" w:cs="細明體"/>
        </w:rPr>
        <w:tab/>
        <w:t>13%</w:t>
      </w:r>
      <w:r w:rsidRPr="00F03938">
        <w:rPr>
          <w:rFonts w:hAnsi="細明體" w:cs="細明體"/>
        </w:rPr>
        <w:tab/>
        <w:t>8.4</w:t>
      </w:r>
      <w:r w:rsidRPr="00F03938">
        <w:rPr>
          <w:rFonts w:hAnsi="細明體" w:cs="細明體"/>
        </w:rPr>
        <w:tab/>
        <w:t>65%</w:t>
      </w:r>
      <w:r w:rsidRPr="00F03938">
        <w:rPr>
          <w:rFonts w:hAnsi="細明體" w:cs="細明體"/>
        </w:rPr>
        <w:tab/>
        <w:t>雙參數最佳</w:t>
      </w:r>
    </w:p>
    <w:p w14:paraId="6A93F1C0" w14:textId="77777777" w:rsidR="00F03938" w:rsidRPr="00F03938" w:rsidRDefault="00F03938" w:rsidP="00F03938">
      <w:pPr>
        <w:pStyle w:val="a3"/>
        <w:rPr>
          <w:rFonts w:hAnsi="細明體" w:cs="細明體"/>
        </w:rPr>
      </w:pPr>
      <w:r w:rsidRPr="00F03938">
        <w:rPr>
          <w:rFonts w:hAnsi="細明體" w:cs="細明體"/>
        </w:rPr>
        <w:t>4, 9, 15 周</w:t>
      </w:r>
      <w:r w:rsidRPr="00F03938">
        <w:rPr>
          <w:rFonts w:hAnsi="細明體" w:cs="細明體"/>
        </w:rPr>
        <w:tab/>
        <w:t>102%</w:t>
      </w:r>
      <w:r w:rsidRPr="00F03938">
        <w:rPr>
          <w:rFonts w:hAnsi="細明體" w:cs="細明體"/>
        </w:rPr>
        <w:tab/>
        <w:t>12%</w:t>
      </w:r>
      <w:r w:rsidRPr="00F03938">
        <w:rPr>
          <w:rFonts w:hAnsi="細明體" w:cs="細明體"/>
        </w:rPr>
        <w:tab/>
        <w:t>8.5</w:t>
      </w:r>
      <w:r w:rsidRPr="00F03938">
        <w:rPr>
          <w:rFonts w:hAnsi="細明體" w:cs="細明體"/>
        </w:rPr>
        <w:tab/>
        <w:t>63%</w:t>
      </w:r>
      <w:r w:rsidRPr="00F03938">
        <w:rPr>
          <w:rFonts w:hAnsi="細明體" w:cs="細明體"/>
        </w:rPr>
        <w:tab/>
        <w:t>三參數穩定</w:t>
      </w:r>
    </w:p>
    <w:p w14:paraId="48AE4E4E" w14:textId="77777777" w:rsidR="00F03938" w:rsidRDefault="00F03938" w:rsidP="00F03938">
      <w:pPr>
        <w:pStyle w:val="a3"/>
        <w:rPr>
          <w:rFonts w:hAnsi="細明體" w:cs="細明體"/>
        </w:rPr>
      </w:pPr>
    </w:p>
    <w:sectPr w:rsidR="00F03938" w:rsidSect="00A271D4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BB"/>
    <w:rsid w:val="00096F4E"/>
    <w:rsid w:val="004C52BB"/>
    <w:rsid w:val="00F0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2D3C"/>
  <w15:chartTrackingRefBased/>
  <w15:docId w15:val="{C80E0CE6-BBEB-41C3-A5E3-7D2B1B9D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271D4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A271D4"/>
    <w:rPr>
      <w:rFonts w:ascii="細明體" w:eastAsia="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劉憶珍</dc:creator>
  <cp:keywords/>
  <dc:description/>
  <cp:lastModifiedBy>劉憶珍</cp:lastModifiedBy>
  <cp:revision>2</cp:revision>
  <dcterms:created xsi:type="dcterms:W3CDTF">2026-02-10T01:57:00Z</dcterms:created>
  <dcterms:modified xsi:type="dcterms:W3CDTF">2026-02-10T01:57:00Z</dcterms:modified>
</cp:coreProperties>
</file>