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89860" w14:textId="77777777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 策略說明文件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1. 策略方法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使用 **</w:t>
      </w:r>
      <w:r w:rsidR="00B272E3" w:rsidRPr="00B272E3">
        <w:rPr>
          <w:rFonts w:hAnsi="細明體" w:cs="細明體"/>
        </w:rPr>
        <w:t xml:space="preserve"> </w:t>
      </w:r>
      <w:r w:rsidR="00B272E3" w:rsidRPr="0001602B">
        <w:rPr>
          <w:rFonts w:hAnsi="細明體" w:cs="細明體"/>
        </w:rPr>
        <w:t>Asset Class Trend Following</w:t>
      </w:r>
      <w:r w:rsidR="00B272E3" w:rsidRPr="00B6329A">
        <w:rPr>
          <w:rFonts w:hAnsi="細明體" w:cs="細明體"/>
        </w:rPr>
        <w:t xml:space="preserve"> </w:t>
      </w:r>
      <w:r w:rsidRPr="00B6329A">
        <w:rPr>
          <w:rFonts w:hAnsi="細明體" w:cs="細明體"/>
        </w:rPr>
        <w:t xml:space="preserve">** 方法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參考：</w:t>
      </w:r>
      <w:r w:rsidR="00B272E3" w:rsidRPr="00B272E3">
        <w:rPr>
          <w:rFonts w:hAnsi="細明體" w:cs="細明體"/>
        </w:rPr>
        <w:t>https://quantpedia.com/strategies/asset-class-trend-following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2. 資金使用方式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總資金：**</w:t>
      </w:r>
      <w:r w:rsidR="00B272E3">
        <w:rPr>
          <w:rFonts w:hAnsi="細明體" w:cs="細明體" w:hint="eastAsia"/>
        </w:rPr>
        <w:t>3000</w:t>
      </w:r>
      <w:r w:rsidRPr="00B6329A">
        <w:rPr>
          <w:rFonts w:hAnsi="細明體" w:cs="細明體"/>
        </w:rPr>
        <w:t xml:space="preserve">萬元**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- 每次投資組合均投入固定金額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最大持股：**</w:t>
      </w:r>
      <w:r w:rsidR="00B272E3">
        <w:rPr>
          <w:rFonts w:hAnsi="細明體" w:cs="細明體" w:hint="eastAsia"/>
        </w:rPr>
        <w:t>3</w:t>
      </w:r>
      <w:r w:rsidRPr="00B6329A">
        <w:rPr>
          <w:rFonts w:hAnsi="細明體" w:cs="細明體"/>
        </w:rPr>
        <w:t xml:space="preserve">檔**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3. 策略目標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- **Calmar Ratio &gt; </w:t>
      </w:r>
      <w:r w:rsidR="00B272E3">
        <w:rPr>
          <w:rFonts w:hAnsi="細明體" w:cs="細明體" w:hint="eastAsia"/>
        </w:rPr>
        <w:t>5</w:t>
      </w:r>
      <w:r w:rsidRPr="00B6329A">
        <w:rPr>
          <w:rFonts w:hAnsi="細明體" w:cs="細明體"/>
        </w:rPr>
        <w:t xml:space="preserve">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**</w:t>
      </w:r>
      <w:proofErr w:type="gramStart"/>
      <w:r w:rsidRPr="00B6329A">
        <w:rPr>
          <w:rFonts w:hAnsi="細明體" w:cs="細明體"/>
        </w:rPr>
        <w:t>最大回撤</w:t>
      </w:r>
      <w:proofErr w:type="gramEnd"/>
      <w:r w:rsidRPr="00B6329A">
        <w:rPr>
          <w:rFonts w:hAnsi="細明體" w:cs="細明體"/>
        </w:rPr>
        <w:t xml:space="preserve"> (MDD) &lt; </w:t>
      </w:r>
      <w:r w:rsidR="00B272E3">
        <w:rPr>
          <w:rFonts w:hAnsi="細明體" w:cs="細明體" w:hint="eastAsia"/>
        </w:rPr>
        <w:t>18</w:t>
      </w:r>
      <w:r w:rsidRPr="00B6329A">
        <w:rPr>
          <w:rFonts w:hAnsi="細明體" w:cs="細明體"/>
        </w:rPr>
        <w:t>%**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4. 資料整理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使用上傳的 **</w:t>
      </w:r>
      <w:r w:rsidR="00B272E3">
        <w:rPr>
          <w:rFonts w:hAnsi="細明體" w:cs="細明體" w:hint="eastAsia"/>
        </w:rPr>
        <w:t>d</w:t>
      </w:r>
      <w:r w:rsidR="00B272E3">
        <w:rPr>
          <w:rFonts w:hAnsi="細明體" w:cs="細明體"/>
        </w:rPr>
        <w:t>ata</w:t>
      </w:r>
      <w:r w:rsidRPr="00B6329A">
        <w:rPr>
          <w:rFonts w:hAnsi="細明體" w:cs="細明體"/>
        </w:rPr>
        <w:t xml:space="preserve">.xls**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內容：1</w:t>
      </w:r>
      <w:r w:rsidR="00B272E3">
        <w:rPr>
          <w:rFonts w:hAnsi="細明體" w:cs="細明體"/>
        </w:rPr>
        <w:t>22</w:t>
      </w:r>
      <w:r w:rsidRPr="00B6329A">
        <w:rPr>
          <w:rFonts w:hAnsi="細明體" w:cs="細明體"/>
        </w:rPr>
        <w:t xml:space="preserve"> 種商品價格 (</w:t>
      </w:r>
      <w:r w:rsidR="00B272E3">
        <w:rPr>
          <w:rFonts w:hAnsi="細明體" w:cs="細明體" w:hint="eastAsia"/>
        </w:rPr>
        <w:t>還原日收盤價</w:t>
      </w:r>
      <w:r w:rsidRPr="00B6329A">
        <w:rPr>
          <w:rFonts w:hAnsi="細明體" w:cs="細明體"/>
        </w:rPr>
        <w:t xml:space="preserve">)  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 xml:space="preserve">未上市標的: </w:t>
      </w:r>
      <w:r>
        <w:rPr>
          <w:rFonts w:hAnsi="細明體" w:cs="細明體" w:hint="eastAsia"/>
        </w:rPr>
        <w:t>當</w:t>
      </w:r>
      <w:r w:rsidRPr="0001602B">
        <w:rPr>
          <w:rFonts w:hAnsi="細明體" w:cs="細明體"/>
        </w:rPr>
        <w:t>Excel 檔內的 122 檔股票</w:t>
      </w:r>
      <w:r>
        <w:rPr>
          <w:rFonts w:hAnsi="細明體" w:cs="細明體" w:hint="eastAsia"/>
        </w:rPr>
        <w:t>有某些股票</w:t>
      </w:r>
      <w:r w:rsidRPr="0001602B">
        <w:rPr>
          <w:rFonts w:hAnsi="細明體" w:cs="細明體"/>
        </w:rPr>
        <w:t>初始值</w:t>
      </w:r>
      <w:proofErr w:type="gramStart"/>
      <w:r w:rsidRPr="0001602B">
        <w:rPr>
          <w:rFonts w:hAnsi="細明體" w:cs="細明體"/>
        </w:rPr>
        <w:t>為空欄</w:t>
      </w:r>
      <w:proofErr w:type="gramEnd"/>
      <w:r w:rsidRPr="0001602B">
        <w:rPr>
          <w:rFonts w:hAnsi="細明體" w:cs="細明體"/>
        </w:rPr>
        <w:t>，表示該期間該標的尚未上市，則以第一次出現的價格</w:t>
      </w:r>
      <w:r>
        <w:rPr>
          <w:rFonts w:hAnsi="細明體" w:cs="細明體" w:hint="eastAsia"/>
        </w:rPr>
        <w:t>往前</w:t>
      </w:r>
      <w:r w:rsidRPr="0001602B">
        <w:rPr>
          <w:rFonts w:hAnsi="細明體" w:cs="細明體"/>
        </w:rPr>
        <w:t>作為填補。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>暫停交易標的: 若交易期間有中斷價格，表示暫停交易，則以前一日的收盤價作為</w:t>
      </w:r>
      <w:r>
        <w:rPr>
          <w:rFonts w:hAnsi="細明體" w:cs="細明體" w:hint="eastAsia"/>
        </w:rPr>
        <w:t>中間空白值</w:t>
      </w:r>
      <w:r w:rsidRPr="0001602B">
        <w:rPr>
          <w:rFonts w:hAnsi="細明體" w:cs="細明體"/>
        </w:rPr>
        <w:t>填補。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272E3" w:rsidRPr="0001602B" w:rsidRDefault="00B6329A" w:rsidP="00B272E3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## 5. </w:t>
      </w:r>
      <w:r w:rsidR="00B272E3" w:rsidRPr="0001602B">
        <w:rPr>
          <w:rFonts w:hAnsi="細明體" w:cs="細明體"/>
        </w:rPr>
        <w:t>進出場邏輯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>每 5 天平衡一次，以 產生訊號日的下一交易日收盤價 作為進出場價格。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>當期新產出的應買進前 3 大持股。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>若有與前期相同的持股，則以前次持股</w:t>
      </w:r>
      <w:proofErr w:type="gramStart"/>
      <w:r w:rsidRPr="0001602B">
        <w:rPr>
          <w:rFonts w:hAnsi="細明體" w:cs="細明體"/>
        </w:rPr>
        <w:t>股</w:t>
      </w:r>
      <w:proofErr w:type="gramEnd"/>
      <w:r w:rsidRPr="0001602B">
        <w:rPr>
          <w:rFonts w:hAnsi="細明體" w:cs="細明體"/>
        </w:rPr>
        <w:t>數</w:t>
      </w:r>
      <w:proofErr w:type="gramStart"/>
      <w:r w:rsidRPr="0001602B">
        <w:rPr>
          <w:rFonts w:hAnsi="細明體" w:cs="細明體"/>
        </w:rPr>
        <w:t>繼續持倉</w:t>
      </w:r>
      <w:proofErr w:type="gramEnd"/>
      <w:r w:rsidRPr="0001602B">
        <w:rPr>
          <w:rFonts w:hAnsi="細明體" w:cs="細明體"/>
        </w:rPr>
        <w:t>，避免過度進出浪費交易成本。</w:t>
      </w:r>
    </w:p>
    <w:p w14:paraId="279A8FC2" w14:textId="70FB5B4D" w:rsidR="00B272E3" w:rsidRPr="0001602B" w:rsidRDefault="00B272E3" w:rsidP="00B272E3">
      <w:pPr>
        <w:pStyle w:val="a3"/>
        <w:rPr>
          <w:rFonts w:hAnsi="細明體" w:cs="細明體"/>
        </w:rPr>
      </w:pPr>
      <w:r w:rsidRPr="0001602B">
        <w:rPr>
          <w:rFonts w:hAnsi="細明體" w:cs="細明體"/>
        </w:rPr>
        <w:t>僅剔除不再符合條件的標的，並新增新的標的。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6. 參數使用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使用 **</w:t>
      </w:r>
      <w:r w:rsidR="00B272E3">
        <w:rPr>
          <w:rFonts w:hAnsi="細明體" w:cs="細明體" w:hint="eastAsia"/>
        </w:rPr>
        <w:t>暴力</w:t>
      </w:r>
      <w:r w:rsidRPr="00B6329A">
        <w:rPr>
          <w:rFonts w:hAnsi="細明體" w:cs="細明體"/>
        </w:rPr>
        <w:t>演算法** 找出</w:t>
      </w:r>
      <w:proofErr w:type="gramStart"/>
      <w:r w:rsidRPr="00B6329A">
        <w:rPr>
          <w:rFonts w:hAnsi="細明體" w:cs="細明體"/>
        </w:rPr>
        <w:t>最佳</w:t>
      </w:r>
      <w:r w:rsidR="00B272E3">
        <w:rPr>
          <w:rFonts w:hAnsi="細明體" w:cs="細明體" w:hint="eastAsia"/>
        </w:rPr>
        <w:t>均線</w:t>
      </w:r>
      <w:r w:rsidRPr="00B6329A">
        <w:rPr>
          <w:rFonts w:hAnsi="細明體" w:cs="細明體"/>
        </w:rPr>
        <w:t>參數</w:t>
      </w:r>
      <w:proofErr w:type="gramEnd"/>
      <w:r w:rsidRPr="00B6329A">
        <w:rPr>
          <w:rFonts w:hAnsi="細明體" w:cs="細明體"/>
        </w:rPr>
        <w:t xml:space="preserve">，目標：**Calmar Ratio 最高**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7. 交易重新配置期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**每</w:t>
      </w:r>
      <w:r w:rsidR="00B272E3">
        <w:rPr>
          <w:rFonts w:hAnsi="細明體" w:cs="細明體" w:hint="eastAsia"/>
        </w:rPr>
        <w:t>5天</w:t>
      </w:r>
      <w:r w:rsidRPr="00B6329A">
        <w:rPr>
          <w:rFonts w:hAnsi="細明體" w:cs="細明體"/>
        </w:rPr>
        <w:t xml:space="preserve">重新配置一次**  </w:t>
      </w:r>
      <w:r w:rsidR="00B272E3">
        <w:rPr>
          <w:rFonts w:hAnsi="細明體" w:cs="細明體" w:hint="eastAsia"/>
        </w:rPr>
        <w:t>T日產生訊號，T+1日進場交易。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---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 8. 程式架構與產出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- 所有程式放在同一</w:t>
      </w:r>
      <w:proofErr w:type="gramStart"/>
      <w:r w:rsidRPr="00B6329A">
        <w:rPr>
          <w:rFonts w:hAnsi="細明體" w:cs="細明體"/>
        </w:rPr>
        <w:t>個</w:t>
      </w:r>
      <w:proofErr w:type="gramEnd"/>
      <w:r w:rsidRPr="00B6329A">
        <w:rPr>
          <w:rFonts w:hAnsi="細明體" w:cs="細明體"/>
        </w:rPr>
        <w:t xml:space="preserve"> **IPYNB 檔**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- 結構嚴謹，附詳細繁體中文註解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- 所有參數值集中於同一區域，方便快速修正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### 產出結果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>1. **Excel 檔案 (strategy_results.</w:t>
      </w:r>
      <w:proofErr w:type="gramStart"/>
      <w:r w:rsidRPr="00B6329A">
        <w:rPr>
          <w:rFonts w:hAnsi="細明體" w:cs="細明體"/>
        </w:rPr>
        <w:t>xlsx)*</w:t>
      </w:r>
      <w:proofErr w:type="gramEnd"/>
      <w:r w:rsidRPr="00B6329A">
        <w:rPr>
          <w:rFonts w:hAnsi="細明體" w:cs="細明體"/>
        </w:rPr>
        <w:t xml:space="preserve">*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**Trades**：詳細交易明細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- 買入日期/價/股數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- 賣出日期/價/股數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- 損益、報酬率  </w:t>
      </w:r>
    </w:p>
    <w:p w14:paraId="279A8FC2" w14:textId="70FB5B4D"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- 買進參數詳細內容 (可多欄)  </w:t>
      </w:r>
    </w:p>
    <w:p w14:paraId="279A8FC2" w14:textId="70FB5B4D" w:rsidR="00A77D17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- 原因  </w:t>
      </w:r>
      <w:r w:rsidR="00B272E3">
        <w:rPr>
          <w:rFonts w:hAnsi="細明體" w:cs="細明體"/>
        </w:rPr>
        <w:t xml:space="preserve"> </w:t>
      </w:r>
      <w:r w:rsidR="00A77D17">
        <w:rPr>
          <w:rFonts w:hAnsi="細明體" w:cs="細明體"/>
        </w:rPr>
        <w:t xml:space="preserve"> </w:t>
      </w:r>
    </w:p>
    <w:p w14:paraId="279A8FC2" w14:textId="70FB5B4D" w:rsidR="00A77D17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  </w:t>
      </w:r>
      <w:proofErr w:type="gramStart"/>
      <w:r w:rsidR="00A77D17">
        <w:rPr>
          <w:rFonts w:hAnsi="細明體" w:cs="細明體" w:hint="eastAsia"/>
        </w:rPr>
        <w:t>要詳列</w:t>
      </w:r>
      <w:proofErr w:type="gramEnd"/>
      <w:r w:rsidR="00A77D17">
        <w:rPr>
          <w:rFonts w:hAnsi="細明體" w:cs="細明體" w:hint="eastAsia"/>
        </w:rPr>
        <w:t>說明續抱、剃除、新增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- 最後一欄：繁體中文說明選取資產及其相對動能值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**</w:t>
      </w:r>
      <w:proofErr w:type="spellStart"/>
      <w:r w:rsidRPr="00B6329A">
        <w:rPr>
          <w:rFonts w:hAnsi="細明體" w:cs="細明體"/>
        </w:rPr>
        <w:t>Equity_Curve</w:t>
      </w:r>
      <w:proofErr w:type="spellEnd"/>
      <w:r w:rsidRPr="00B6329A">
        <w:rPr>
          <w:rFonts w:hAnsi="細明體" w:cs="細明體"/>
        </w:rPr>
        <w:t>**：每</w:t>
      </w:r>
      <w:r w:rsidR="00A77D17">
        <w:rPr>
          <w:rFonts w:hAnsi="細明體" w:cs="細明體" w:hint="eastAsia"/>
        </w:rPr>
        <w:t>日</w:t>
      </w:r>
      <w:r w:rsidRPr="00B6329A">
        <w:rPr>
          <w:rFonts w:hAnsi="細明體" w:cs="細明體"/>
        </w:rPr>
        <w:t xml:space="preserve">權益變化數據及權益曲線圖 (含回撤陰影)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**</w:t>
      </w:r>
      <w:proofErr w:type="spellStart"/>
      <w:r w:rsidRPr="00B6329A">
        <w:rPr>
          <w:rFonts w:hAnsi="細明體" w:cs="細明體"/>
        </w:rPr>
        <w:t>Equity_Hold</w:t>
      </w:r>
      <w:proofErr w:type="spellEnd"/>
      <w:r w:rsidRPr="00B6329A">
        <w:rPr>
          <w:rFonts w:hAnsi="細明體" w:cs="細明體"/>
        </w:rPr>
        <w:t xml:space="preserve">**：每期持股檔數與明細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**Summary**：策略績效總結 (CAGR, </w:t>
      </w:r>
      <w:proofErr w:type="spellStart"/>
      <w:r w:rsidRPr="00B6329A">
        <w:rPr>
          <w:rFonts w:hAnsi="細明體" w:cs="細明體"/>
        </w:rPr>
        <w:t>MaxDD</w:t>
      </w:r>
      <w:proofErr w:type="spellEnd"/>
      <w:r w:rsidRPr="00B6329A">
        <w:rPr>
          <w:rFonts w:hAnsi="細明體" w:cs="細明體"/>
        </w:rPr>
        <w:t>, Calmar, Win Rate, 最佳參數等)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2. **Markdown 檔**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嚴謹清晰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嚴格依照詳細計算步驟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繁體中文撰寫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lastRenderedPageBreak/>
        <w:t xml:space="preserve">   - 讓 AI 可以重現完整程式及結果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3. **參數高原表**  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  <w:r w:rsidRPr="00B6329A">
        <w:rPr>
          <w:rFonts w:hAnsi="細明體" w:cs="細明體"/>
        </w:rPr>
        <w:t xml:space="preserve">   - 將所有最佳化的參數值整理成高原表</w:t>
      </w:r>
    </w:p>
    <w:p w:rsidR="00B6329A" w:rsidRPr="00B6329A" w:rsidRDefault="00B6329A" w:rsidP="00B6329A">
      <w:pPr>
        <w:pStyle w:val="a3"/>
        <w:rPr>
          <w:rFonts w:hAnsi="細明體" w:cs="細明體"/>
        </w:rPr>
      </w:pPr>
    </w:p>
    <w:sectPr w:rsidR="00B6329A" w:rsidRPr="00B6329A" w:rsidSect="00207141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078D0" w14:textId="77777777" w:rsidR="00FB705E" w:rsidRDefault="00FB705E" w:rsidP="00B272E3">
      <w:r>
        <w:separator/>
      </w:r>
    </w:p>
  </w:endnote>
  <w:endnote w:type="continuationSeparator" w:id="0">
    <w:p w14:paraId="6F1FBF39" w14:textId="77777777" w:rsidR="00FB705E" w:rsidRDefault="00FB705E" w:rsidP="00B27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67AB6" w14:textId="77777777" w:rsidR="00FB705E" w:rsidRDefault="00FB705E" w:rsidP="00B272E3">
      <w:r>
        <w:separator/>
      </w:r>
    </w:p>
  </w:footnote>
  <w:footnote w:type="continuationSeparator" w:id="0">
    <w:p w14:paraId="13F4D5D3" w14:textId="77777777" w:rsidR="00FB705E" w:rsidRDefault="00FB705E" w:rsidP="00B272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BB"/>
    <w:rsid w:val="004C52BB"/>
    <w:rsid w:val="00A77D17"/>
    <w:rsid w:val="00B272E3"/>
    <w:rsid w:val="00B6329A"/>
    <w:rsid w:val="00FB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BBAB18"/>
  <w15:chartTrackingRefBased/>
  <w15:docId w15:val="{E4918BE3-FBBF-42F1-A2B4-3EE7E1F5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07141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207141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2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272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272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272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劉憶珍</dc:creator>
  <cp:keywords/>
  <dc:description/>
  <cp:lastModifiedBy>劉憶珍</cp:lastModifiedBy>
  <cp:revision>2</cp:revision>
  <dcterms:created xsi:type="dcterms:W3CDTF">2026-02-05T09:02:00Z</dcterms:created>
  <dcterms:modified xsi:type="dcterms:W3CDTF">2026-02-05T09:02:00Z</dcterms:modified>
</cp:coreProperties>
</file>