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6834"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Title:</w:t>
      </w:r>
    </w:p>
    <w:p w14:paraId="2C686CBB" w14:textId="77777777" w:rsidR="00C8264F" w:rsidRPr="004549A1" w:rsidRDefault="00443802" w:rsidP="00C8264F">
      <w:pPr>
        <w:spacing w:line="480" w:lineRule="auto"/>
        <w:rPr>
          <w:rFonts w:ascii="Times New Roman" w:hAnsi="Times New Roman" w:cs="Times New Roman"/>
          <w:sz w:val="24"/>
          <w:szCs w:val="24"/>
          <w:lang w:val="en-US"/>
        </w:rPr>
      </w:pPr>
      <w:commentRangeStart w:id="0"/>
      <w:r w:rsidRPr="004549A1">
        <w:rPr>
          <w:rFonts w:ascii="Times New Roman" w:hAnsi="Times New Roman" w:cs="Times New Roman"/>
          <w:sz w:val="24"/>
          <w:szCs w:val="24"/>
          <w:lang w:val="en-US"/>
        </w:rPr>
        <w:t xml:space="preserve">Racial Residential </w:t>
      </w:r>
      <w:r w:rsidR="00C8264F" w:rsidRPr="004549A1">
        <w:rPr>
          <w:rFonts w:ascii="Times New Roman" w:hAnsi="Times New Roman" w:cs="Times New Roman"/>
          <w:sz w:val="24"/>
          <w:szCs w:val="24"/>
          <w:lang w:val="en-US"/>
        </w:rPr>
        <w:t>Segregation and Airborne Fine Particulate Matter Components in the United States</w:t>
      </w:r>
      <w:commentRangeEnd w:id="0"/>
      <w:r w:rsidR="009747C5" w:rsidRPr="004549A1">
        <w:rPr>
          <w:rStyle w:val="CommentReference"/>
          <w:rFonts w:ascii="Times New Roman" w:hAnsi="Times New Roman" w:cs="Times New Roman"/>
        </w:rPr>
        <w:commentReference w:id="0"/>
      </w:r>
    </w:p>
    <w:p w14:paraId="3D20139B"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Authors:</w:t>
      </w:r>
    </w:p>
    <w:p w14:paraId="129CFAB3" w14:textId="3F421743" w:rsidR="00C66525" w:rsidRPr="001F2B47" w:rsidRDefault="00C66525" w:rsidP="00C8264F">
      <w:pPr>
        <w:spacing w:line="480" w:lineRule="auto"/>
        <w:rPr>
          <w:rFonts w:ascii="Times New Roman" w:hAnsi="Times New Roman" w:cs="Times New Roman"/>
          <w:sz w:val="24"/>
          <w:szCs w:val="24"/>
          <w:lang w:val="en-US"/>
        </w:rPr>
      </w:pPr>
      <w:r w:rsidRPr="001F2B47">
        <w:rPr>
          <w:rFonts w:ascii="Times New Roman" w:hAnsi="Times New Roman" w:cs="Times New Roman"/>
          <w:sz w:val="24"/>
          <w:szCs w:val="24"/>
          <w:lang w:val="en-US"/>
        </w:rPr>
        <w:t>Katherine Rose Wolf</w:t>
      </w:r>
      <w:r w:rsidRPr="001F2B47">
        <w:rPr>
          <w:rFonts w:ascii="Times New Roman" w:hAnsi="Times New Roman" w:cs="Times New Roman"/>
          <w:sz w:val="24"/>
          <w:szCs w:val="24"/>
          <w:vertAlign w:val="superscript"/>
          <w:lang w:val="en-US"/>
        </w:rPr>
        <w:t>1,2</w:t>
      </w:r>
      <w:r w:rsidRPr="001F2B47">
        <w:rPr>
          <w:rFonts w:ascii="Times New Roman" w:hAnsi="Times New Roman" w:cs="Times New Roman"/>
          <w:sz w:val="24"/>
          <w:szCs w:val="24"/>
          <w:lang w:val="en-US"/>
        </w:rPr>
        <w:t>,</w:t>
      </w:r>
      <w:r w:rsidR="00B35FBC" w:rsidRPr="001F2B47">
        <w:rPr>
          <w:rFonts w:ascii="Times New Roman" w:hAnsi="Times New Roman" w:cs="Times New Roman"/>
          <w:sz w:val="24"/>
          <w:szCs w:val="24"/>
          <w:lang w:val="en-US"/>
        </w:rPr>
        <w:t xml:space="preserve"> </w:t>
      </w:r>
      <w:commentRangeStart w:id="1"/>
      <w:r w:rsidR="00B35FBC" w:rsidRPr="001F2B47">
        <w:rPr>
          <w:rFonts w:ascii="Times New Roman" w:hAnsi="Times New Roman" w:cs="Times New Roman"/>
          <w:sz w:val="24"/>
          <w:szCs w:val="24"/>
          <w:lang w:val="en-US"/>
        </w:rPr>
        <w:t>Chen Chen</w:t>
      </w:r>
      <w:r w:rsidR="00B35FBC" w:rsidRPr="001F2B47">
        <w:rPr>
          <w:rFonts w:ascii="Times New Roman" w:hAnsi="Times New Roman" w:cs="Times New Roman"/>
          <w:sz w:val="24"/>
          <w:szCs w:val="24"/>
          <w:vertAlign w:val="superscript"/>
          <w:lang w:val="en-US"/>
        </w:rPr>
        <w:t>1</w:t>
      </w:r>
      <w:commentRangeEnd w:id="1"/>
      <w:r w:rsidR="001F2B47">
        <w:rPr>
          <w:rStyle w:val="CommentReference"/>
        </w:rPr>
        <w:commentReference w:id="1"/>
      </w:r>
      <w:r w:rsidR="00B35FBC" w:rsidRPr="001F2B47">
        <w:rPr>
          <w:rFonts w:ascii="Times New Roman" w:hAnsi="Times New Roman" w:cs="Times New Roman"/>
          <w:sz w:val="24"/>
          <w:szCs w:val="24"/>
          <w:lang w:val="en-US"/>
        </w:rPr>
        <w:t>, Jiyoung Son</w:t>
      </w:r>
      <w:r w:rsidR="00B35FBC" w:rsidRPr="001F2B47">
        <w:rPr>
          <w:rFonts w:ascii="Times New Roman" w:hAnsi="Times New Roman" w:cs="Times New Roman"/>
          <w:sz w:val="24"/>
          <w:szCs w:val="24"/>
          <w:vertAlign w:val="superscript"/>
          <w:lang w:val="en-US"/>
        </w:rPr>
        <w:t>1</w:t>
      </w:r>
      <w:r w:rsidR="00B35FBC" w:rsidRPr="001F2B47">
        <w:rPr>
          <w:rFonts w:ascii="Times New Roman" w:hAnsi="Times New Roman" w:cs="Times New Roman"/>
          <w:sz w:val="24"/>
          <w:szCs w:val="24"/>
          <w:lang w:val="en-US"/>
        </w:rPr>
        <w:t xml:space="preserve">, </w:t>
      </w:r>
      <w:r w:rsidRPr="001F2B47">
        <w:rPr>
          <w:rFonts w:ascii="Times New Roman" w:hAnsi="Times New Roman" w:cs="Times New Roman"/>
          <w:sz w:val="24"/>
          <w:szCs w:val="24"/>
          <w:lang w:val="en-US"/>
        </w:rPr>
        <w:t>Nicole C. Deziel</w:t>
      </w:r>
      <w:r w:rsidRPr="001F2B47">
        <w:rPr>
          <w:rFonts w:ascii="Times New Roman" w:hAnsi="Times New Roman" w:cs="Times New Roman"/>
          <w:sz w:val="24"/>
          <w:szCs w:val="24"/>
          <w:vertAlign w:val="superscript"/>
          <w:lang w:val="en-US"/>
        </w:rPr>
        <w:t>2</w:t>
      </w:r>
      <w:r w:rsidRPr="001F2B47">
        <w:rPr>
          <w:rFonts w:ascii="Times New Roman" w:hAnsi="Times New Roman" w:cs="Times New Roman"/>
          <w:sz w:val="24"/>
          <w:szCs w:val="24"/>
          <w:lang w:val="en-US"/>
        </w:rPr>
        <w:t>, Rebecca Anthopolos</w:t>
      </w:r>
      <w:r w:rsidRPr="001F2B47">
        <w:rPr>
          <w:rFonts w:ascii="Times New Roman" w:hAnsi="Times New Roman" w:cs="Times New Roman"/>
          <w:sz w:val="24"/>
          <w:szCs w:val="24"/>
          <w:vertAlign w:val="superscript"/>
          <w:lang w:val="en-US"/>
        </w:rPr>
        <w:t>3</w:t>
      </w:r>
      <w:r w:rsidR="00C8264F" w:rsidRPr="001F2B47">
        <w:rPr>
          <w:rFonts w:ascii="Times New Roman" w:hAnsi="Times New Roman" w:cs="Times New Roman"/>
          <w:sz w:val="24"/>
          <w:szCs w:val="24"/>
          <w:lang w:val="en-US"/>
        </w:rPr>
        <w:t xml:space="preserve">, Marie </w:t>
      </w:r>
      <w:r w:rsidRPr="001F2B47">
        <w:rPr>
          <w:rFonts w:ascii="Times New Roman" w:hAnsi="Times New Roman" w:cs="Times New Roman"/>
          <w:sz w:val="24"/>
          <w:szCs w:val="24"/>
          <w:lang w:val="en-US"/>
        </w:rPr>
        <w:t>Lynn Miranda</w:t>
      </w:r>
      <w:r w:rsidR="00C8264F" w:rsidRPr="001F2B47">
        <w:rPr>
          <w:rFonts w:ascii="Times New Roman" w:hAnsi="Times New Roman" w:cs="Times New Roman"/>
          <w:sz w:val="24"/>
          <w:szCs w:val="24"/>
          <w:vertAlign w:val="superscript"/>
          <w:lang w:val="en-US"/>
        </w:rPr>
        <w:t>3</w:t>
      </w:r>
      <w:r w:rsidRPr="001F2B47">
        <w:rPr>
          <w:rFonts w:ascii="Times New Roman" w:hAnsi="Times New Roman" w:cs="Times New Roman"/>
          <w:sz w:val="24"/>
          <w:szCs w:val="24"/>
          <w:lang w:val="en-US"/>
        </w:rPr>
        <w:t>, Mercedes A. Bravo</w:t>
      </w:r>
      <w:r w:rsidRPr="001F2B47">
        <w:rPr>
          <w:rFonts w:ascii="Times New Roman" w:hAnsi="Times New Roman" w:cs="Times New Roman"/>
          <w:sz w:val="24"/>
          <w:szCs w:val="24"/>
          <w:vertAlign w:val="superscript"/>
          <w:lang w:val="en-US"/>
        </w:rPr>
        <w:t>3</w:t>
      </w:r>
      <w:r w:rsidRPr="001F2B47">
        <w:rPr>
          <w:rFonts w:ascii="Times New Roman" w:hAnsi="Times New Roman" w:cs="Times New Roman"/>
          <w:sz w:val="24"/>
          <w:szCs w:val="24"/>
          <w:lang w:val="en-US"/>
        </w:rPr>
        <w:t>, and Michelle L. Bell</w:t>
      </w:r>
      <w:r w:rsidRPr="001F2B47">
        <w:rPr>
          <w:rFonts w:ascii="Times New Roman" w:hAnsi="Times New Roman" w:cs="Times New Roman"/>
          <w:sz w:val="24"/>
          <w:szCs w:val="24"/>
          <w:vertAlign w:val="superscript"/>
          <w:lang w:val="en-US"/>
        </w:rPr>
        <w:t>1</w:t>
      </w:r>
    </w:p>
    <w:p w14:paraId="2B4A7341" w14:textId="58372A8F" w:rsidR="00C66525"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vertAlign w:val="superscript"/>
          <w:lang w:val="en-US"/>
        </w:rPr>
        <w:t>1</w:t>
      </w:r>
      <w:r w:rsidRPr="004549A1">
        <w:rPr>
          <w:rFonts w:ascii="Times New Roman" w:hAnsi="Times New Roman" w:cs="Times New Roman"/>
          <w:sz w:val="24"/>
          <w:szCs w:val="24"/>
          <w:lang w:val="en-US"/>
        </w:rPr>
        <w:t xml:space="preserve">Yale School of Forestry and Environmental Studies, New Haven, Connecticut,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A</w:t>
      </w:r>
    </w:p>
    <w:p w14:paraId="6234505D" w14:textId="44718D7C" w:rsidR="00C66525"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vertAlign w:val="superscript"/>
          <w:lang w:val="en-US"/>
        </w:rPr>
        <w:t>2</w:t>
      </w:r>
      <w:r w:rsidRPr="004549A1">
        <w:rPr>
          <w:rFonts w:ascii="Times New Roman" w:hAnsi="Times New Roman" w:cs="Times New Roman"/>
          <w:sz w:val="24"/>
          <w:szCs w:val="24"/>
          <w:lang w:val="en-US"/>
        </w:rPr>
        <w:t>Department of Environmental Health Science</w:t>
      </w:r>
      <w:r w:rsidR="00C8264F" w:rsidRPr="004549A1">
        <w:rPr>
          <w:rFonts w:ascii="Times New Roman" w:hAnsi="Times New Roman" w:cs="Times New Roman"/>
          <w:sz w:val="24"/>
          <w:szCs w:val="24"/>
          <w:lang w:val="en-US"/>
        </w:rPr>
        <w:t>s</w:t>
      </w:r>
      <w:r w:rsidRPr="004549A1">
        <w:rPr>
          <w:rFonts w:ascii="Times New Roman" w:hAnsi="Times New Roman" w:cs="Times New Roman"/>
          <w:sz w:val="24"/>
          <w:szCs w:val="24"/>
          <w:lang w:val="en-US"/>
        </w:rPr>
        <w:t xml:space="preserve">, Yale School of Public Health, New Haven, Connecticut,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A</w:t>
      </w:r>
      <w:bookmarkStart w:id="2" w:name="_GoBack"/>
      <w:bookmarkEnd w:id="2"/>
    </w:p>
    <w:p w14:paraId="0BFBF221" w14:textId="043C2BD8" w:rsidR="00C66525"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vertAlign w:val="superscript"/>
          <w:lang w:val="en-US"/>
        </w:rPr>
        <w:t>3</w:t>
      </w:r>
      <w:r w:rsidRPr="004549A1">
        <w:rPr>
          <w:rFonts w:ascii="Times New Roman" w:hAnsi="Times New Roman" w:cs="Times New Roman"/>
          <w:sz w:val="24"/>
          <w:szCs w:val="24"/>
          <w:lang w:val="en-US"/>
        </w:rPr>
        <w:t xml:space="preserve">Children’s Environmental Health Initiative, Rice University, Houston, TX,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A </w:t>
      </w:r>
    </w:p>
    <w:p w14:paraId="5B849682"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Corresponding Author:</w:t>
      </w:r>
    </w:p>
    <w:p w14:paraId="088ECDC0" w14:textId="77777777" w:rsidR="00443802"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Michelle L. Bell, Yale School of Forestry and Environmental Studies, 195 Prospect Street, New Haven,</w:t>
      </w:r>
      <w:r w:rsidR="00443802" w:rsidRPr="004549A1">
        <w:rPr>
          <w:rFonts w:ascii="Times New Roman" w:hAnsi="Times New Roman" w:cs="Times New Roman"/>
          <w:sz w:val="24"/>
          <w:szCs w:val="24"/>
          <w:lang w:val="en-US"/>
        </w:rPr>
        <w:t xml:space="preserve"> CT 06511</w:t>
      </w:r>
    </w:p>
    <w:p w14:paraId="6977EE07" w14:textId="77777777" w:rsidR="00443802"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Phone:  </w:t>
      </w:r>
      <w:r w:rsidR="00C8264F" w:rsidRPr="004549A1">
        <w:rPr>
          <w:rFonts w:ascii="Times New Roman" w:hAnsi="Times New Roman" w:cs="Times New Roman"/>
          <w:sz w:val="24"/>
          <w:szCs w:val="24"/>
          <w:lang w:val="en-US"/>
        </w:rPr>
        <w:t>203-432-9869</w:t>
      </w:r>
    </w:p>
    <w:p w14:paraId="38F373FC" w14:textId="77777777" w:rsidR="00C66525"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Email:  </w:t>
      </w:r>
      <w:r w:rsidR="00C8264F" w:rsidRPr="004549A1">
        <w:rPr>
          <w:rFonts w:ascii="Times New Roman" w:hAnsi="Times New Roman" w:cs="Times New Roman"/>
          <w:sz w:val="24"/>
          <w:szCs w:val="24"/>
          <w:lang w:val="en-US"/>
        </w:rPr>
        <w:t>michelle.bell</w:t>
      </w:r>
      <w:r w:rsidR="00C66525" w:rsidRPr="004549A1">
        <w:rPr>
          <w:rFonts w:ascii="Times New Roman" w:hAnsi="Times New Roman" w:cs="Times New Roman"/>
          <w:sz w:val="24"/>
          <w:szCs w:val="24"/>
          <w:lang w:val="en-US"/>
        </w:rPr>
        <w:t>@yale.edu.</w:t>
      </w:r>
    </w:p>
    <w:p w14:paraId="6EB56489" w14:textId="77777777" w:rsidR="00C66525" w:rsidRPr="004549A1" w:rsidRDefault="00C66525" w:rsidP="00C8264F">
      <w:pPr>
        <w:spacing w:line="480" w:lineRule="auto"/>
        <w:rPr>
          <w:rFonts w:ascii="Times New Roman" w:hAnsi="Times New Roman" w:cs="Times New Roman"/>
          <w:b/>
          <w:sz w:val="24"/>
          <w:szCs w:val="24"/>
          <w:lang w:val="en-US"/>
        </w:rPr>
      </w:pPr>
      <w:commentRangeStart w:id="3"/>
      <w:r w:rsidRPr="004549A1">
        <w:rPr>
          <w:rFonts w:ascii="Times New Roman" w:hAnsi="Times New Roman" w:cs="Times New Roman"/>
          <w:b/>
          <w:sz w:val="24"/>
          <w:szCs w:val="24"/>
          <w:lang w:val="en-US"/>
        </w:rPr>
        <w:t xml:space="preserve">Running Title: </w:t>
      </w:r>
      <w:commentRangeEnd w:id="3"/>
      <w:r w:rsidR="006B2D76" w:rsidRPr="004549A1">
        <w:rPr>
          <w:rStyle w:val="CommentReference"/>
          <w:rFonts w:ascii="Times New Roman" w:hAnsi="Times New Roman" w:cs="Times New Roman"/>
        </w:rPr>
        <w:commentReference w:id="3"/>
      </w:r>
    </w:p>
    <w:p w14:paraId="3FDEBB61" w14:textId="77777777" w:rsidR="00C66525"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Segregation and fine particulate matter components</w:t>
      </w:r>
    </w:p>
    <w:p w14:paraId="5EC74962"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 xml:space="preserve">Acknowledgments: </w:t>
      </w:r>
    </w:p>
    <w:p w14:paraId="1E5729F1" w14:textId="62A5B67A" w:rsidR="00C66525" w:rsidRPr="004549A1" w:rsidRDefault="006E5A35" w:rsidP="00FF259B">
      <w:pPr>
        <w:spacing w:line="480" w:lineRule="auto"/>
        <w:rPr>
          <w:rFonts w:ascii="Times New Roman" w:hAnsi="Times New Roman" w:cs="Times New Roman"/>
          <w:sz w:val="24"/>
          <w:szCs w:val="24"/>
          <w:lang w:val="en-US"/>
        </w:rPr>
      </w:pPr>
      <w:commentRangeStart w:id="4"/>
      <w:r w:rsidRPr="004549A1">
        <w:rPr>
          <w:rFonts w:ascii="Times New Roman" w:hAnsi="Times New Roman" w:cs="Times New Roman"/>
          <w:sz w:val="24"/>
          <w:szCs w:val="24"/>
          <w:lang w:val="en-US"/>
        </w:rPr>
        <w:t xml:space="preserve">This research was supported by grants from the Hixon Center for Urban Ecology, the Yale Institute for Biospheric Studies, and the </w:t>
      </w:r>
      <w:proofErr w:type="spellStart"/>
      <w:r w:rsidRPr="004549A1">
        <w:rPr>
          <w:rFonts w:ascii="Times New Roman" w:hAnsi="Times New Roman" w:cs="Times New Roman"/>
          <w:sz w:val="24"/>
          <w:szCs w:val="24"/>
          <w:lang w:val="en-US"/>
        </w:rPr>
        <w:t>Jubitz</w:t>
      </w:r>
      <w:proofErr w:type="spellEnd"/>
      <w:r w:rsidRPr="004549A1">
        <w:rPr>
          <w:rFonts w:ascii="Times New Roman" w:hAnsi="Times New Roman" w:cs="Times New Roman"/>
          <w:sz w:val="24"/>
          <w:szCs w:val="24"/>
          <w:lang w:val="en-US"/>
        </w:rPr>
        <w:t xml:space="preserve"> Family Endowmen</w:t>
      </w:r>
      <w:r w:rsidR="00FF259B" w:rsidRPr="004549A1">
        <w:rPr>
          <w:rFonts w:ascii="Times New Roman" w:hAnsi="Times New Roman" w:cs="Times New Roman"/>
          <w:sz w:val="24"/>
          <w:szCs w:val="24"/>
          <w:lang w:val="en-US"/>
        </w:rPr>
        <w:t>t for Research Internships Fund.</w:t>
      </w:r>
      <w:commentRangeEnd w:id="4"/>
      <w:r w:rsidR="00202A73" w:rsidRPr="004549A1">
        <w:rPr>
          <w:rStyle w:val="CommentReference"/>
          <w:rFonts w:ascii="Times New Roman" w:hAnsi="Times New Roman" w:cs="Times New Roman"/>
        </w:rPr>
        <w:commentReference w:id="4"/>
      </w:r>
      <w:r w:rsidR="005E01B8" w:rsidRPr="004549A1">
        <w:rPr>
          <w:rFonts w:ascii="Times New Roman" w:hAnsi="Times New Roman" w:cs="Times New Roman"/>
          <w:sz w:val="24"/>
          <w:szCs w:val="24"/>
          <w:lang w:val="en-US"/>
        </w:rPr>
        <w:t xml:space="preserve">  This paper was developed under Assistance Agreement No. RD835871 awarded by the United States Environmental Protection Agency (EPA) to Yale University. It has not been </w:t>
      </w:r>
      <w:r w:rsidR="005E01B8" w:rsidRPr="004549A1">
        <w:rPr>
          <w:rFonts w:ascii="Times New Roman" w:hAnsi="Times New Roman" w:cs="Times New Roman"/>
          <w:sz w:val="24"/>
          <w:szCs w:val="24"/>
          <w:lang w:val="en-US"/>
        </w:rPr>
        <w:lastRenderedPageBreak/>
        <w:t>formally reviewed by EPA. The views expressed in this document are solely those of the SEARCH Center and do not necessarily reflect those of the Agency. EPA does not endorse any products or commercial services mentioned in this publication.</w:t>
      </w:r>
    </w:p>
    <w:p w14:paraId="10F0C743"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 xml:space="preserve">Competing Financial Interests:  </w:t>
      </w:r>
    </w:p>
    <w:p w14:paraId="00191E79" w14:textId="77777777" w:rsidR="003F249F"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The authors declare they have no actual or potential competing financial interests.  </w:t>
      </w:r>
    </w:p>
    <w:p w14:paraId="0B6B5061" w14:textId="77777777" w:rsidR="00C8264F" w:rsidRPr="004549A1" w:rsidRDefault="00C8264F" w:rsidP="00C8264F">
      <w:pPr>
        <w:spacing w:line="480" w:lineRule="auto"/>
        <w:rPr>
          <w:rFonts w:ascii="Times New Roman" w:hAnsi="Times New Roman" w:cs="Times New Roman"/>
          <w:sz w:val="24"/>
          <w:szCs w:val="24"/>
          <w:lang w:val="en-US"/>
        </w:rPr>
      </w:pPr>
    </w:p>
    <w:p w14:paraId="2EF747EC" w14:textId="77777777" w:rsidR="00C8264F" w:rsidRPr="004549A1" w:rsidRDefault="00C8264F"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br w:type="page"/>
      </w:r>
    </w:p>
    <w:p w14:paraId="5F8EE26D" w14:textId="77777777" w:rsidR="00C8264F" w:rsidRPr="00975CBA" w:rsidRDefault="00C8264F" w:rsidP="00975CBA">
      <w:pPr>
        <w:spacing w:after="0" w:line="480" w:lineRule="auto"/>
        <w:jc w:val="both"/>
        <w:rPr>
          <w:rFonts w:ascii="Times New Roman" w:hAnsi="Times New Roman" w:cs="Times New Roman"/>
          <w:b/>
          <w:lang w:val="en-US"/>
        </w:rPr>
      </w:pPr>
      <w:commentRangeStart w:id="5"/>
      <w:r w:rsidRPr="00975CBA">
        <w:rPr>
          <w:rFonts w:ascii="Times New Roman" w:hAnsi="Times New Roman" w:cs="Times New Roman"/>
          <w:b/>
          <w:lang w:val="en-US"/>
        </w:rPr>
        <w:lastRenderedPageBreak/>
        <w:t>Abstract</w:t>
      </w:r>
      <w:commentRangeEnd w:id="5"/>
      <w:r w:rsidR="00706A80" w:rsidRPr="00975CBA">
        <w:rPr>
          <w:rStyle w:val="CommentReference"/>
          <w:rFonts w:ascii="Times New Roman" w:hAnsi="Times New Roman" w:cs="Times New Roman"/>
          <w:sz w:val="22"/>
          <w:szCs w:val="22"/>
        </w:rPr>
        <w:commentReference w:id="5"/>
      </w:r>
      <w:r w:rsidRPr="00975CBA">
        <w:rPr>
          <w:rFonts w:ascii="Times New Roman" w:hAnsi="Times New Roman" w:cs="Times New Roman"/>
          <w:b/>
          <w:lang w:val="en-US"/>
        </w:rPr>
        <w:t>:</w:t>
      </w:r>
      <w:r w:rsidRPr="00975CBA">
        <w:rPr>
          <w:rFonts w:ascii="Times New Roman" w:hAnsi="Times New Roman" w:cs="Times New Roman"/>
          <w:lang w:val="en-US"/>
        </w:rPr>
        <w:tab/>
      </w:r>
    </w:p>
    <w:p w14:paraId="60FA94DC" w14:textId="6A6869C3" w:rsidR="00706A80" w:rsidRPr="00975CBA" w:rsidRDefault="00C8264F"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Background:</w:t>
      </w:r>
      <w:r w:rsidRPr="00975CBA">
        <w:rPr>
          <w:rFonts w:ascii="Times New Roman" w:hAnsi="Times New Roman" w:cs="Times New Roman"/>
          <w:lang w:val="en-US"/>
        </w:rPr>
        <w:t xml:space="preserve">  </w:t>
      </w:r>
      <w:r w:rsidR="00706A80" w:rsidRPr="00975CBA">
        <w:rPr>
          <w:rFonts w:ascii="Times New Roman" w:hAnsi="Times New Roman" w:cs="Times New Roman"/>
          <w:lang w:val="en-US"/>
        </w:rPr>
        <w:t>Both exposure to fine particulate matter ≤ 2.5 microns in diameter (PM</w:t>
      </w:r>
      <w:r w:rsidR="00C26DC1" w:rsidRPr="00975CBA">
        <w:rPr>
          <w:rFonts w:ascii="Times New Roman" w:hAnsi="Times New Roman" w:cs="Times New Roman"/>
          <w:vertAlign w:val="subscript"/>
          <w:lang w:val="en-US"/>
        </w:rPr>
        <w:t>2.5</w:t>
      </w:r>
      <w:r w:rsidR="00706A80" w:rsidRPr="00975CBA">
        <w:rPr>
          <w:rFonts w:ascii="Times New Roman" w:hAnsi="Times New Roman" w:cs="Times New Roman"/>
          <w:lang w:val="en-US"/>
        </w:rPr>
        <w:t xml:space="preserve">) and </w:t>
      </w:r>
      <w:r w:rsidR="00E5564A" w:rsidRPr="00975CBA">
        <w:rPr>
          <w:rFonts w:ascii="Times New Roman" w:hAnsi="Times New Roman" w:cs="Times New Roman"/>
          <w:lang w:val="en-US"/>
        </w:rPr>
        <w:t xml:space="preserve">racial </w:t>
      </w:r>
      <w:r w:rsidR="00706A80" w:rsidRPr="00975CBA">
        <w:rPr>
          <w:rFonts w:ascii="Times New Roman" w:hAnsi="Times New Roman" w:cs="Times New Roman"/>
          <w:lang w:val="en-US"/>
        </w:rPr>
        <w:t>residential segregation, the separation of two or more groups into different neighborhoods by race,</w:t>
      </w:r>
      <w:r w:rsidR="00E5564A" w:rsidRPr="00975CBA">
        <w:rPr>
          <w:rFonts w:ascii="Times New Roman" w:hAnsi="Times New Roman" w:cs="Times New Roman"/>
          <w:lang w:val="en-US"/>
        </w:rPr>
        <w:t xml:space="preserve"> of African Americans</w:t>
      </w:r>
      <w:r w:rsidR="00706A80" w:rsidRPr="00975CBA">
        <w:rPr>
          <w:rFonts w:ascii="Times New Roman" w:hAnsi="Times New Roman" w:cs="Times New Roman"/>
          <w:lang w:val="en-US"/>
        </w:rPr>
        <w:t xml:space="preserve"> </w:t>
      </w:r>
      <w:r w:rsidR="0087516D" w:rsidRPr="00975CBA">
        <w:rPr>
          <w:rFonts w:ascii="Times New Roman" w:hAnsi="Times New Roman" w:cs="Times New Roman"/>
          <w:lang w:val="en-US"/>
        </w:rPr>
        <w:t>in the United States (</w:t>
      </w:r>
      <w:r w:rsidR="00901505" w:rsidRPr="00975CBA">
        <w:rPr>
          <w:rFonts w:ascii="Times New Roman" w:hAnsi="Times New Roman" w:cs="Times New Roman"/>
          <w:lang w:val="en-US"/>
        </w:rPr>
        <w:t>US</w:t>
      </w:r>
      <w:r w:rsidR="0087516D" w:rsidRPr="00975CBA">
        <w:rPr>
          <w:rFonts w:ascii="Times New Roman" w:hAnsi="Times New Roman" w:cs="Times New Roman"/>
          <w:lang w:val="en-US"/>
        </w:rPr>
        <w:t xml:space="preserve">) </w:t>
      </w:r>
      <w:r w:rsidR="00706A80" w:rsidRPr="00975CBA">
        <w:rPr>
          <w:rFonts w:ascii="Times New Roman" w:hAnsi="Times New Roman" w:cs="Times New Roman"/>
          <w:lang w:val="en-US"/>
        </w:rPr>
        <w:t>have been associated with</w:t>
      </w:r>
      <w:r w:rsidR="00667FBB" w:rsidRPr="00975CBA">
        <w:rPr>
          <w:rFonts w:ascii="Times New Roman" w:hAnsi="Times New Roman" w:cs="Times New Roman"/>
          <w:lang w:val="en-US"/>
        </w:rPr>
        <w:t xml:space="preserve"> common </w:t>
      </w:r>
      <w:r w:rsidR="00706A80" w:rsidRPr="00975CBA">
        <w:rPr>
          <w:rFonts w:ascii="Times New Roman" w:hAnsi="Times New Roman" w:cs="Times New Roman"/>
          <w:lang w:val="en-US"/>
        </w:rPr>
        <w:t xml:space="preserve">negative </w:t>
      </w:r>
      <w:commentRangeStart w:id="6"/>
      <w:r w:rsidR="00706A80" w:rsidRPr="00975CBA">
        <w:rPr>
          <w:rFonts w:ascii="Times New Roman" w:hAnsi="Times New Roman" w:cs="Times New Roman"/>
          <w:lang w:val="en-US"/>
        </w:rPr>
        <w:t>health outcomes including cardiovascular disease, respiratory disease, lung cancer, low birthweight, preterm birth, and death</w:t>
      </w:r>
      <w:commentRangeEnd w:id="6"/>
      <w:r w:rsidR="00041B1C" w:rsidRPr="00975CBA">
        <w:rPr>
          <w:rStyle w:val="CommentReference"/>
          <w:rFonts w:ascii="Times New Roman" w:hAnsi="Times New Roman" w:cs="Times New Roman"/>
          <w:sz w:val="22"/>
          <w:szCs w:val="22"/>
        </w:rPr>
        <w:commentReference w:id="6"/>
      </w:r>
      <w:r w:rsidR="00706A80" w:rsidRPr="00975CBA">
        <w:rPr>
          <w:rFonts w:ascii="Times New Roman" w:hAnsi="Times New Roman" w:cs="Times New Roman"/>
          <w:lang w:val="en-US"/>
        </w:rPr>
        <w:t xml:space="preserve">.  Evidence is mounting that </w:t>
      </w:r>
      <w:r w:rsidR="00667FBB" w:rsidRPr="00975CBA">
        <w:rPr>
          <w:rFonts w:ascii="Times New Roman" w:hAnsi="Times New Roman" w:cs="Times New Roman"/>
          <w:lang w:val="en-US"/>
        </w:rPr>
        <w:t xml:space="preserve">the toxicity of </w:t>
      </w:r>
      <w:r w:rsidR="00706A80" w:rsidRPr="00975CBA">
        <w:rPr>
          <w:rFonts w:ascii="Times New Roman" w:hAnsi="Times New Roman" w:cs="Times New Roman"/>
          <w:lang w:val="en-US"/>
        </w:rPr>
        <w:t>PM</w:t>
      </w:r>
      <w:r w:rsidR="00C26DC1" w:rsidRPr="00975CBA">
        <w:rPr>
          <w:rFonts w:ascii="Times New Roman" w:hAnsi="Times New Roman" w:cs="Times New Roman"/>
          <w:vertAlign w:val="subscript"/>
          <w:lang w:val="en-US"/>
        </w:rPr>
        <w:t>2.5</w:t>
      </w:r>
      <w:r w:rsidR="00667FBB" w:rsidRPr="00975CBA">
        <w:rPr>
          <w:rFonts w:ascii="Times New Roman" w:hAnsi="Times New Roman" w:cs="Times New Roman"/>
          <w:lang w:val="en-US"/>
        </w:rPr>
        <w:t xml:space="preserve"> varies according to its chemical composition.</w:t>
      </w:r>
    </w:p>
    <w:p w14:paraId="07916A8F" w14:textId="4FD8125E" w:rsidR="00C8264F" w:rsidRPr="00975CBA" w:rsidRDefault="00706A80"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Objectives:</w:t>
      </w:r>
      <w:r w:rsidRPr="00975CBA">
        <w:rPr>
          <w:rFonts w:ascii="Times New Roman" w:hAnsi="Times New Roman" w:cs="Times New Roman"/>
          <w:lang w:val="en-US"/>
        </w:rPr>
        <w:t xml:space="preserve">  </w:t>
      </w:r>
      <w:r w:rsidR="00667FBB" w:rsidRPr="00975CBA">
        <w:rPr>
          <w:rFonts w:ascii="Times New Roman" w:hAnsi="Times New Roman" w:cs="Times New Roman"/>
          <w:lang w:val="en-US"/>
        </w:rPr>
        <w:t xml:space="preserve">We </w:t>
      </w:r>
      <w:r w:rsidRPr="00975CBA">
        <w:rPr>
          <w:rFonts w:ascii="Times New Roman" w:hAnsi="Times New Roman" w:cs="Times New Roman"/>
          <w:lang w:val="en-US"/>
        </w:rPr>
        <w:t>evaluate</w:t>
      </w:r>
      <w:r w:rsidR="00667FBB" w:rsidRPr="00975CBA">
        <w:rPr>
          <w:rFonts w:ascii="Times New Roman" w:hAnsi="Times New Roman" w:cs="Times New Roman"/>
          <w:lang w:val="en-US"/>
        </w:rPr>
        <w:t>d</w:t>
      </w:r>
      <w:r w:rsidRPr="00975CBA">
        <w:rPr>
          <w:rFonts w:ascii="Times New Roman" w:hAnsi="Times New Roman" w:cs="Times New Roman"/>
          <w:lang w:val="en-US"/>
        </w:rPr>
        <w:t xml:space="preserve"> associations between African American </w:t>
      </w:r>
      <w:r w:rsidR="00667FBB" w:rsidRPr="00975CBA">
        <w:rPr>
          <w:rFonts w:ascii="Times New Roman" w:hAnsi="Times New Roman" w:cs="Times New Roman"/>
          <w:lang w:val="en-US"/>
        </w:rPr>
        <w:t xml:space="preserve">racial </w:t>
      </w:r>
      <w:r w:rsidR="00E5564A" w:rsidRPr="00975CBA">
        <w:rPr>
          <w:rFonts w:ascii="Times New Roman" w:hAnsi="Times New Roman" w:cs="Times New Roman"/>
          <w:lang w:val="en-US"/>
        </w:rPr>
        <w:t xml:space="preserve">residential </w:t>
      </w:r>
      <w:r w:rsidRPr="00975CBA">
        <w:rPr>
          <w:rFonts w:ascii="Times New Roman" w:hAnsi="Times New Roman" w:cs="Times New Roman"/>
          <w:lang w:val="en-US"/>
        </w:rPr>
        <w:t>segregation and PM</w:t>
      </w:r>
      <w:r w:rsidR="00C26DC1" w:rsidRPr="00975CBA">
        <w:rPr>
          <w:rFonts w:ascii="Times New Roman" w:hAnsi="Times New Roman" w:cs="Times New Roman"/>
          <w:vertAlign w:val="subscript"/>
          <w:lang w:val="en-US"/>
        </w:rPr>
        <w:t>2.5</w:t>
      </w:r>
      <w:r w:rsidR="0087516D" w:rsidRPr="00975CBA">
        <w:rPr>
          <w:rFonts w:ascii="Times New Roman" w:hAnsi="Times New Roman" w:cs="Times New Roman"/>
          <w:lang w:val="en-US"/>
        </w:rPr>
        <w:t xml:space="preserve"> total and component levels in the </w:t>
      </w:r>
      <w:r w:rsidR="006D0FD5">
        <w:rPr>
          <w:rFonts w:ascii="Times New Roman" w:hAnsi="Times New Roman" w:cs="Times New Roman"/>
          <w:lang w:val="en-US"/>
        </w:rPr>
        <w:t>US</w:t>
      </w:r>
    </w:p>
    <w:p w14:paraId="5875C1F3" w14:textId="3F39E650" w:rsidR="00901505" w:rsidRPr="00975CBA" w:rsidRDefault="00C8264F"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Methods:</w:t>
      </w:r>
      <w:r w:rsidRPr="00975CBA">
        <w:rPr>
          <w:rFonts w:ascii="Times New Roman" w:hAnsi="Times New Roman" w:cs="Times New Roman"/>
          <w:lang w:val="en-US"/>
        </w:rPr>
        <w:t xml:space="preserve">  </w:t>
      </w:r>
      <w:r w:rsidR="00901505" w:rsidRPr="00975CBA">
        <w:rPr>
          <w:rFonts w:ascii="Times New Roman" w:hAnsi="Times New Roman" w:cs="Times New Roman"/>
          <w:lang w:val="en-US"/>
        </w:rPr>
        <w:t>We calculated 2005-2015 average census tract concentrations of total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=886) and aluminum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arsenic (As)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bromine (Br)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=274), </w:t>
      </w:r>
      <w:r w:rsidR="00AB305C" w:rsidRPr="00975CBA">
        <w:rPr>
          <w:rFonts w:ascii="Times New Roman" w:hAnsi="Times New Roman" w:cs="Times New Roman"/>
          <w:lang w:val="en-US"/>
        </w:rPr>
        <w:t>cadmium</w:t>
      </w:r>
      <w:r w:rsidR="00975CBA">
        <w:rPr>
          <w:rFonts w:ascii="Times New Roman" w:hAnsi="Times New Roman" w:cs="Times New Roman"/>
          <w:lang w:val="en-US"/>
        </w:rPr>
        <w:t xml:space="preserve"> (</w:t>
      </w:r>
      <w:r w:rsidR="00975CBA" w:rsidRPr="00975CBA">
        <w:rPr>
          <w:rFonts w:ascii="Times New Roman" w:hAnsi="Times New Roman" w:cs="Times New Roman"/>
          <w:i/>
          <w:lang w:val="en-US"/>
        </w:rPr>
        <w:t>n</w:t>
      </w:r>
      <w:r w:rsidR="00975CBA" w:rsidRPr="00975CBA">
        <w:rPr>
          <w:rFonts w:ascii="Times New Roman" w:hAnsi="Times New Roman" w:cs="Times New Roman"/>
          <w:lang w:val="en-US"/>
        </w:rPr>
        <w:t>=276</w:t>
      </w:r>
      <w:r w:rsidR="00975CBA">
        <w:rPr>
          <w:rFonts w:ascii="Times New Roman" w:hAnsi="Times New Roman" w:cs="Times New Roman"/>
          <w:lang w:val="en-US"/>
        </w:rPr>
        <w:t>)</w:t>
      </w:r>
      <w:r w:rsidR="00AB305C" w:rsidRPr="00975CBA">
        <w:rPr>
          <w:rFonts w:ascii="Times New Roman" w:hAnsi="Times New Roman" w:cs="Times New Roman"/>
          <w:lang w:val="en-US"/>
        </w:rPr>
        <w:t xml:space="preserve">, </w:t>
      </w:r>
      <w:r w:rsidR="00901505" w:rsidRPr="00975CBA">
        <w:rPr>
          <w:rFonts w:ascii="Times New Roman" w:hAnsi="Times New Roman" w:cs="Times New Roman"/>
          <w:lang w:val="en-US"/>
        </w:rPr>
        <w:t>calcium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chlorine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copper (Cu)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=275), iron (Fe)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lead (Pb)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mercury</w:t>
      </w:r>
      <w:r w:rsidR="00AB305C" w:rsidRPr="00975CBA">
        <w:rPr>
          <w:rFonts w:ascii="Times New Roman" w:hAnsi="Times New Roman" w:cs="Times New Roman"/>
          <w:lang w:val="en-US"/>
        </w:rPr>
        <w:t xml:space="preserve"> </w:t>
      </w:r>
      <w:r w:rsidR="00901505" w:rsidRPr="00975CBA">
        <w:rPr>
          <w:rFonts w:ascii="Times New Roman" w:hAnsi="Times New Roman" w:cs="Times New Roman"/>
          <w:lang w:val="en-US"/>
        </w:rPr>
        <w:t>(</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=162), nickel (Ni)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silicon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sodium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=264), </w:t>
      </w:r>
      <w:r w:rsidR="00AB305C" w:rsidRPr="00975CBA">
        <w:rPr>
          <w:rFonts w:ascii="Times New Roman" w:hAnsi="Times New Roman" w:cs="Times New Roman"/>
          <w:lang w:val="en-US"/>
        </w:rPr>
        <w:t>titanium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=276), vanadium (V)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=276), zinc (Zn)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=276), ammonium ion (NH</w:t>
      </w:r>
      <w:r w:rsidR="00AB305C" w:rsidRPr="00975CBA">
        <w:rPr>
          <w:rFonts w:ascii="Times New Roman" w:hAnsi="Times New Roman" w:cs="Times New Roman"/>
          <w:vertAlign w:val="subscript"/>
          <w:lang w:val="en-US"/>
        </w:rPr>
        <w:t>4</w:t>
      </w:r>
      <w:r w:rsidR="00AB305C" w:rsidRPr="00975CBA">
        <w:rPr>
          <w:rFonts w:ascii="Times New Roman" w:hAnsi="Times New Roman" w:cs="Times New Roman"/>
          <w:vertAlign w:val="superscript"/>
          <w:lang w:val="en-US"/>
        </w:rPr>
        <w:t>+</w:t>
      </w:r>
      <w:r w:rsidR="00AB305C" w:rsidRPr="00975CBA">
        <w:rPr>
          <w:rFonts w:ascii="Times New Roman" w:hAnsi="Times New Roman" w:cs="Times New Roman"/>
          <w:lang w:val="en-US"/>
        </w:rPr>
        <w:t>)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=213), </w:t>
      </w:r>
      <w:r w:rsidR="00901505" w:rsidRPr="00975CBA">
        <w:rPr>
          <w:rFonts w:ascii="Times New Roman" w:hAnsi="Times New Roman" w:cs="Times New Roman"/>
          <w:lang w:val="en-US"/>
        </w:rPr>
        <w:t>sodium ion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=213), </w:t>
      </w:r>
      <w:r w:rsidR="00AB305C" w:rsidRPr="00975CBA">
        <w:rPr>
          <w:rFonts w:ascii="Times New Roman" w:hAnsi="Times New Roman" w:cs="Times New Roman"/>
          <w:lang w:val="en-US"/>
        </w:rPr>
        <w:t>nitrate ion (NO</w:t>
      </w:r>
      <w:r w:rsidR="00AB305C" w:rsidRPr="00975CBA">
        <w:rPr>
          <w:rFonts w:ascii="Times New Roman" w:hAnsi="Times New Roman" w:cs="Times New Roman"/>
          <w:vertAlign w:val="subscript"/>
          <w:lang w:val="en-US"/>
        </w:rPr>
        <w:t>3</w:t>
      </w:r>
      <w:r w:rsidR="00AB305C" w:rsidRPr="00975CBA">
        <w:rPr>
          <w:rFonts w:ascii="Times New Roman" w:hAnsi="Times New Roman" w:cs="Times New Roman"/>
          <w:vertAlign w:val="superscript"/>
          <w:lang w:val="en-US"/>
        </w:rPr>
        <w:t>–</w:t>
      </w:r>
      <w:r w:rsidR="00AB305C" w:rsidRPr="00975CBA">
        <w:rPr>
          <w:rFonts w:ascii="Times New Roman" w:hAnsi="Times New Roman" w:cs="Times New Roman"/>
          <w:lang w:val="en-US"/>
        </w:rPr>
        <w:t>)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=267), </w:t>
      </w:r>
      <w:r w:rsidR="00901505" w:rsidRPr="00975CBA">
        <w:rPr>
          <w:rFonts w:ascii="Times New Roman" w:hAnsi="Times New Roman" w:cs="Times New Roman"/>
          <w:lang w:val="en-US"/>
        </w:rPr>
        <w:t>sulfate ion (SO</w:t>
      </w:r>
      <w:r w:rsidR="00901505" w:rsidRPr="00975CBA">
        <w:rPr>
          <w:rFonts w:ascii="Times New Roman" w:hAnsi="Times New Roman" w:cs="Times New Roman"/>
          <w:vertAlign w:val="subscript"/>
          <w:lang w:val="en-US"/>
        </w:rPr>
        <w:t>4</w:t>
      </w:r>
      <w:r w:rsidR="00901505" w:rsidRPr="00975CBA">
        <w:rPr>
          <w:rFonts w:ascii="Times New Roman" w:hAnsi="Times New Roman" w:cs="Times New Roman"/>
          <w:vertAlign w:val="superscript"/>
          <w:lang w:val="en-US"/>
        </w:rPr>
        <w:t>2–</w:t>
      </w:r>
      <w:r w:rsidR="00901505" w:rsidRPr="00975CBA">
        <w:rPr>
          <w:rFonts w:ascii="Times New Roman" w:hAnsi="Times New Roman" w:cs="Times New Roman"/>
          <w:lang w:val="en-US"/>
        </w:rPr>
        <w:t>)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=277), </w:t>
      </w:r>
      <w:r w:rsidR="00AB305C" w:rsidRPr="00975CBA">
        <w:rPr>
          <w:rFonts w:ascii="Times New Roman" w:hAnsi="Times New Roman" w:cs="Times New Roman"/>
          <w:lang w:val="en-US"/>
        </w:rPr>
        <w:t>and elemental carbon (EC)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=201) </w:t>
      </w:r>
      <w:r w:rsidR="00901505" w:rsidRPr="00975CBA">
        <w:rPr>
          <w:rFonts w:ascii="Times New Roman" w:hAnsi="Times New Roman" w:cs="Times New Roman"/>
          <w:lang w:val="en-US"/>
        </w:rPr>
        <w:t>using daily averages from the US Environmental Protection Agency.  We used 2010 US Census data to calculate a spatial isolation (SI) index of RRS by census tract and 2008-2012 American Community Survey data to evaluate socioeconomic confounding.  We used a one-way analysis of variance to evaluate differences in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total and component concentrations by SI quintile and linear models to evaluate associations between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concentrations and SI quintiles.</w:t>
      </w:r>
    </w:p>
    <w:p w14:paraId="1A439D0F" w14:textId="65D62C6C" w:rsidR="00975CBA" w:rsidRPr="00975CBA" w:rsidRDefault="00C8264F" w:rsidP="00975CBA">
      <w:pPr>
        <w:pStyle w:val="Default"/>
        <w:tabs>
          <w:tab w:val="left" w:pos="1620"/>
        </w:tabs>
        <w:spacing w:line="480" w:lineRule="auto"/>
        <w:rPr>
          <w:rFonts w:ascii="Times New Roman" w:hAnsi="Times New Roman" w:cs="Times New Roman"/>
          <w:sz w:val="22"/>
          <w:szCs w:val="22"/>
        </w:rPr>
      </w:pPr>
      <w:r w:rsidRPr="00975CBA">
        <w:rPr>
          <w:rFonts w:ascii="Times New Roman" w:hAnsi="Times New Roman" w:cs="Times New Roman"/>
          <w:i/>
          <w:sz w:val="22"/>
          <w:szCs w:val="22"/>
          <w:lang w:val="en-US"/>
        </w:rPr>
        <w:t>Results:</w:t>
      </w:r>
      <w:r w:rsidRPr="00975CBA">
        <w:rPr>
          <w:rFonts w:ascii="Times New Roman" w:hAnsi="Times New Roman" w:cs="Times New Roman"/>
          <w:sz w:val="22"/>
          <w:szCs w:val="22"/>
          <w:lang w:val="en-US"/>
        </w:rPr>
        <w:t xml:space="preserve">  </w:t>
      </w:r>
      <w:r w:rsidR="001C53DD" w:rsidRPr="00975CBA">
        <w:rPr>
          <w:rFonts w:ascii="Times New Roman" w:hAnsi="Times New Roman" w:cs="Times New Roman"/>
          <w:sz w:val="22"/>
          <w:szCs w:val="22"/>
          <w:lang w:val="en-US"/>
        </w:rPr>
        <w:t>Concentrations of As, Br, Cu, Fe, Pb, Ni, V, Zn, NH</w:t>
      </w:r>
      <w:r w:rsidR="001C53DD" w:rsidRPr="00975CBA">
        <w:rPr>
          <w:rFonts w:ascii="Times New Roman" w:hAnsi="Times New Roman" w:cs="Times New Roman"/>
          <w:sz w:val="22"/>
          <w:szCs w:val="22"/>
          <w:vertAlign w:val="subscript"/>
          <w:lang w:val="en-US"/>
        </w:rPr>
        <w:t>4</w:t>
      </w:r>
      <w:r w:rsidR="001C53DD" w:rsidRPr="00975CBA">
        <w:rPr>
          <w:rFonts w:ascii="Times New Roman" w:hAnsi="Times New Roman" w:cs="Times New Roman"/>
          <w:sz w:val="22"/>
          <w:szCs w:val="22"/>
          <w:vertAlign w:val="superscript"/>
          <w:lang w:val="en-US"/>
        </w:rPr>
        <w:t>+</w:t>
      </w:r>
      <w:r w:rsidR="001C53DD" w:rsidRPr="00975CBA">
        <w:rPr>
          <w:rFonts w:ascii="Times New Roman" w:hAnsi="Times New Roman" w:cs="Times New Roman"/>
          <w:sz w:val="22"/>
          <w:szCs w:val="22"/>
          <w:lang w:val="en-US"/>
        </w:rPr>
        <w:t>, NO</w:t>
      </w:r>
      <w:r w:rsidR="001C53DD" w:rsidRPr="00975CBA">
        <w:rPr>
          <w:rFonts w:ascii="Times New Roman" w:hAnsi="Times New Roman" w:cs="Times New Roman"/>
          <w:sz w:val="22"/>
          <w:szCs w:val="22"/>
          <w:vertAlign w:val="subscript"/>
          <w:lang w:val="en-US"/>
        </w:rPr>
        <w:t>3</w:t>
      </w:r>
      <w:r w:rsidR="001C53DD" w:rsidRPr="00975CBA">
        <w:rPr>
          <w:rFonts w:ascii="Times New Roman" w:hAnsi="Times New Roman" w:cs="Times New Roman"/>
          <w:sz w:val="22"/>
          <w:szCs w:val="22"/>
          <w:vertAlign w:val="superscript"/>
          <w:lang w:val="en-US"/>
        </w:rPr>
        <w:t>-</w:t>
      </w:r>
      <w:r w:rsidR="001C53DD" w:rsidRPr="00975CBA">
        <w:rPr>
          <w:rFonts w:ascii="Times New Roman" w:hAnsi="Times New Roman" w:cs="Times New Roman"/>
          <w:sz w:val="22"/>
          <w:szCs w:val="22"/>
          <w:lang w:val="en-US"/>
        </w:rPr>
        <w:t>, and SO</w:t>
      </w:r>
      <w:r w:rsidR="001C53DD" w:rsidRPr="00975CBA">
        <w:rPr>
          <w:rFonts w:ascii="Times New Roman" w:hAnsi="Times New Roman" w:cs="Times New Roman"/>
          <w:sz w:val="22"/>
          <w:szCs w:val="22"/>
          <w:vertAlign w:val="subscript"/>
          <w:lang w:val="en-US"/>
        </w:rPr>
        <w:t>4</w:t>
      </w:r>
      <w:r w:rsidR="001C53DD" w:rsidRPr="00975CBA">
        <w:rPr>
          <w:rFonts w:ascii="Times New Roman" w:hAnsi="Times New Roman" w:cs="Times New Roman"/>
          <w:sz w:val="22"/>
          <w:szCs w:val="22"/>
          <w:vertAlign w:val="superscript"/>
          <w:lang w:val="en-US"/>
        </w:rPr>
        <w:t>2-</w:t>
      </w:r>
      <w:r w:rsidR="001C53DD" w:rsidRPr="00975CBA">
        <w:rPr>
          <w:rFonts w:ascii="Times New Roman" w:hAnsi="Times New Roman" w:cs="Times New Roman"/>
          <w:sz w:val="22"/>
          <w:szCs w:val="22"/>
          <w:lang w:val="en-US"/>
        </w:rPr>
        <w:t xml:space="preserve"> were higher for those living in the highest SI quintile than for those in the lowest.  </w:t>
      </w:r>
      <w:r w:rsidR="00975CBA" w:rsidRPr="00975CBA">
        <w:rPr>
          <w:rFonts w:ascii="Times New Roman" w:hAnsi="Times New Roman" w:cs="Times New Roman"/>
          <w:sz w:val="22"/>
          <w:szCs w:val="22"/>
        </w:rPr>
        <w:t>Linear models showed a 0.38-μg/m</w:t>
      </w:r>
      <w:r w:rsidR="00975CBA" w:rsidRPr="00975CBA">
        <w:rPr>
          <w:rFonts w:ascii="Times New Roman" w:hAnsi="Times New Roman" w:cs="Times New Roman"/>
          <w:sz w:val="22"/>
          <w:szCs w:val="22"/>
          <w:vertAlign w:val="superscript"/>
        </w:rPr>
        <w:t>3</w:t>
      </w:r>
      <w:r w:rsidR="00975CBA" w:rsidRPr="00975CBA">
        <w:rPr>
          <w:rFonts w:ascii="Times New Roman" w:hAnsi="Times New Roman" w:cs="Times New Roman"/>
          <w:sz w:val="22"/>
          <w:szCs w:val="22"/>
        </w:rPr>
        <w:t xml:space="preserve"> increase (</w:t>
      </w:r>
      <w:r w:rsidR="00975CBA" w:rsidRPr="00975CBA">
        <w:rPr>
          <w:rFonts w:ascii="Times New Roman" w:hAnsi="Times New Roman" w:cs="Times New Roman"/>
          <w:sz w:val="22"/>
          <w:szCs w:val="22"/>
          <w:shd w:val="clear" w:color="auto" w:fill="FFFFFF"/>
        </w:rPr>
        <w:t xml:space="preserve">95% CI: 0.22, 0.54, </w:t>
      </w:r>
      <w:r w:rsidR="00975CBA" w:rsidRPr="00975CBA">
        <w:rPr>
          <w:rFonts w:ascii="Times New Roman" w:hAnsi="Times New Roman" w:cs="Times New Roman"/>
          <w:i/>
          <w:sz w:val="22"/>
          <w:szCs w:val="22"/>
          <w:shd w:val="clear" w:color="auto" w:fill="FFFFFF"/>
        </w:rPr>
        <w:t>p</w:t>
      </w:r>
      <w:r w:rsidR="00353DA9">
        <w:rPr>
          <w:rFonts w:ascii="Times New Roman" w:hAnsi="Times New Roman" w:cs="Times New Roman"/>
          <w:i/>
          <w:sz w:val="22"/>
          <w:szCs w:val="22"/>
          <w:shd w:val="clear" w:color="auto" w:fill="FFFFFF"/>
        </w:rPr>
        <w:t xml:space="preserve"> </w:t>
      </w:r>
      <w:r w:rsidR="00975CBA" w:rsidRPr="00975CBA">
        <w:rPr>
          <w:rFonts w:ascii="Times New Roman" w:hAnsi="Times New Roman" w:cs="Times New Roman"/>
          <w:sz w:val="22"/>
          <w:szCs w:val="22"/>
          <w:shd w:val="clear" w:color="auto" w:fill="FFFFFF"/>
        </w:rPr>
        <w:t>&lt;</w:t>
      </w:r>
      <w:r w:rsidR="00353DA9">
        <w:rPr>
          <w:rFonts w:ascii="Times New Roman" w:hAnsi="Times New Roman" w:cs="Times New Roman"/>
          <w:sz w:val="22"/>
          <w:szCs w:val="22"/>
          <w:shd w:val="clear" w:color="auto" w:fill="FFFFFF"/>
        </w:rPr>
        <w:t xml:space="preserve"> </w:t>
      </w:r>
      <w:r w:rsidR="00975CBA" w:rsidRPr="00975CBA">
        <w:rPr>
          <w:rFonts w:ascii="Times New Roman" w:hAnsi="Times New Roman" w:cs="Times New Roman"/>
          <w:sz w:val="22"/>
          <w:szCs w:val="22"/>
          <w:shd w:val="clear" w:color="auto" w:fill="FFFFFF"/>
        </w:rPr>
        <w:t>0.00001)</w:t>
      </w:r>
      <w:r w:rsidR="00975CBA" w:rsidRPr="00975CBA">
        <w:rPr>
          <w:rFonts w:ascii="Times New Roman" w:hAnsi="Times New Roman" w:cs="Times New Roman"/>
          <w:sz w:val="22"/>
          <w:szCs w:val="22"/>
        </w:rPr>
        <w:t xml:space="preserve"> in total PM</w:t>
      </w:r>
      <w:r w:rsidR="00975CBA" w:rsidRPr="00975CBA">
        <w:rPr>
          <w:rFonts w:ascii="Times New Roman" w:hAnsi="Times New Roman" w:cs="Times New Roman"/>
          <w:sz w:val="22"/>
          <w:szCs w:val="22"/>
          <w:vertAlign w:val="subscript"/>
        </w:rPr>
        <w:t>2.5</w:t>
      </w:r>
      <w:r w:rsidR="00975CBA" w:rsidRPr="00975CBA">
        <w:rPr>
          <w:rFonts w:ascii="Times New Roman" w:hAnsi="Times New Roman" w:cs="Times New Roman"/>
          <w:sz w:val="22"/>
          <w:szCs w:val="22"/>
        </w:rPr>
        <w:t xml:space="preserve"> per one-quintile increase in SI </w:t>
      </w:r>
      <w:r w:rsidR="00975CBA" w:rsidRPr="00975CBA">
        <w:rPr>
          <w:rFonts w:ascii="Times New Roman" w:hAnsi="Times New Roman" w:cs="Times New Roman"/>
          <w:sz w:val="22"/>
          <w:szCs w:val="22"/>
          <w:shd w:val="clear" w:color="auto" w:fill="FFFFFF"/>
        </w:rPr>
        <w:t xml:space="preserve">after controlling for region, </w:t>
      </w:r>
      <w:r w:rsidR="00975CBA" w:rsidRPr="00975CBA">
        <w:rPr>
          <w:rFonts w:ascii="Times New Roman" w:hAnsi="Times New Roman" w:cs="Times New Roman"/>
          <w:sz w:val="22"/>
          <w:szCs w:val="22"/>
        </w:rPr>
        <w:t xml:space="preserve">poverty, racial/ethnic composition, unemployment, and age. </w:t>
      </w:r>
    </w:p>
    <w:p w14:paraId="04EC2B08" w14:textId="1B454005" w:rsidR="00901505" w:rsidRPr="00975CBA" w:rsidRDefault="00C8264F" w:rsidP="00975CBA">
      <w:pPr>
        <w:spacing w:after="0" w:line="480" w:lineRule="auto"/>
        <w:rPr>
          <w:rFonts w:ascii="Times New Roman" w:hAnsi="Times New Roman" w:cs="Times New Roman"/>
          <w:lang w:val="en-US"/>
        </w:rPr>
      </w:pPr>
      <w:r w:rsidRPr="00975CBA">
        <w:rPr>
          <w:rFonts w:ascii="Times New Roman" w:hAnsi="Times New Roman" w:cs="Times New Roman"/>
          <w:i/>
          <w:lang w:val="en-US"/>
        </w:rPr>
        <w:t>Conclusion</w:t>
      </w:r>
      <w:r w:rsidR="00041B1C" w:rsidRPr="00975CBA">
        <w:rPr>
          <w:rFonts w:ascii="Times New Roman" w:hAnsi="Times New Roman" w:cs="Times New Roman"/>
          <w:i/>
          <w:lang w:val="en-US"/>
        </w:rPr>
        <w:t>s</w:t>
      </w:r>
      <w:r w:rsidRPr="00975CBA">
        <w:rPr>
          <w:rFonts w:ascii="Times New Roman" w:hAnsi="Times New Roman" w:cs="Times New Roman"/>
          <w:i/>
          <w:lang w:val="en-US"/>
        </w:rPr>
        <w:t>:</w:t>
      </w:r>
      <w:r w:rsidRPr="00975CBA">
        <w:rPr>
          <w:rFonts w:ascii="Times New Roman" w:hAnsi="Times New Roman" w:cs="Times New Roman"/>
          <w:lang w:val="en-US"/>
        </w:rPr>
        <w:t xml:space="preserve">  </w:t>
      </w:r>
      <w:r w:rsidR="00901505" w:rsidRPr="00975CBA">
        <w:rPr>
          <w:rFonts w:ascii="Times New Roman" w:hAnsi="Times New Roman" w:cs="Times New Roman"/>
          <w:lang w:val="en-US"/>
        </w:rPr>
        <w:t>Results suggest that total PM2.5 concentrations are higher in more segregated areas and that associations appear to vary by PM2.5 composition in the US.</w:t>
      </w:r>
    </w:p>
    <w:p w14:paraId="50B02F05" w14:textId="1208AE9B" w:rsidR="009747C5" w:rsidRPr="004549A1" w:rsidRDefault="009747C5" w:rsidP="00C8264F">
      <w:pPr>
        <w:spacing w:line="480" w:lineRule="auto"/>
        <w:rPr>
          <w:rFonts w:ascii="Times New Roman" w:hAnsi="Times New Roman" w:cs="Times New Roman"/>
          <w:lang w:val="en-US"/>
        </w:rPr>
      </w:pPr>
    </w:p>
    <w:p w14:paraId="721F3756" w14:textId="329AE5F0" w:rsidR="009747C5" w:rsidRPr="004549A1" w:rsidRDefault="009747C5">
      <w:pPr>
        <w:rPr>
          <w:rFonts w:ascii="Times New Roman" w:hAnsi="Times New Roman" w:cs="Times New Roman"/>
          <w:lang w:val="en-US"/>
        </w:rPr>
      </w:pPr>
      <w:r w:rsidRPr="004549A1">
        <w:rPr>
          <w:rFonts w:ascii="Times New Roman" w:hAnsi="Times New Roman" w:cs="Times New Roman"/>
          <w:lang w:val="en-US"/>
        </w:rPr>
        <w:br w:type="page"/>
      </w:r>
    </w:p>
    <w:p w14:paraId="7B74003A" w14:textId="69353D30" w:rsidR="009747C5" w:rsidRPr="004549A1" w:rsidRDefault="009747C5" w:rsidP="00A56AF0">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lastRenderedPageBreak/>
        <w:t>Introduction</w:t>
      </w:r>
    </w:p>
    <w:p w14:paraId="3DCE2320" w14:textId="6C003708" w:rsidR="00A56AF0" w:rsidRPr="004549A1" w:rsidRDefault="00A56AF0" w:rsidP="00066A5F">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Exposure to fine particulate matter ≤ 2.5 microns (µm) in diameter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has been associated with between 103,300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{"citationID":"1sgf3qkh8d","properties":{"formattedCitation":"(Sun et al. 2015)","plainCitation":"(Sun et al. 2015)","noteIndex":0},"citationItems":[{"id":165,"uris":["http://zotero.org/users/2002443/items/RVG9M8JU"],"uri":["http://zotero.org/users/2002443/items/RVG9M8JU"],"itemData":{"id":165,"type":"article-journal","title":"Estimation of future PM2.5- and ozone-related mortality over the continental United States in a changing climate: An application of high-resolution dynamical downscaling technique","container-title":"Journal of the Air &amp; Waste Management Association","page":"611-623","volume":"65","issue":"5","source":"Taylor and Francis+NEJM","abstract":"This paper evaluates the PM2.5- and ozone-related mortality at present (2000s) and in the future (2050s) over the continental United States by using the Environmental Benefits Mapping and Analysis Program (BenMAP-CE). Atmospheric chemical fields are simulated by WRF/CMAQ (horizontal resolution: 12 × 12km), applying the dynamical downscaling technique from global climate-chemistry model under the Representative Concentration Pathways scenario (RCP 8.5). Future air quality results predict that the annual mean PM2.5 concentration in continental U.S. decreases nationwide, especially in the Eastern U.S. and west coast. However, the ozone concentration is projected to decrease in the Eastern U.S. but increase in the Western U.S. Future mortality is evaluated under two scenarios (1) holding future population and baseline incidence rate at the present level and (2) using the projected baseline incidence rate and population in 2050. For PM2.5, the entire continental U.S. presents a decreasing trend of PM2.5-related mortality by the 2050s in Scenario (1), primarily resulting from the emissions reduction. While in Scenario (2), almost half of the continental states show a rising tendency of PM2.5-related mortality, due to the dominant influence of population growth. In particular, the highest PM2.5-related deaths and the biggest discrepancy between present and future PM2.5-related deaths both occur in California in 2050s. For the ozone-related premature mortality, the simulation shows nation-wide rising tendency in 2050s under both scenarios, mainly due to the increase of ozone concentration and population in the future. Furthermore, the uncertainty analysis shows that the confidence interval of all causes mortality is much larger than that for specific causes, probably due to the accumulated uncertainty of generating datasets and sample size. The confidence interval of ozone-related all cause premature mortality is narrower than the PM2.5-related all cause mortality, due to its smaller standard deviation of the concentration-mortality response factor.Implications: The health impact of PM2.5 is more linearly proportional to the emission reductions than ozone. The reduction of anthropogenic PM2.5 precursor emissions is likely to lead to the decrease of PM2.5 concentrations and PM2.5 related mortality. However, the future ozone concentrations could increase due to increase of the greenhouse gas emissions of methane. Thus, to reduce the impact of ozone related mortality, anthropogenic emissions including criteria pollutant and greenhouse gas (i.e. methane) need to be controlled.","URL":"http://dx.doi.org/10.1080/10962247.2015.1033068","DOI":"10.1080/10962247.2015.1033068","ISSN":"1096-2247","note":"PMID: 25947319","title-short":"Estimation of future PM2.5- and ozone-related mortality over the continental United States in a changing climate","author":[{"family":"Sun","given":"Jian"},{"family":"Fu","given":"Joshua S."},{"family":"Huang","given":"Kan"},{"family":"Gao","given":"Yang"}],"issued":{"date-parts":[["2015",5,4]]},"accessed":{"date-parts":[["2016",3,17]]}}}],"schema":"https://github.com/citation-style-language/schema/raw/master/csl-citation.json"}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(Sun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200,000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{"citationID":"rt2mp6mju","properties":{"formattedCitation":"(Dai et al. 2014)","plainCitation":"(Dai et al. 2014)","noteIndex":0},"citationItems":[{"id":150,"uris":["http://zotero.org/users/2002443/items/KJGEWHN9"],"uri":["http://zotero.org/users/2002443/items/KJGEWHN9"],"itemData":{"id":150,"type":"article-journal","title":"Associations of Fine Particulate Matter Species with Mortality in the United States: A Multicity Time-Series Analysis","container-title":"Environmental Health Perspectives","page":"837-842","volume":"122","issue":"8","source":"CrossRef","URL":"http://ehp.niehs.nih.gov/1307568","DOI":"10.1289/ehp.1307568","ISSN":"0091-6765","title-short":"Associations of Fine Particulate Matter Species with Mortality in the United States","language":"en","author":[{"family":"Dai","given":"Lingzhen"},{"family":"Zanobetti","given":"Antonella"},{"family":"Koutrakis","given":"Petros"},{"family":"Schwartz","given":"Joel D."}],"issued":{"date-parts":[["2014",8,1]]},"accessed":{"date-parts":[["2016",3,16]]}}}],"schema":"https://github.com/citation-style-language/schema/raw/master/csl-citation.json"}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(Dai et al. 2014)</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premature deaths per year in the United States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{"citationID":"ODS6TASR","properties":{"formattedCitation":"(Caiazzo et al. 2013; Dai et al. 2014; Fang et al. 2013; Sun et al. 2015)","plainCitation":"(Caiazzo et al. 2013; Dai et al. 2014; Fang et al. 2013; Sun et al. 2015)","noteIndex":0},"citationItems":[{"id":144,"uris":["http://zotero.org/users/2002443/items/RNEG9NPR"],"uri":["http://zotero.org/users/2002443/items/RNEG9NPR"],"itemData":{"id":144,"type":"article-journal","title":"Air pollution and early deaths in the United States. Part I: Quantifying the impact of major sectors in 2005","container-title":"Atmospheric Environment","page":"198-208","volume":"79","source":"ScienceDirect","abstract":"Combustion emissions adversely impact air quality and human health. A multiscale air quality model is applied to assess the health impacts of major emissions sectors in United States. Emissions are classified according to six different sources: electric power generation, industry, commercial and residential sources, road transportation, marine transportation and rail transportation. Epidemiological evidence is used to relate long-term population exposure to sector-induced changes in the concentrations of PM2.5 and ozone to incidences of premature death. Total combustion emissions in the U.S. account for about 200,000 (90% CI: 90,000–362,000) premature deaths per year in the U.S. due to changes in PM2.5 concentrations, and about 10,000 (90% CI: −1000 to 21,000) deaths due to changes in ozone concentrations. The largest contributors for both pollutant-related mortalities are road transportation, causing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53,000 (90% CI: 24,000–95,000) PM2.5-related deaths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5000 (90% CI: −900 to 11,000) ozone-related early deaths per year, and power generation, causing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52,000 (90% CI: 23,000–94,000) PM2.5-related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2000 (90% CI: −300 to 4000) ozone-related premature mortalities per year. Industrial emissions contribute to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41,000 (90% CI: 18,000–74,000) early deaths from PM2.5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2000 (90% CI: 0–4000) early deaths from ozone. The results are indicative of the extent to which policy measures could be undertaken in order to mitigate the impact of specific emissions from different sectors — in particular black carbon emissions from road transportation and sulfur dioxide emissions from power generation.","URL":"http://www.sciencedirect.com/science/article/pii/S1352231013004548","DOI":"10.1016/j.atmosenv.2013.05.081","ISSN":"1352-2310","title-short":"Air pollution and early deaths in the United States. Part I","journalAbbreviation":"Atmospheric Environment","author":[{"family":"Caiazzo","given":"Fabio"},{"family":"Ashok","given":"Akshay"},{"family":"Waitz","given":"Ian A."},{"family":"Yim","given":"Steve H. L."},{"family":"Barrett","given":"Steven R. H."}],"issued":{"date-parts":[["2013",11]]},"accessed":{"date-parts":[["2016",3,16]]}}},{"id":165,"uris":["http://zotero.org/users/2002443/items/RVG9M8JU"],"uri":["http://zotero.org/users/2002443/items/RVG9M8JU"],"itemData":{"id":165,"type":"article-journal","title":"Estimation of future PM2.5- and ozone-related mortality over the continental United States in a changing climate: An application of high-resolution dynamical downscaling technique","container-title":"Journal of the Air &amp; Waste Management Association","page":"611-623","volume":"65","issue":"5","source":"Taylor and Francis+NEJM","abstract":"This paper evaluates the PM2.5- and ozone-related mortality at present (2000s) and in the future (2050s) over the continental United States by using the Environmental Benefits Mapping and Analysis Program (BenMAP-CE). Atmospheric chemical fields are simulated by WRF/CMAQ (horizontal resolution: 12 × 12km), applying the dynamical downscaling technique from global climate-chemistry model under the Representative Concentration Pathways scenario (RCP 8.5). Future air quality results predict that the annual mean PM2.5 concentration in continental U.S. decreases nationwide, especially in the Eastern U.S. and west coast. However, the ozone concentration is projected to decrease in the Eastern U.S. but increase in the Western U.S. Future mortality is evaluated under two scenarios (1) holding future population and baseline incidence rate at the present level and (2) using the projected baseline incidence rate and population in 2050. For PM2.5, the entire continental U.S. presents a decreasing trend of PM2.5-related mortality by the 2050s in Scenario (1), primarily resulting from the emissions reduction. While in Scenario (2), almost half of the continental states show a rising tendency of PM2.5-related mortality, due to the dominant influence of population growth. In particular, the highest PM2.5-related deaths and the biggest discrepancy between present and future PM2.5-related deaths both occur in California in 2050s. For the ozone-related premature mortality, the simulation shows nation-wide rising tendency in 2050s under both scenarios, mainly due to the increase of ozone concentration and population in the future. Furthermore, the uncertainty analysis shows that the confidence interval of all causes mortality is much larger than that for specific causes, probably due to the accumulated uncertainty of generating datasets and sample size. The confidence interval of ozone-related all cause premature mortality is narrower than the PM2.5-related all cause mortality, due to its smaller standard deviation of the concentration-mortality response factor.Implications: The health impact of PM2.5 is more linearly proportional to the emission reductions than ozone. The reduction of anthropogenic PM2.5 precursor emissions is likely to lead to the decrease of PM2.5 concentrations and PM2.5 related mortality. However, the future ozone concentrations could increase due to increase of the greenhouse gas emissions of methane. Thus, to reduce the impact of ozone related mortality, anthropogenic emissions including criteria pollutant and greenhouse gas (i.e. methane) need to be controlled.","URL":"http://dx.doi.org/10.1080/10962247.2015.1033068","DOI":"10.1080/10962247.2015.1033068","ISSN":"1096-2247","note":"PMID: 25947319","title-short":"Estimation of future PM2.5- and ozone-related mortality over the continental United States in a changing climate","author":[{"family":"Sun","given":"Jian"},{"family":"Fu","given":"Joshua S."},{"family":"Huang","given":"Kan"},{"family":"Gao","given":"Yang"}],"issued":{"date-parts":[["2015",5,4]]},"accessed":{"date-parts":[["2016",3,17]]}}},{"id":150,"uris":["http://zotero.org/users/2002443/items/KJGEWHN9"],"uri":["http://zotero.org/users/2002443/items/KJGEWHN9"],"itemData":{"id":150,"type":"article-journal","title":"Associations of Fine Particulate Matter Species with Mortality in the United States: A Multicity Time-Series Analysis","container-title":"Environmental Health Perspectives","page":"837-842","volume":"122","issue":"8","source":"CrossRef","URL":"http://ehp.niehs.nih.gov/1307568","DOI":"10.1289/ehp.1307568","ISSN":"0091-6765","title-short":"Associations of Fine Particulate Matter Species with Mortality in the United States","language":"en","author":[{"family":"Dai","given":"Lingzhen"},{"family":"Zanobetti","given":"Antonella"},{"family":"Koutrakis","given":"Petros"},{"family":"Schwartz","given":"Joel D."}],"issued":{"date-parts":[["2014",8,1]]},"accessed":{"date-parts":[["2016",3,16]]}}},{"id":168,"uris":["http://zotero.org/users/2002443/items/V6SKT3JI"],"uri":["http://zotero.org/users/2002443/items/V6SKT3JI"],"itemData":{"id":168,"type":"article-journal","title":"Air pollution and associated human mortality: the role of air pollutant emissions, climate change and methane concentration increases from the preindustrial period to present","container-title":"Atmos. Chem. Phys.","page":"1377-1394","volume":"13","issue":"3","source":"Copernicus Online Journals","abstract":"Increases in surface ozone (O3) and fine particulate matter (≤2.5 μm aerodynamic diameter, PM2.5) are associated with excess premature human mortalities. We estimate changes in surface O3 and PM2.5 from pre-industrial (1860) to present (2000) and the global present-day (2000) premature human mortalities associated with these changes. We extend previous work to differentiate the contribution of changes in three factors: emissions of short-lived air pollutants, climate change, and increased methane (CH4) concentrations, to air pollution levels and associated premature mortalities. We use a coupled chemistry-climate model in conjunction with global population distributions in 2000 to estimate exposure attributable to concentration changes since 1860 from each factor. Attributable mortalities are estimated using health impact functions of long-term relative risk estimates for O3 and PM2.5 from the epidemiology literature. We find global mean surface PM2.5 and health-relevant O3 (defined as the maximum 6-month mean of 1-h daily maximum O3 in a year) have increased by 8 ± 0.16 μg m−3 and 30 ± 0.16 ppbv (results reported as annual average ±standard deviation of 10-yr model simulations), respectively, over this industrial period as a result of combined changes in emissions of air pollutants (EMIS), climate (CLIM) and CH4 concentrations (TCH4). EMIS, CLIM and TCH4 cause global population-weighted average PM2.5 (O3) to change by +7.5 ± 0.19 μg m−3 (+25 ± 0.30 ppbv), +0.4 ± 0.17 μg m−3 (+0.5 ± 0.28 ppbv), and 0.04 ± 0.24 μg m−3 (+4.3 ± 0.33 ppbv), respectively. Total global changes in PM2.5 are associated with 1.5 (95% confidence interval, CI, 1.2–1.8) million cardiopulmonary mortalities and 95 (95% CI, 44–144) thousand lung cancer mortalities annually and changes in O3 are associated with 375 (95% CI, 129–592) thousand respiratory mortalities annually. Most air pollution mortality is driven by changes in emissions of short-lived air pollutants and their precursors (95% and 85% of mortalities from PM2.5 and O3 respectively). However, changing climate and increasing CH4 concentrations also contribute to premature mortality associated with air pollution globally (by up to 5% and 15%, respectively). In some regions, the contribution of climate change and increased CH4 together are responsible for more than 20% of the respiratory mortality associated with O3 exposure. We find the interaction between climate change and atmospheric chemistry has influenced atmospheric composition and human mortality associated with industrial air pollution. Our study highlights the benefits to air quality and human health of CH4 mitigation as a component of future air pollution control policy.","URL":"http://www.atmos-chem-phys.net/13/1377/2013/","DOI":"10.5194/acp-13-1377-2013","ISSN":"1680-7324","title-short":"Air pollution and associated human mortality","journalAbbreviation":"Atmos. Chem. Phys.","author":[{"family":"Fang","given":"Y."},{"family":"Naik","given":"V."},{"family":"Horowitz","given":"L. W."},{"family":"Mauzerall","given":"D. L."}],"issued":{"date-parts":[["2013",2,4]]},"accessed":{"date-parts":[["2016",3,17]]}}}],"schema":"https://github.com/citation-style-language/schema/raw/master/csl-citation.json"}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w:t>
      </w:r>
      <w:proofErr w:type="spellStart"/>
      <w:r w:rsidR="00E92160" w:rsidRPr="00E92160">
        <w:rPr>
          <w:rFonts w:ascii="Times New Roman" w:hAnsi="Times New Roman" w:cs="Times New Roman"/>
          <w:sz w:val="24"/>
          <w:lang w:val="en-US"/>
        </w:rPr>
        <w:t>Caiazzo</w:t>
      </w:r>
      <w:proofErr w:type="spellEnd"/>
      <w:r w:rsidR="00E92160" w:rsidRPr="00E92160">
        <w:rPr>
          <w:rFonts w:ascii="Times New Roman" w:hAnsi="Times New Roman" w:cs="Times New Roman"/>
          <w:sz w:val="24"/>
          <w:lang w:val="en-US"/>
        </w:rPr>
        <w:t xml:space="preserve"> et al. 2013; Dai et al. 2014; Fang et al. 2013; Sun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primarily from cardiovascular disease (CVD), respiratory disease, and lung cancer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{"citationID":"2K0DOAaQ","properties":{"formattedCitation":"(Burnett et al. 2014; Franklin et al. 2006; Lelieveld et al. 2015; Pope and Dockery 2006)","plainCitation":"(Burnett et al. 2014; Franklin et al. 2006; Lelieveld et al. 2015; Pope and Dockery 2006)","noteIndex":0},"citationItems":[{"id":24,"uris":["http://zotero.org/users/2002443/items/DWQBJ56E"],"uri":["http://zotero.org/users/2002443/items/DWQBJ56E"],"itemData":{"id":24,"type":"article-journal","title":"The contribution of outdoor air pollution sources to premature mortality on a global scale","container-title":"Nature","page":"367-371","volume":"525","issue":"7569","source":"www.nature.com","abstract":"Assessment of the global burden of disease is based on epidemiological cohort studies that connect premature mortality to a wide range of causes, including the long-term health impacts of ozone and fine particulate matter with a diameter smaller than 2.5 micrometres (PM2.5). It has proved difficult to quantify premature mortality related to air pollution, notably in regions where air quality is not monitored, and also because the toxicity of particles from various sources may vary. Here we use a global atmospheric chemistry model to investigate the link between premature mortality and seven emission source categories in urban and rural environments. In accord with the global burden of disease for 2010 (ref. 5), we calculate that outdoor air pollution, mostly by PM2.5, leads to 3.3 (95 per cent confidence interval 1.61–4.81) million premature deaths per year worldwide, predominantly in Asia. We primarily assume that all particles are equally toxic, but also include a sensitivity study that accounts for differential toxicity. We find that emissions from residential energy use such as heating and cooking, prevalent in India and China, have the largest impact on premature mortality globally, being even more dominant if carbonaceous particles are assumed to be most toxic. Whereas in much of the USA and in a few other countries emissions from traffic and power generation are important, in eastern USA, Europe, Russia and East Asia agricultural emissions make the largest relative contribution to PM2.5, with the estimate of overall health impact depending on assumptions regarding particle toxicity. Model projections based on a business-as-usual emission scenario indicate that the contribution of outdoor air pollution to premature mortality could double by 2050.","URL":"http://www.nature.com/nature/journal/v525/n7569/full/nature15371.html","DOI":"10.1038/nature15371","ISSN":"0028-0836","journalAbbreviation":"Nature","language":"en","author":[{"family":"Lelieveld","given":"J."},{"family":"Evans","given":"J. S."},{"family":"Fnais","given":"M."},{"family":"Giannadaki","given":"D."},{"family":"Pozzer","given":"A."}],"issued":{"date-parts":[["2015",9,17]]},"accessed":{"date-parts":[["2015",12,10]]}}},{"id":34,"uris":["http://zotero.org/users/2002443/items/Q2K8J5SF"],"uri":["http://zotero.org/users/2002443/items/Q2K8J5SF"],"itemData":{"id":34,"type":"article-journal","title":"An Integrated Risk Function for Estimating the Global Burden of Disease Attributable to Ambient Fine Particulate Matter Exposure","container-title":"Environmental Health Perspectives","page":"397-403","volume":"122","issue":"4","source":"PubMed Central","abstract":"Background: Estimating the burden of disease attributable to long-term exposure to fine particulate matter (PM2.5) in ambient air requires knowledge of both the shape and magnitude of the relative risk (RR) function. However, adequate direct evidence to identify the shape of the mortality RR functions at the high ambient concentrations observed in many places in the world is lacking., Objective: We developed RR functions over the entire global exposure range for causes of mortality in adults: ischemic heart disease (IHD), cerebrovascular disease (stroke), chronic obstructive pulmonary disease (COPD), and lung cancer (LC). We also developed RR functions for the incidence of acute lower respiratory infection (ALRI) that can be used to estimate mortality and lost-years of healthy life in children &lt; 5 years of age., Methods: We fit an integrated exposure–response (IER) model by integrating available RR information from studies of ambient air pollution (AAP), second hand tobacco smoke, household solid cooking fuel, and active smoking (AS). AS exposures were converted to estimated annual PM2.5 exposure equivalents using inhaled doses of particle mass. We derived population attributable fractions (PAFs) for every country based on estimated worldwide ambient PM2.5 concentrations., Results: The IER model was a superior predictor of RR compared with seven other forms previously used in burden assessments. The percent PAF attributable to AAP exposure varied among countries from 2 to 41 for IHD, 1 to 43 for stroke, &lt; 1 to 21 for COPD, &lt; 1 to 25 for LC, and &lt; 1 to 38 for ALRI., Conclusions: We developed a fine particulate mass–based RR model that covered the global range of exposure by integrating RR information from different combustion types that generate emissions of particulate matter. The model can be updated as new RR information becomes available., Citation: Burnett RT, Pope CA III, Ezzati M, Olives C, Lim SS, Mehta S, Shin HH, Singh G, Hubbell B, Brauer M, Anderson HR, Smith KR, Balmes JR, Bruce NG, Kan H, Laden F, Prüss-Ustün A, Turner MC, Gapstur SM, Diver WR, Cohen A. 2014. An integrated risk function for estimating the global burden of disease attributable to ambient fine particulate matter exposure. Environ Health Perspect 122:397–403; http://dx.doi.org/10.1289/ehp.1307049","URL":"http://www.ncbi.nlm.nih.gov/pmc/articles/PMC3984213/","DOI":"10.1289/ehp.1307049","ISSN":"0091-6765","note":"PMID: 24518036\nPMCID: PMC3984213","journalAbbreviation":"Environ Health Perspect","author":[{"family":"Burnett","given":"Richard T."},{"family":"Pope","given":"C. Arden"},{"family":"Ezzati","given":"Majid"},{"family":"Olives","given":"Casey"},{"family":"Lim","given":"Stephen S."},{"family":"Mehta","given":"Sumi"},{"family":"Shin","given":"Hwashin H."},{"family":"Singh","given":"Gitanjali"},{"family":"Hubbell","given":"Bryan"},{"family":"Brauer","given":"Michael"},{"family":"Anderson","given":"H. Ross"},{"family":"Smith","given":"Kirk R."},{"family":"Balmes","given":"John R."},{"family":"Bruce","given":"Nigel G."},{"family":"Kan","given":"Haidong"},{"family":"Laden","given":"Francine"},{"family":"Prüss-Ustün","given":"Annette"},{"family":"Turner","given":"Michelle C."},{"family":"Gapstur","given":"Susan M."},{"family":"Diver","given":"W. Ryan"},{"family":"Cohen","given":"Aaron"}],"issued":{"date-parts":[["2014",4]]},"accessed":{"date-parts":[["2015",12,10]]}}},{"id":186,"uris":["http://zotero.org/users/2002443/items/ZDMBZX2S"],"uri":["http://zotero.org/users/2002443/items/ZDMBZX2S"],"itemData":{"id":186,"type":"article-journal","title":"Association between PM2.5 and all-cause and specific-cause mortality in 27 US communities","container-title":"Journal of Exposure Science and Environmental Epidemiology","page":"279-287","volume":"17","issue":"3","source":"www.nature.com","abstract":"While fine mode particulate matter (PM2.5) forms the basis for regulating particles in the US and other countries, there is a serious paucity of large population-based studies of its acute effect on mortality. To address this issue, we examined the association between PM2.5 and both all-cause and specific-cause mortality using over 1.3 million deaths in 27 US communities between 1997 and 2002. A two-stage approach was used. First, the association between PM2.5 and mortality in each community was quantified using a case-crossover design. Second, meta-analysis was used to estimate a summary effect over all 27 communities. Effect modification of age and gender was examined using interaction terms in the case-crossover model, while effect modification of community-specific characteristics including geographic location, annual PM2.5 concentration above 15 g/m3 and central air conditioning prevalence was examined using meta-regression. We observed a 1.21% (95% CI 0.29, 2.14%) increase in all-cause mortality, a 1.78% (95% CI 0.20, 3.36%) increase in respiratory related mortality and a 1.03% (95% CI 0.02, 2.04%) increase in stroke related mortality with a 10 g/m3 increase in previous day's PM2.5. The magnitude of these associations is more than triple that recently reported for PM10, suggesting that combustion and traffic related particles are more toxic than larger sized particles. Effect modification occurred in all-cause and specific-cause deaths with greater effects in subjects 75 years of age. There was suggestive evidence that women may be more susceptible to PM2.5 effects than men, and that effects were larger in the East than in the West. Increased prevalence of central air conditioning was associated with a decreased effect of PM2.5. Our findings describe the magnitude of the effect on all-cause and specific-cause mortality, the modifiers of this association, and suggest that PM2.5 may pose a public health risk even at or below current ambient levels.","URL":"http://www.nature.com/jes/journal/v17/n3/abs/7500530a.html","DOI":"10.1038/sj.jes.7500530","ISSN":"1559-0631","journalAbbreviation":"J Expos Sci Environ Epidemiol","language":"en","author":[{"family":"Franklin","given":"Meredith"},{"family":"Zeka","given":"Ariana"},{"family":"Schwartz","given":"Joel"}],"issued":{"date-parts":[["2006",9,27]]},"accessed":{"date-parts":[["2016",3,18]]}}},{"id":114,"uris":["http://zotero.org/users/2002443/items/XWBUGF4P"],"uri":["http://zotero.org/users/2002443/items/XWBUGF4P"],"itemData":{"id":114,"type":"article-journal","title":"Health effects of fine particulate air pollution: lines that connect","container-title":"Journal of the Air &amp; Waste Management Association (1995)","page":"709-742","volume":"56","issue":"6","source":"PubMed","abstract":"Efforts to understand and mitigate thehealth effects of particulate matter (PM) air pollutionhave a rich and interesting history. This review focuseson six substantial lines of research that have been pursued since 1997 that have helped elucidate our understanding about the effects of PM on human health. There hasbeen substantial progress in the evaluation of PM health effects at different time-scales of exposure and in the exploration of the shape of the concentration-response function. There has also been emerging evidence of PM-related cardiovascular health effects and growing knowledge regarding interconnected general pathophysiological pathways that link PM exposure with cardiopulmonary morbidiity and mortality. Despite important gaps in scientific knowledge and continued reasons for some skepticism, a comprehensive evaluation of the research findings provides persuasive evidence that exposure to fine particulate air pollution has adverse effects on cardiopulmonaryhealth. Although much of this research has been motivated by environmental public health policy, these results have important scientific, medical, and public health implications that are broader than debates over legally mandated air quality standards.","ISSN":"1096-2247","note":"PMID: 16805397","title-short":"Health effects of fine particulate air pollution","journalAbbreviation":"J Air Waste Manag Assoc","language":"eng","author":[{"family":"Pope","given":"C. Arden"},{"family":"Dockery","given":"Douglas W."}],"issued":{"date-parts":[["2006",6]]}}}],"schema":"https://github.com/citation-style-language/schema/raw/master/csl-citation.json"}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(Burnett et al. 2014; Franklin et al. 2006; Lelieveld et al. 2015; Pope and Dockery 2006)</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with adverse birth outcomes including low birthweight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{"citationID":"PfPLk5ab","properties":{"formattedCitation":"(Bell et al. 2007b; Brauer et al. 2008; Gray et al. 2014; Hao et al. 2015; Parker et al. 2005; Sun et al. 2016)","plainCitation":"(Bell et al. 2007b; Brauer et al. 2008; Gray et al. 2014; Hao et al. 2015; Parker et al. 2005; Sun et al. 2016)","noteIndex":0},"citationItems":[{"id":200,"uris":["http://zotero.org/users/2002443/items/XI9DPWNC"],"uri":["http://zotero.org/users/2002443/items/XI9DPWNC"],"itemData":{"id":200,"type":"article-journal","title":"Ambient Air Pollution and Low Birth Weight in Connecticut and Massachusetts","container-title":"Environmental Health Perspectives","page":"1118-1124","volume":"115","issue":"7","source":"PubMed Central","abstract":"Background\nSeveral studies have examined whether air pollution affects birth weight; however results vary and many studies were focused on Southern California or were conducted outside of the United States.\n\nObjectives\nWe investigated maternal exposure to particulate matter with aerodynamic diameter &lt; 10, &lt; 2.5 μm (PM10, PM2.5), sulfur dioxide, nitrogen dioxide, and carbon monoxide and birth weight for 358,504 births in Massachusetts and Connecticut from 1999 to 2002.\n\nMethods\nAnalysis included logistic models for low birth weight (&lt; 2,500 g) and linear models with birth weight as a continuous variable. Exposure was assigned as the average county-level concentration over gestation and each trimester based on mother’s residence. We adjusted for gestational length, prenatal care, type of delivery, child’s sex, birth order, weather, year, and mother’s race, education, marital status, age, and tobacco use.\n\nResults\nAn interquartile increase in gestational exposure to NO2, CO, PM10, and PM2.5 lowered birth weight by 8.9 g [95% confidence interval (CI), 7.0–10.8], 16.2 g (95% CI, 12.6–19.7), 8.2 g (95% CI, 5.3–11.1), and 14.7 g (95% CI, 12.3–17.1), respectively. Lower birth weight was associated with exposure in the third trimester for PM10, the first and third trimesters for CO, the first trimester for NO2 and SO2, and the second and third trimesters for PM2.5. Effect estimates for PM2.5 were higher for infants of black mothers than those of white mothers.\n\nConclusions\nResults indicate that exposure to air pollution, even at low levels, may increase risk of low birth weight, particularly for some segments of the population.","URL":"http://www.ncbi.nlm.nih.gov/pmc/articles/PMC1913584/","DOI":"10.1289/ehp.9759","ISSN":"0091-6765","note":"PMID: 17637932\nPMCID: PMC1913584","journalAbbreviation":"Environ Health Perspect","author":[{"family":"Bell","given":"Michelle L."},{"family":"Ebisu","given":"Keita"},{"family":"Belanger","given":"Kathleen"}],"issued":{"date-parts":[["2007",7]]},"accessed":{"date-parts":[["2016",3,19]]}}},{"id":207,"uris":["http://zotero.org/users/2002443/items/Q2EIWDTH"],"uri":["http://zotero.org/users/2002443/items/Q2EIWDTH"],"itemData":{"id":207,"type":"article-journal","title":"A Cohort Study of Traffic-Related Air Pollution Impacts on Birth Outcomes","container-title":"Environmental Health Perspectives","page":"680-686","volume":"116","issue":"5","source":"PubMed Central","abstract":"Background\nEvidence suggests that air pollution exposure adversely affects pregnancy outcomes. Few studies have examined individual-level intraurban exposure contrasts.\n\nObjectives\nWe evaluated the impacts of air pollution on small for gestational age (SGA) birth weight, low full-term birth weight (LBW), and preterm birth using spatiotemporal exposure metrics.\n\nMethods\nWith linked administrative data, we identified 70,249 singleton births (1999–2002) with complete covariate data (sex, ethnicity, parity, birth month and year, income, education) and maternal residential history in Vancouver, British Columbia, Canada. We estimated residential exposures by month of pregnancy using nearest and inverse-distance weighting (IDW) of study area monitors [carbon monoxide, nitrogen dioxide, nitric oxide, ozone, sulfur dioxide, and particulate matter &lt; 2.5 (PM2.5) or &lt; 10 (PM10) μm in aerodynamic diameter], temporally adjusted land use regression (LUR) models (NO, NO2, PM2.5, black carbon), and proximity to major roads. Using logistic regression, we estimated the risk of mean (entire pregnancy, first and last month of pregnancy, first and last 3 months) air pollution concentrations on SGA (&lt; 10th percentile), term LBW (&lt; 2,500 g), and preterm birth.\n\nResults\nResidence within 50 m of highways was associated with a 26% increase in SGA [95% confidence interval (CI), 1.07–1.49] and an 11% (95% CI, 1.01–1.23) increase in LBW. Exposure to all air pollutants except O3 was associated with SGA, with similar odds ratios (ORs) for LUR and monitoring estimates (e.g., LUR: OR = 1.02; 95% CI, 1.00–1.04; IDW: OR = 1.05; 95% CI, 1.03–1.08 per 10-μg/m3 increase in NO). For preterm births, associations were observed with PM2.5 for births &lt; 37 weeks gestation (and for other pollutants at &lt; 30 weeks). No consistent patterns suggested exposure windows of greater relevance.\n\nConclusion\nAssociations between traffic-related air pollution and birth outcomes were observed in a population-based cohort with relatively low ambient air pollution exposure.","URL":"http://www.ncbi.nlm.nih.gov/pmc/articles/PMC2367679/","DOI":"10.1289/ehp.10952","ISSN":"0091-6765","note":"PMID: 18470315\nPMCID: PMC2367679","journalAbbreviation":"Environ Health Perspect","author":[{"family":"Brauer","given":"Michael"},{"family":"Lencar","given":"Cornel"},{"family":"Tamburic","given":"Lillian"},{"family":"Koehoorn","given":"Mieke"},{"family":"Demers","given":"Paul"},{"family":"Karr","given":"Catherine"}],"issued":{"date-parts":[["2008",5]]},"accessed":{"date-parts":[["2016",3,19]]}}},{"id":225,"uris":["http://zotero.org/users/2002443/items/5PFH8MXX"],"uri":["http://zotero.org/users/2002443/items/5PFH8MXX"],"itemData":{"id":225,"type":"article-journal","title":"Assessing the impact of race, social factors and air pollution on birth outcomes: a population-based study","container-title":"Environmental Health: A Global Access Science Source","page":"4","volume":"13","issue":"1","source":"PubMed","abstract":"BACKGROUND: Both air pollution exposure and socioeconomic status (SES) are important indicators of children's health. Using highly resolved modeled predictive surfaces, we examine the joint effects of air pollution exposure and measures of SES in a population level analysis of pregnancy outcomes in North Carolina (NC).\nMETHODS: Daily measurements of particulate matter &lt;2.5 μm in aerodynamic diameter (PM2.5) and ozone (O3) were calculated through a spatial hierarchical Bayesian model which produces census-tract level point predictions. Using multilevel models and NC birth data from 2002-2006, we examine the association between pregnancy averaged PM2.5 and O3, individual and area-based SES indicators, and birth outcomes.\nRESULTS: Maternal race and education, and neighborhood household income were associated with adverse birth outcomes. Predicted concentrations of PM2.5 and O3 were also associated with an additional effect on reductions in birth weight and increased risks of being born low birth weight and small for gestational age.\nCONCLUSIONS: This paper builds on and complements previous work on the relationship between pregnancy outcomes and air pollution exposure by using 1) highly resolved air pollution exposure data; 2) a five-year population level sample of pregnancies; and 3) including personal and areal level measures of social determinants of pregnancy outcomes. Results show a stable and negative association between air pollution exposure and adverse birth outcomes. Additionally, the more socially disadvantaged populations are at a greater risk; controlling for both SES and environmental stressors provides a better understanding of the contributing factors to poor children's health outcomes.","DOI":"10.1186/1476-069X-13-4","ISSN":"1476-069X","note":"PMID: 24476365\nPMCID: PMC3922656","title-short":"Assessing the impact of race, social factors and air pollution on birth outcomes","journalAbbreviation":"Environ Health","language":"eng","author":[{"family":"Gray","given":"Simone C."},{"family":"Edwards","given":"Sharon E."},{"family":"Schultz","given":"Bradley D."},{"family":"Miranda","given":"Marie Lynn"}],"issued":{"date-parts":[["2014"]]}}},{"id":205,"uris":["http://zotero.org/users/2002443/items/EPBQA4PX"],"uri":["http://zotero.org/users/2002443/items/EPBQA4PX"],"itemData":{"id":205,"type":"article-journal","title":"Geographic Variation in the Association between Ambient Fine Particulate Matter (PM2.5) and Term Low Birth Weight in the United States","container-title":"Environmental Health Perspectives","source":"CrossRef","URL":"http://ehp.niehs.nih.gov/1408798","DOI":"10.1289/ehp.1408798","ISSN":"0091-6765","language":"en","author":[{"family":"Hao","given":"Yongping"},{"family":"Strosnider","given":"Heather"},{"family":"Balluz","given":"Lina"},{"family":"Qualters","given":"Judith R."}],"issued":{"date-parts":[["2015",6,5]]},"accessed":{"date-parts":[["2016",3,19]]}}},{"id":210,"uris":["http://zotero.org/users/2002443/items/BCGCRMQF"],"uri":["http://zotero.org/users/2002443/items/BCGCRMQF"],"itemData":{"id":210,"type":"article-journal","title":"Air pollution and birth weight among term infants in California","container-title":"Pediatrics","page":"121-128","volume":"115","issue":"1","source":"PubMed","abstract":"OBJECTIVE: To examine associations between birth weight and air pollution among full-term infants in California.\nMETHODS: We matched exposure data collected from air pollution monitors for small particles (PM(2.5)) and carbon monoxide (CO) to California birth records for singleton births delivered at 40 weeks' gestation in 2000 using the locations of the monitors and mother's residence. Pollution measurements collected within 5 miles of the mother's residence, averaged for the time period corresponding to the duration of pregnancy and each trimester, were used as exposure variables. Logistic and linear regression models were used to estimate the associations between the pollution measures and 2 pregnancy outcomes: small for gestational age (SGA) and birth weight. Variations of the models were used to examine the robustness of the findings.\nRESULTS: The adjusted odds ratio for SGA for exposure in the highest compared with lowest quartile of PM(2.5) was 1.26 (95% confidence interval [CI]: 1.03-1.50). We found no association between CO and birth weight or SGA after controlling for maternal factors and PM(2.5) (mean birth weight difference: 2.6 g; 95% CI: -20.6 to 25.8). The difference in mean birth weight for infants with a 9-month exposure in the highest quartile of PM(2.5) compared with that of infants who were exposed in the lowest quartile was -36.1 g (95% CI: -16.5 g to -55.8 g); this difference was similar after controlling for CO. We did not find PM(2.5) exposure during a particular trimester most important for assessing birth weight; trimester-level associations were similar to those found using the 9-month exposure variable.\nCONCLUSIONS: We found an increased odds of SGA and a small difference in mean birth weight between infants with the highest and lowest exposures to PM(2.5) but not CO. These findings have important implications for infant health because of the ubiquitous exposure to fine particulate air pollution across the United States.","DOI":"10.1542/peds.2004-0889","ISSN":"1098-4275","note":"PMID: 15629991","journalAbbreviation":"Pediatrics","language":"eng","author":[{"family":"Parker","given":"Jennifer D."},{"family":"Woodruff","given":"Tracey J."},{"family":"Basu","given":"Rupa"},{"family":"Schoendorf","given":"Kenneth C."}],"issued":{"date-parts":[["2005",1]]}}},{"id":1253,"uris":["http://zotero.org/users/2002443/items/ME8MVA6D"],"uri":["http://zotero.org/users/2002443/items/ME8MVA6D"],"itemData":{"id":1253,"type":"article-journal","title":"The associations between birth weight and exposure to fine particulate matter (PM2.5) and its chemical constituents during pregnancy: A meta-analysis","container-title":"Environmental Pollution","page":"38-47","volume":"211","issue":"Supplement C","source":"ScienceDirect","abstract":"We performed this meta-analysis to estimate the associations of maternal exposure to PM2.5 and its chemical constituents with birth weight and to explore the sources of heterogeneity in regard to the findings of these associations. A total of 32 studies were identified by searching the MEDLINE, PUBMED, Embase, China Biological Medicine and Wanfang electronic databases before April 2015. We estimated the statistically significant associations of reduced birth weight (β = −15.9 g, 95% CI: −26.8, −5.0) and LBW (OR = 1.090, 95% CI: 1.032, 1.150) with PM2.5 exposure (per 10 μg/m3 increment) during the entire pregnancy. Trimester-specific analyses showed negative associations between birth weight and PM2.5 exposure during the second (β = −12.6 g) and third (β = −10.0 g) trimesters. Other subgroup analyses indicated significantly different pooled-effect estimates of PM2.5 exposure on birth weight in studies with different exposure assessment methods, study designs and study settings. We further observed large differences in the pooled effect estimates of the PM2.5 chemical constituents for birth weight decrease and LBW. We concluded that PM2.5 exposure during pregnancy was associated with lower birth weight, and late pregnancy might be the critical window. Some specific PM2.5 constituents may have larger toxic effects on fetal weight. Exposure assessment methods, study designs and study settings might be important sources of the heterogeneity among the included studies.","URL":"http://www.sciencedirect.com/science/article/pii/S0269749115302360","DOI":"10.1016/j.envpol.2015.12.022","ISSN":"0269-7491","title-short":"The associations between birth weight and exposure to fine particulate matter (PM2.5) and its chemical constituents during pregnancy","journalAbbreviation":"Environmental Pollution","author":[{"family":"Sun","given":"Xiaoli"},{"family":"Luo","given":"Xiping"},{"family":"Zhao","given":"Chunmei"},{"family":"Zhang","given":"Bo"},{"family":"Tao","given":"Jun"},{"family":"Yang","given":"Zuyao"},{"family":"Ma","given":"Wenjun"},{"family":"Liu","given":"Tao"}],"issued":{"date-parts":[["2016",4,1]]}}}],"schema":"https://github.com/citation-style-language/schema/raw/master/csl-citation.json"} </w:instrText>
      </w:r>
      <w:r w:rsidRPr="004549A1">
        <w:rPr>
          <w:rFonts w:ascii="Times New Roman" w:hAnsi="Times New Roman" w:cs="Times New Roman"/>
          <w:sz w:val="24"/>
          <w:szCs w:val="24"/>
        </w:rPr>
        <w:fldChar w:fldCharType="separate"/>
      </w:r>
      <w:r w:rsidR="00612A77" w:rsidRPr="00612A77">
        <w:rPr>
          <w:rFonts w:ascii="Times New Roman" w:hAnsi="Times New Roman" w:cs="Times New Roman"/>
          <w:sz w:val="24"/>
          <w:lang w:val="en-US"/>
        </w:rPr>
        <w:t>(Bell et al. 2007b; Brauer et al. 2008; Gray et al. 2014; Hao et al. 2015; Parker et al. 2005; Sun et al. 2016)</w:t>
      </w:r>
      <w:r w:rsidRPr="004549A1">
        <w:rPr>
          <w:rFonts w:ascii="Times New Roman" w:hAnsi="Times New Roman" w:cs="Times New Roman"/>
          <w:sz w:val="24"/>
          <w:szCs w:val="24"/>
        </w:rPr>
        <w:fldChar w:fldCharType="end"/>
      </w:r>
      <w:r w:rsidRPr="00612A77">
        <w:rPr>
          <w:rFonts w:ascii="Times New Roman" w:hAnsi="Times New Roman" w:cs="Times New Roman"/>
          <w:sz w:val="24"/>
          <w:szCs w:val="24"/>
          <w:lang w:val="en-US"/>
        </w:rPr>
        <w:t xml:space="preserve"> and preterm</w:t>
      </w:r>
      <w:r w:rsidR="00C26DC1" w:rsidRPr="00612A77">
        <w:rPr>
          <w:rFonts w:ascii="Times New Roman" w:hAnsi="Times New Roman" w:cs="Times New Roman"/>
          <w:sz w:val="24"/>
          <w:szCs w:val="24"/>
          <w:lang w:val="en-US"/>
        </w:rPr>
        <w:t xml:space="preserve"> birth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{"citationID":"I8ySbhre","properties":{"formattedCitation":"(Brauer et al. 2008)","plainCitation":"(Brauer et al. 2008)","noteIndex":0},"citationItems":[{"id":207,"uris":["http://zotero.org/users/2002443/items/Q2EIWDTH"],"uri":["http://zotero.org/users/2002443/items/Q2EIWDTH"],"itemData":{"id":207,"type":"article-journal","title":"A Cohort Study of Traffic-Related Air Pollution Impacts on Birth Outcomes","container-title":"Environmental Health Perspectives","page":"680-686","volume":"116","issue":"5","source":"PubMed Central","abstract":"Background\nEvidence suggests that air pollution exposure adversely affects pregnancy outcomes. Few studies have examined individual-level intraurban exposure contrasts.\n\nObjectives\nWe evaluated the impacts of air pollution on small for gestational age (SGA) birth weight, low full-term birth weight (LBW), and preterm birth using spatiotemporal exposure metrics.\n\nMethods\nWith linked administrative data, we identified 70,249 singleton births (1999–2002) with complete covariate data (sex, ethnicity, parity, birth month and year, income, education) and maternal residential history in Vancouver, British Columbia, Canada. We estimated residential exposures by month of pregnancy using nearest and inverse-distance weighting (IDW) of study area monitors [carbon monoxide, nitrogen dioxide, nitric oxide, ozone, sulfur dioxide, and particulate matter &lt; 2.5 (PM2.5) or &lt; 10 (PM10) μm in aerodynamic diameter], temporally adjusted land use regression (LUR) models (NO, NO2, PM2.5, black carbon), and proximity to major roads. Using logistic regression, we estimated the risk of mean (entire pregnancy, first and last month of pregnancy, first and last 3 months) air pollution concentrations on SGA (&lt; 10th percentile), term LBW (&lt; 2,500 g), and preterm birth.\n\nResults\nResidence within 50 m of highways was associated with a 26% increase in SGA [95% confidence interval (CI), 1.07–1.49] and an 11% (95% CI, 1.01–1.23) increase in LBW. Exposure to all air pollutants except O3 was associated with SGA, with similar odds ratios (ORs) for LUR and monitoring estimates (e.g., LUR: OR = 1.02; 95% CI, 1.00–1.04; IDW: OR = 1.05; 95% CI, 1.03–1.08 per 10-μg/m3 increase in NO). For preterm births, associations were observed with PM2.5 for births &lt; 37 weeks gestation (and for other pollutants at &lt; 30 weeks). No consistent patterns suggested exposure windows of greater relevance.\n\nConclusion\nAssociations between traffic-related air pollution and birth outcomes were observed in a population-based cohort with relatively low ambient air pollution exposure.","URL":"http://www.ncbi.nlm.nih.gov/pmc/articles/PMC2367679/","DOI":"10.1289/ehp.10952","ISSN":"0091-6765","note":"PMID: 18470315\nPMCID: PMC2367679","journalAbbreviation":"Environ Health Perspect","author":[{"family":"Brauer","given":"Michael"},{"family":"Lencar","given":"Cornel"},{"family":"Tamburic","given":"Lillian"},{"family":"Koehoorn","given":"Mieke"},{"family":"Demers","given":"Paul"},{"family":"Karr","given":"Catherine"}],"issued":{"date-parts":[["2008",5]]},"accessed":{"date-parts":[["2016",3,19]]}}}],"schema":"https://github.com/citation-style-language/schema/raw/master/csl-citation.json"} </w:instrText>
      </w:r>
      <w:r w:rsidRPr="004549A1">
        <w:rPr>
          <w:rFonts w:ascii="Times New Roman" w:hAnsi="Times New Roman" w:cs="Times New Roman"/>
          <w:sz w:val="24"/>
          <w:szCs w:val="24"/>
        </w:rPr>
        <w:fldChar w:fldCharType="separate"/>
      </w:r>
      <w:r w:rsidR="00E92160" w:rsidRPr="007D326F">
        <w:rPr>
          <w:rFonts w:ascii="Times New Roman" w:hAnsi="Times New Roman" w:cs="Times New Roman"/>
          <w:sz w:val="24"/>
          <w:lang w:val="en-US"/>
        </w:rPr>
        <w:t>(Brauer et al. 2008)</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The chemical composition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00BB641E">
        <w:rPr>
          <w:rFonts w:ascii="Times New Roman" w:hAnsi="Times New Roman" w:cs="Times New Roman"/>
          <w:sz w:val="24"/>
          <w:szCs w:val="24"/>
          <w:lang w:val="en-US"/>
        </w:rPr>
        <w:t>varies by</w:t>
      </w:r>
      <w:r w:rsidRPr="004549A1">
        <w:rPr>
          <w:rFonts w:ascii="Times New Roman" w:hAnsi="Times New Roman" w:cs="Times New Roman"/>
          <w:sz w:val="24"/>
          <w:szCs w:val="24"/>
          <w:lang w:val="en-US"/>
        </w:rPr>
        <w:t xml:space="preserve"> source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{"citationID":"2klt47pn6g","properties":{"formattedCitation":"(Zheng et al. 2002)","plainCitation":"(Zheng et al. 2002)","noteIndex":0},"citationItems":[{"id":136,"uris":["http://zotero.org/users/2002443/items/CCQ3PSCC"],"uri":["http://zotero.org/users/2002443/items/CCQ3PSCC"],"itemData":{"id":136,"type":"article-journal","title":"Source Apportionment of PM2.5 in the Southeastern United States Using Solvent-Extractable Organic Compounds as Tracers","container-title":"Environmental Science &amp; Technology","page":"2361-2371","volume":"36","issue":"11","source":"ACS Publications","abstract":"A chemical mass balance (CMB) receptor model using particle-phase organic compounds as tracers is applied to apportion the primary source contributions to fine particulate matter and fine particulate organic carbon concentrations in the southeastern United States to determine the seasonal variability of these concentrations. Source contributions to particles with aerodynamic diameter ≤2.5 ?m (PM2.5) collected from four urban and four rural/suburban sites in AL, FL, GA, and MS during April, July, and October 1999 and January 2000 are calculated and presented. Organic compounds in monthly composite samples at each site are identified and quantified by gas chromatography/mass spectrometry and are used as molecular markers in the CMB model. The major contributors to identified PM2.5 organic carbon concentrations at these sites in the southeastern United States include wood combustion (25?66%), diesel exhaust (14?30%), meat cooking (5?12%), and gasoline-powered motor vehicle exhaust (0?10%), as well as smaller but statistically significant contributions from natural gas combustion, paved road dust, and vegetative detritus. The primary sources determined in the present study when added to secondary aerosol formation account for on average 89% of PM2.5 mass concentrations, with the major contributors to PM2.5 mass as secondary sulfate (30 ± 6%), wood combustion (15 ± 12%), diesel exhaust (16 ± 7%), secondary ammonium (8 ± 2%), secondary nitrate (4 ± 3%), meat cooking (3 ± 2%), gasoline-powered motor vehicle exhaust (2 ± 2%), and road dust (2 ± 2%). Distinct seasonality is observed in source contributions, including higher contributions from wood combustion during the colder months of October and January. In addition, higher percentages of unexplained fine organic carbon concentrations are observed in July, which are likely due to an increase in secondary organic aerosol formation during the summer season.","URL":"http://dx.doi.org/10.1021/es011275x","DOI":"10.1021/es011275x","ISSN":"0013-936X","journalAbbreviation":"Environ. Sci. Technol.","author":[{"family":"Zheng","given":"Mei"},{"family":"Cass","given":"Glen R."},{"family":"Schauer","given":"James J."},{"family":"Edgerton","given":"Eric S."}],"issued":{"date-parts":[["2002",6,1]]},"accessed":{"date-parts":[["2016",3,15]]}}}],"schema":"https://github.com/citation-style-language/schema/raw/master/csl-citation.json"}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(Zheng et al. 2002)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w:t>
      </w:r>
      <w:r w:rsidR="00612A77">
        <w:rPr>
          <w:rFonts w:ascii="Times New Roman" w:hAnsi="Times New Roman" w:cs="Times New Roman"/>
          <w:sz w:val="24"/>
          <w:szCs w:val="24"/>
          <w:lang w:val="en-US"/>
        </w:rPr>
        <w:t xml:space="preserve">has been shown </w:t>
      </w:r>
      <w:r w:rsidRPr="004549A1">
        <w:rPr>
          <w:rFonts w:ascii="Times New Roman" w:hAnsi="Times New Roman" w:cs="Times New Roman"/>
          <w:sz w:val="24"/>
          <w:szCs w:val="24"/>
          <w:lang w:val="en-US"/>
        </w:rPr>
        <w:t xml:space="preserve">to be heterogeneous at the community level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{"citationID":"bbqqja98n","properties":{"formattedCitation":"(Bell et al. 2011)","plainCitation":"(Bell et al. 2011)","noteIndex":0},"citationItems":[{"id":27,"uris":["http://zotero.org/users/2002443/items/7BA45WP8"],"uri":["http://zotero.org/users/2002443/items/7BA45WP8"],"itemData":{"id":27,"type":"article-journal","title":"Community-level spatial heterogeneity of chemical constituent levels of fine particulates and implications for epidemiological research","container-title":"Journal of Exposure Science and Environmental Epidemiology","page":"372-384","volume":"21","issue":"4","source":"www.nature.com","abstract":"Studies of the health impacts of airborne particulates’ chemical constituents typically assume spatial homogeneity and estimate exposure from ambient monitors. However, factors such as local sources may cause spatially heterogeneous pollution levels. This work examines the degree to which constituent levels vary within communities and whether exposure misclassification is introduced by spatial homogeneity assumptions. Analysis considered PM2.5 elemental carbon (EC), organic carbon matter, ammonium, sulfate, nitrate, silicon, and sodium ion (Na+) for the United States, 1999–2007. Pearson correlations and coefficients of divergence were calculated and compared to distances among monitors. Linear modeling related correlations to distance between monitors, long-term constituent levels, and population density. Spatial heterogeneity was present for all constituents, yet lower for ammonium, sulfate, and nitrate. Lower correlations were associated with higher distance between monitors, especially for nitrate and sulfate, and with lower long-term levels, especially for sulfate and Na+. Analysis of colocated monitors revealed measurement error for all constituents, especially EC and Na+. Exposure misclassification may be introduced into epidemiological studies of PM2.5 constituents due to spatial variability, and is affected by constituent type and level. When assessing health effects of PM constituents, new methods are needed for estimating exposure and accounting for exposure error induced by spatial variability.","URL":"http://www.nature.com/jes/journal/v21/n4/full/jes201024a.html","DOI":"10.1038/jes.2010.24","ISSN":"1559-0631","journalAbbreviation":"J Expos Sci Environ Epidemiol","language":"en","author":[{"family":"Bell","given":"Michelle L."},{"family":"Ebisu","given":"Keita"},{"family":"Peng","given":"Roger D."}],"issued":{"date-parts":[["2011",7]]},"accessed":{"date-parts":[["2015",12,10]]}}}],"schema":"https://github.com/citation-style-language/schema/raw/master/csl-citation.json"}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et al. 2011)</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Evidence is mounting that different chemical components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have different health impacts, with some more toxic than others </w:t>
      </w:r>
      <w:commentRangeStart w:id="7"/>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{"citationID":"r6d0nlJf","properties":{"formattedCitation":"(Atkinson et al. 2015; Beelen et al. 2015; Bell et al. 2007a; Chung et al. 2015; Eeftens et al. 2014; Franklin et al. 2008; Hampel et al. 2015; Kelly and Fussell 2012; Lelieveld et al. 2015; Ostro et al. 2015; Peng et al. 2009; Raaschou-Nielsen et al. 2016; Stanek et al. 2011; Thurston et al. 2015; U.S. EPA 2009; Wang et al. 2017; Wolf et al. 2015)","plainCitation":"(Atkinson et al. 2015; Beelen et al. 2015; Bell et al. 2007a; Chung et al. 2015; Eeftens et al. 2014; Franklin et al. 2008; Hampel et al. 2015; Kelly and Fussell 2012; Lelieveld et al. 2015; Ostro et al. 2015; Peng et al. 2009; Raaschou-Nielsen et al. 2016; Stanek et al. 2011; Thurston et al. 2015; U.S. EPA 2009; Wang et al. 2017; Wolf et al. 2015)","noteIndex":0},"citationItems":[{"id":22,"uris":["http://zotero.org/users/2002443/items/HTZD6MGS"],"uri":["http://zotero.org/users/2002443/items/HTZD6MGS"],"itemData":{"id":22,"type":"article-journal","title":"Fine particle components and health--a systematic review and meta-analysis of epidemiological time series studies of daily mortality and hospital admissions","container-title":"Journal of Exposure Science &amp; Environmental Epidemiology","page":"208-214","volume":"25","issue":"2","source":"PubMed","abstract":"Short-term exposure to fine particle mass (PM) has been associated with adverse health effects, but little is known about the relative toxicity of particle components. We conducted a systematic review to quantify the associations between particle components and daily mortality and hospital admissions. Medline, Embase and Web of Knowledge were searched for time series studies of sulphate (SO4(2-)), nitrate (NO3(-)), elemental and organic carbon (EC and OC), particle number concentrations (PNC) and metals indexed to October 2013. A multi-stage sifting process identified eligible studies and effect estimates for meta-analysis. SO4(2-), NO3(-), EC and OC were positively associated with increased all-cause, cardiovascular and respiratory mortality, with the strongest associations observed for carbon: 1.30% (95% CI: 0.17%, 2.43%) increase in all-cause mortality per 1 μg/m(3). For PNC, the majority of associations were positive with confidence intervals that overlapped 0%. For metals, there were insufficient estimates for meta-analysis. There are important gaps in our knowledge of the health effects associated with short-term exposure to particle components, and the literature also lacks sufficient geographical coverage and analyses of cause-specific outcomes. The available evidence suggests, however, that both EC and secondary inorganic aerosols are associated with adverse health effects.","DOI":"10.1038/jes.2014.63","ISSN":"1559-064X","note":"PMID: 25227730\nPMCID: PMC4335916","journalAbbreviation":"J Expo Sci Environ Epidemiol","language":"eng","author":[{"family":"Atkinson","given":"Richard W."},{"family":"Mills","given":"Inga C."},{"family":"Walton","given":"Heather A."},{"family":"Anderson","given":"H. Ross"}],"issued":{"date-parts":[["2015",4]]}}},{"id":20,"uris":["http://zotero.org/users/2002443/items/IZAGWTF4"],"uri":["http://zotero.org/users/2002443/items/IZAGWTF4"],"itemData":{"id":20,"type":"article-journal","title":"Natural-cause mortality and long-term exposure to particle components: an analysis of 19 European cohorts within the multi-center ESCAPE project","container-title":"Environmental Health Perspectives","page":"525-533","volume":"123","issue":"6","source":"PubMed","abstract":"BACKGROUND: Studies have shown associations between mortality and long-term exposure to particulate matter air pollution. Few cohort studies have estimated the effects of the elemental composition of particulate matter on mortality.\nOBJECTIVES: Our aim was to study the association between natural-cause mortality and long-term exposure to elemental components of particulate matter.\nMETHODS: Mortality and confounder data from 19 European cohort studies were used. Residential exposure to eight a priori-selected components of particulate matter (PM) was characterized following a strictly standardized protocol. Annual average concentrations of copper, iron, potassium, nickel, sulfur, silicon, vanadium, and zinc within PM size fractions ≤ 2.5 μm (PM2.5) and ≤ 10 μm (PM10) were estimated using land-use regression models. Cohort-specific statistical analyses of the associations between mortality and air pollution were conducted using Cox proportional hazards models using a common protocol followed by meta-analysis.\nRESULTS: The total study population consisted of 291,816 participants, of whom 25,466 died from a natural cause during follow-up (average time of follow-up, 14.3 years). Hazard ratios were positive for almost all elements and statistically significant for PM2.5 sulfur (1.14; 95% CI: 1.06, 1.23 per 200 ng/m3). In a two-pollutant model, the association with PM2.5 sulfur was robust to adjustment for PM2.5 mass, whereas the association with PM2.5 mass was reduced.\nCONCLUSIONS: Long-term exposure to PM2.5 sulfur was associated with natural-cause mortality. This association was robust to adjustment for other pollutants and PM2.5.","DOI":"10.1289/ehp.1408095","ISSN":"1552-9924","note":"PMID: 25712504\nPMCID: PMC4455583","title-short":"Natural-cause mortality and long-term exposure to particle components","journalAbbreviation":"Environ. Health Perspect.","language":"eng","author":[{"family":"Beelen","given":"Rob"},{"family":"Hoek","given":"Gerard"},{"family":"Raaschou-Nielsen","given":"Ole"},{"family":"Stafoggia","given":"Massimo"},{"family":"Andersen","given":"Zorana Jovanovic"},{"family":"Weinmayr","given":"Gudrun"},{"family":"Hoffmann","given":"Barbara"},{"family":"Wolf","given":"Kathrin"},{"family":"Samoli","given":"Evangelia"},{"family":"Fischer","given":"Paul H."},{"family":"Nieuwenhuijsen","given":"Mark J."},{"family":"Xun","given":"Wei W."},{"family":"Katsouyanni","given":"Klea"},{"family":"Dimakopoulou","given":"Konstantina"},{"family":"Marcon","given":"Alessandro"},{"family":"Vartiainen","given":"Erkki"},{"family":"Lanki","given":"Timo"},{"family":"Yli-Tuomi","given":"Tarja"},{"family":"Oftedal","given":"Bente"},{"family":"Schwarze","given":"Per E."},{"family":"Nafstad","given":"Per"},{"family":"De Faire","given":"Ulf"},{"family":"Pedersen","given":"Nancy L."},{"family":"Östenson","given":"Claes-Göran"},{"family":"Fratiglioni","given":"Laura"},{"family":"Penell","given":"Johanna"},{"family":"Korek","given":"Michal"},{"family":"Pershagen","given":"Göran"},{"family":"Eriksen","given":"Kirsten Thorup"},{"family":"Overvad","given":"Kim"},{"family":"Sørensen","given":"Mette"},{"family":"Eeftens","given":"Marloes"},{"family":"Peeters","given":"Petra H."},{"family":"Meliefste","given":"Kees"},{"family":"Wang","given":"Meng"},{"family":"Bueno-de-Mesquita","given":"H. Bas"},{"family":"Sugiri","given":"Dorothea"},{"family":"Krämer","given":"Ursula"},{"family":"Heinrich","given":"Joachim"},{"family":"Hoogh","given":"Kees","non-dropping-particle":"de"},{"family":"Key","given":"Timothy"},{"family":"Peters","given":"Annette"},{"family":"Hampel","given":"Regina"},{"family":"Concin","given":"Hans"},{"family":"Nagel","given":"Gabriele"},{"family":"Jaensch","given":"Andrea"},{"family":"Ineichen","given":"Alex"},{"family":"Tsai","given":"Ming-Yi"},{"family":"Schaffner","given":"Emmanuel"},{"family":"Probst-Hensch","given":"Nicole M."},{"family":"Schindler","given":"Christian"},{"family":"Ragettli","given":"Martina S."},{"family":"Vilier","given":"Alice"},{"family":"Clavel-Chapelon","given":"Françoise"},{"family":"Declercq","given":"Christophe"},{"family":"Ricceri","given":"Fulvio"},{"family":"Sacerdote","given":"Carlotta"},{"family":"Galassi","given":"Claudia"},{"family":"Migliore","given":"Enrica"},{"family":"Ranzi","given":"Andrea"},{"family":"Cesaroni","given":"Giulia"},{"family":"Badaloni","given":"Chiara"},{"family":"Forastiere","given":"Francesco"},{"family":"Katsoulis","given":"Michail"},{"family":"Trichopoulou","given":"Antonia"},{"family":"Keuken","given":"Menno"},{"family":"Jedynska","given":"Aleksandra"},{"family":"Kooter","given":"Ingeborg M."},{"family":"Kukkonen","given":"Jaakko"},{"family":"Sokhi","given":"Ranjeet S."},{"family":"Vineis","given":"Paolo"},{"family":"Brunekreef","given":"Bert"}],"issued":{"date-parts":[["2015",6]]}}},{"id":80,"uris":["http://zotero.org/users/2002443/items/Z7B8FCHT"],"uri":["http://zotero.org/users/2002443/items/Z7B8FCHT"],"itemData":{"id":80,"type":"article-journal","title":"Spatial and Temporal Variation in PM2.5 Chemical Composition in the United States for Health Effects Studies","container-title":"Environmental Health Perspectives","page":"989-995","volume":"115","issue":"7","source":"CrossRef","URL":"http://www.ncbi.nlm.nih.gov/pmc/articles/PMC1913582/","DOI":"10.1289/ehp.9621","ISSN":"0091-6765","language":"en","author":[{"family":"Bell","given":"Michelle L."},{"family":"Dominici","given":"Francesca"},{"family":"Ebisu","given":"Keita"},{"family":"Zeger","given":"Scott L."},{"family":"Samet","given":"Jonathan M."}],"issued":{"date-parts":[["2007",4,20]]},"accessed":{"date-parts":[["2016",3,13]]}}},{"id":1240,"uris":["http://zotero.org/users/2002443/items/QBJR96XT"],"uri":["http://zotero.org/users/2002443/items/QBJR96XT"],"itemData":{"id":1240,"type":"article-journal","title":"Associations between long-term exposure to chemical constituents of fine particulate matter (PM2.5) and mortality in Medicare enrollees in the eastern United States","container-title":"Environmental Health Perspectives","page":"467-474","volume":"123","issue":"5","source":"PubMed","abstract":"BACKGROUND: Several epidemiological studies have reported that long-term exposure to fine particulate matter (PM2.5) is associated with higher mortality. Evidence regarding contributions of PM2.5 constituents is inconclusive.\nOBJECTIVES: We assembled a data set of 12.5 million Medicare enrollees (≥ 65 years of age) to determine which PM2.5 constituents are a) associated with mortality controlling for previous-year PM2.5 total mass (main effect); and b) elevated in locations exhibiting stronger associations between previous-year PM2.5 and mortality (effect modification).\nMETHODS: For 518 PM2.5 monitoring locations (eastern United States, 2000-2006), we calculated monthly mortality rates, monthly long-term (previous 1-year average) PM2.5, and 7-year averages (2000-2006) of major PM2.5 constituents [elemental carbon (EC), organic carbon matter (OCM), sulfate (SO42-), silicon (Si), nitrate (NO3-), and sodium (Na)] and community-level variables. We applied a Bayesian hierarchical model to estimate location-specific mortality rates associated with previous-year PM2.5 (model level 1) and identify constituents that contributed to the spatial variability of mortality, and constituents that modified associations between previous-year PM2.5 and mortality (model level 2), controlling for community-level confounders.\nRESULTS: One-standard deviation (SD) increases in 7-year average EC, Si, and NO3- concentrations were associated with 1.3% [95% posterior interval (PI): 0.3, 2.2], 1.4% (95% PI: 0.6, 2.4), and 1.2% (95% PI: 0.4, 2.1) increases in monthly mortality, controlling for previous-year PM2.5. Associations between previous-year PM2.5 and mortality were stronger in combination with 1-SD increases in SO42- and Na.\nCONCLUSIONS: Long-term exposures to PM2.5 and several constituents were associated with mortality in the elderly population of the eastern United States. Moreover, some constituents increased the association between long-term exposure to PM2.5 and mortality. These results provide new evidence that chemical composition can partly explain the differential toxicity of PM2.5.","DOI":"10.1289/ehp.1307549","ISSN":"1552-9924","note":"PMID: 25565179\nPMCID: PMC4421760","journalAbbreviation":"Environ. Health Perspect.","language":"eng","author":[{"family":"Chung","given":"Yeonseung"},{"family":"Dominici","given":"Francesca"},{"family":"Wang","given":"Yun"},{"family":"Coull","given":"Brent A."},{"family":"Bell","given":"Michelle L."}],"issued":{"date-parts":[["2015",5]]}}},{"id":1199,"uris":["http://zotero.org/users/2002443/items/WJ954BRQ"],"uri":["http://zotero.org/users/2002443/items/WJ954BRQ"],"itemData":{"id":1199,"type":"article-journal","title":"Elemental Composition of Particulate Matter and the Association with Lung Function.  [Miscellaneous Article]","container-title":"Epidemiology","page":"648-657","volume":"25","issue":"5","source":"Journals@Ovid","abstract":"Background: Negative effects of long-term exposure to particulate matter (PM) on lung function have been shown repeatedly. Spatial differences in the composition and toxicity of PM may explain differences in observed effect sizes between studies., Methods: We conducted a multicenter study in 5 European birth cohorts-BAMSE (Sweden), GINIplus and LISAplus (Germany), MAAS (United Kingdom), and PIAMA (The Netherlands)-for which lung function measurements were available for study subjects at the age of 6 or 8 years. Individual annual average residential exposure to copper, iron, potassium, nickel, sulfur, silicon, vanadium, and zinc within PM smaller than 2.5 [mu]m (PM2.5) and smaller than 10 [mu]m (PM10) was estimated using land-use regression models. Associations between air pollution and lung function were analyzed by linear regression within cohorts, adjusting for potential confounders, and then combined by random effects meta-analysis., Results: We observed small reductions in forced expiratory volume in the first second, forced vital capacity, and peak expiratory flow related to exposure to most elemental pollutants, with the most substantial negative associations found for nickel and sulfur. PM10 nickel and PM10 sulfur were associated with decreases in forced expiratory volume in the first second of 1.6% (95% confidence interval = 0.4% to 2.7%) and 2.3% (-0.1% to 4.6%) per increase in exposure of 2 and 200 ng/m3, respectively. Associations remained after adjusting for PM mass. However, associations with these elements were not evident in all cohorts, and heterogeneity of associations with exposure to various components was larger than for exposure to PM mass., Conclusions: Although we detected small adverse effects on lung function associated with annual average levels of some of the evaluated elements (particularly nickel and sulfur), lower lung function was more consistently associated with increased PM mass., (C) 2014 by Lippincott Williams &amp; Wilkins, Inc","DOI":"10.1097/EDE.0000000000000136","ISSN":"1044-3983","call-number":"00001648-201409000-00005","language":"English.","author":[{"family":"Eeftens","given":"Marloes","dropping-particle":"a"},{"family":"Hoek","given":"Gerard","dropping-particle":"a"},{"family":"Gruzieva","given":"Olena","dropping-particle":"d"},{"family":"Molter","given":"Anna","dropping-particle":"e"},{"family":"Agius","given":"Raymond","dropping-particle":"e"},{"family":"Beelen","given":"Rob","dropping-particle":"a"},{"family":"Brunekreef","given":"Bert","dropping-particle":"a"},{"family":"Custovic","given":"Adnan","dropping-particle":"g"},{"family":"Cyrys","given":"Josef","dropping-particle":"h"},{"family":"Fuertes","given":"Elaine","dropping-particle":"j"},{"family":"Heinrich","given":"Joachim","dropping-particle":"j"},{"family":"Hoffmann","given":"Barbara","dropping-particle":"l"},{"family":"Hoogh","given":"Kees","non-dropping-particle":"de","dropping-particle":"n"},{"family":"Jedynska","given":"Aleksandra","dropping-particle":"o"},{"family":"Keuken","given":"Menno","dropping-particle":"o"},{"family":"Klumper","given":"Claudia","dropping-particle":"l"},{"family":"Kooter","given":"Ingeborg","dropping-particle":"o"},{"family":"Kramer","given":"Ursula","dropping-particle":"l"},{"family":"Korek","given":"Michal","dropping-particle":"d"},{"family":"Koppelman","given":"Gerard H.","dropping-particle":"p"},{"family":"Kuhlbusch","given":"Thomas A. J.","dropping-particle":"q"},{"family":"Simpson","given":"Angela","dropping-particle":"g"},{"family":"Smit","given":"Henriette A.","dropping-particle":"f"},{"family":"Tsai","given":"Ming-Yi","dropping-particle":"b"},{"family":"Wang","given":"Meng","dropping-particle":"a"},{"family":"Wolf","given":"Kathrin","dropping-particle":"j"},{"family":"Pershagen","given":"Goran","dropping-particle":"d"},{"family":"Gehring","given":"Ulrike","dropping-particle":"a"}],"issued":{"date-parts":[["2014",9]]}}},{"id":88,"uris":["http://zotero.org/users/2002443/items/H68DWG3B"],"uri":["http://zotero.org/users/2002443/items/H68DWG3B"],"itemData":{"id":88,"type":"article-journal","title":"The role of particle composition on the association between PM2.5 and mortality","container-title":"Epidemiology (Cambridge, Mass.)","page":"680-689","volume":"19","issue":"5","source":"PubMed","abstract":"BACKGROUND: Although the association between exposure to particulate matter (PM) mass and mortality is well established, there remains uncertainty about which chemical components of PM are most harmful to human health.\nMETHODS: A hierarchical approach was used to determine how the association between daily PM2.5 mass and mortality was modified by PM2.5 composition in 25 US communities. First, the association between daily PM2.5 and mortality was determined for each community and season using Poisson regression. Second, we used meta-regression to examine how the pooled association was modified by community and season-specific particle composition.\nRESULTS: There was a 0.74% (95% confidence interval = 0.41%-1.07%) increase in nonaccidental deaths associated with a 10 microg/m3 increase in 2-day averaged PM2.5 mass concentration. This association was smaller in the west (0.51% [0.10%-0.92%]) than in the east (0.92% [0.23%-1.36%]), and was highest in spring (1.88% [0.23%-1.36%]). It was increased when PM2.5 mass contained a higher proportion of aluminum (interquartile range = 0.58%), arsenic (0.55%), sulfate (0.51%), silicon (0.41%), and nickel (0.37%). The combination of aluminum, sulfate, and nickel also modified the effect. These species proportions explained residual variability between the community-specific PM2.5 mass effect estimates.\nCONCLUSIONS: This study shows that certain chemical species modify the association between PM2.5 and mortality and illustrates that mass alone is not a sufficient metric when evaluating health effects of PM exposure.","ISSN":"1531-5487","note":"PMID: 18714438\nPMCID: PMC3755878","journalAbbreviation":"Epidemiology","language":"eng","author":[{"family":"Franklin","given":"Meredith"},{"family":"Koutrakis","given":"Petros"},{"family":"Schwartz","given":"Petros"}],"issued":{"date-parts":[["2008",9]]}}},{"id":1209,"uris":["http://zotero.org/users/2002443/items/RBHD38VD"],"uri":["http://zotero.org/users/2002443/items/RBHD38VD"],"itemData":{"id":1209,"type":"article-journal","title":"Long-term effects of elemental composition of particulate matter on inflammatory blood markers in European cohorts","container-title":"Environment International","page":"76-84","volume":"82","source":"ScienceDirect","abstract":"Background\nEpidemiological studies have associated long-term exposure to ambient particulate matter with increased mortality from cardiovascular and respiratory disorders. Systemic inflammation is a plausible biological mechanism behind this association. However, it is unclear how the chemical composition of PM affects inflammatory responses.\nObjectives\nTo investigate the association between long-term exposure to elemental components of PM and the inflammatory blood markers high-sensitivity C-reactive protein (hsCRP) and fibrinogen as part of the European ESCAPE and TRANSPHORM multi-center projects.\nMethods\nIn total, 21,558 hsCRP measurements and 17,428 fibrinogen measurements from cross-sections of five and four cohort studies were available, respectively. Residential long-term concentrations of particulate matter &amp;lt; 10 μm (PM10) and &amp;lt; 2.5 μm (PM2.5) in diameter and selected elemental components (copper, iron, potassium, nickel, sulfur, silicon, vanadium, zinc) were estimated based on land-use regression models. Associations between components and inflammatory markers were estimated using linear regression models for each cohort separately. Cohort-specific results were combined using random effects meta-analysis. As a sensitivity analysis the models were additionally adjusted for PM mass.\nResults\nA 5 ng/m3 increase in PM2.5 copper and a 500 ng/m3 increase in PM10 iron were associated with a 6.3% [0.7; 12.3%] and 3.6% [0.3; 7.1%] increase in hsCRP, respectively. These associations between components and fibrinogen were slightly weaker. A 10 ng/m3 increase in PM2.5 zinc was associated with a 1.2% [0.1; 2.4%] increase in fibrinogen; confidence intervals widened when additionally adjusting for PM2.5.\nConclusions\nLong-term exposure to transition metals within ambient particulate matter, originating from traffic and industry, may be related to chronic systemic inflammation providing a link to long-term health effects of particulate matter.","URL":"https://www.sciencedirect.com/science/article/pii/S0160412015001233","DOI":"10.1016/j.envint.2015.05.008","ISSN":"0160-4120","journalAbbreviation":"Environment International","author":[{"family":"Hampel","given":"Regina"},{"family":"Peters","given":"Annette"},{"family":"Beelen","given":"Rob"},{"family":"Brunekreef","given":"Bert"},{"family":"Cyrys","given":"Josef"},{"family":"Faire","given":"Ulf","non-dropping-particle":"de"},{"family":"Hoogh","given":"Kees","non-dropping-particle":"de"},{"family":"Fuks","given":"Kateryna"},{"family":"Hoffmann","given":"Barbara"},{"family":"Hüls","given":"Anke"},{"family":"Imboden","given":"Medea"},{"family":"Jedynska","given":"Aleksandra"},{"family":"Kooter","given":"Ingeborg"},{"family":"Koenig","given":"Wolfgang"},{"family":"Künzli","given":"Nino"},{"family":"Leander","given":"Karin"},{"family":"Magnusson","given":"Patrik"},{"family":"Männistö","given":"Satu"},{"family":"Penell","given":"Johanna"},{"family":"Pershagen","given":"Göran"},{"family":"Phuleria","given":"Harish"},{"family":"Probst-Hensch","given":"Nicole"},{"family":"Pundt","given":"Noreen"},{"family":"Schaffner","given":"Emmanuel"},{"family":"Schikowski","given":"Tamara"},{"family":"Sugiri","given":"Dorothea"},{"family":"Tiittanen","given":"Pekka"},{"family":"Tsai","given":"Ming-Yi"},{"family":"Wang","given":"Meng"},{"family":"Wolf","given":"Kathrin"},{"family":"Lanki","given":"Timo"}],"issued":{"date-parts":[["2015",9]]}}},{"id":1183,"uris":["http://zotero.org/users/2002443/items/HBHPBB22"],"uri":["http://zotero.org/users/2002443/items/HBHPBB22"],"itemData":{"id":1183,"type":"article-journal","title":"Size, source and chemical composition as determinants of toxicity attributable to ambient particulate matter","container-title":"Atmospheric Environment","page":"504-526","volume":"60","issue":"Supplement C","source":"ScienceDirect","abstract":"Particulate matter (PM) is a complex, heterogeneous mixture that changes in time and space. It encompasses many different chemical components and physical characteristics, many of which have been cited as potential contributors to toxicity. Each component has multiple sources, and each source generates multiple components. Identifying and quantifying the influences of specific components or source-related mixtures on measures of health-related impacts, especially when particles interact with other co-pollutants, therefore represents one of the most challenging areas of environmental health research. Current knowledge does not allow precise quantification or definitive ranking of the health effects of PM emissions from different sources or of individual PM components and indeed, associations may be the result of multiple components acting on different physiological mechanisms. Some results do suggest a degree of differential toxicity, namely more consistent associations with traffic-related PM emissions, fine and ultrafine particles, specific metals and elemental carbon and a range of serious health effects, including increased morbidity and mortality from cardiovascular and respiratory conditions. A carefully targeted programme of contemporary toxicological and epidemiological research, incorporating more refined approaches (e.g. greater speciation data, more refined modelling techniques, accurate exposure assessment and better definition of individual susceptibility) and optimal collaboration amongst multidisciplinary teams, is now needed to advance our understanding of the relative toxicity of particles from various sources, especially the components and reactions products of traffic. This will facilitate targeted abatement policies, more effective pollution control measures and ultimately, a reduction in the burden of disease attributable to ambient PM pollution.","URL":"http://www.sciencedirect.com/science/article/pii/S1352231012006024","DOI":"10.1016/j.atmosenv.2012.06.039","ISSN":"1352-2310","journalAbbreviation":"Atmospheric Environment","author":[{"family":"Kelly","given":"Frank J."},{"family":"Fussell","given":"Julia C."}],"issued":{"date-parts":[["2012",12,1]]}}},{"id":24,"uris":["http://zotero.org/users/2002443/items/DWQBJ56E"],"uri":["http://zotero.org/users/2002443/items/DWQBJ56E"],"itemData":{"id":24,"type":"article-journal","title":"The contribution of outdoor air pollution sources to premature mortality on a global scale","container-title":"Nature","page":"367-371","volume":"525","issue":"7569","source":"www.nature.com","abstract":"Assessment of the global burden of disease is based on epidemiological cohort studies that connect premature mortality to a wide range of causes, including the long-term health impacts of ozone and fine particulate matter with a diameter smaller than 2.5 micrometres (PM2.5). It has proved difficult to quantify premature mortality related to air pollution, notably in regions where air quality is not monitored, and also because the toxicity of particles from various sources may vary. Here we use a global atmospheric chemistry model to investigate the link between premature mortality and seven emission source categories in urban and rural environments. In accord with the global burden of disease for 2010 (ref. 5), we calculate that outdoor air pollution, mostly by PM2.5, leads to 3.3 (95 per cent confidence interval 1.61–4.81) million premature deaths per year worldwide, predominantly in Asia. We primarily assume that all particles are equally toxic, but also include a sensitivity study that accounts for differential toxicity. We find that emissions from residential energy use such as heating and cooking, prevalent in India and China, have the largest impact on premature mortality globally, being even more dominant if carbonaceous particles are assumed to be most toxic. Whereas in much of the USA and in a few other countries emissions from traffic and power generation are important, in eastern USA, Europe, Russia and East Asia agricultural emissions make the largest relative contribution to PM2.5, with the estimate of overall health impact depending on assumptions regarding particle toxicity. Model projections based on a business-as-usual emission scenario indicate that the contribution of outdoor air pollution to premature mortality could double by 2050.","URL":"http://www.nature.com/nature/journal/v525/n7569/full/nature15371.html","DOI":"10.1038/nature15371","ISSN":"0028-0836","journalAbbreviation":"Nature","language":"en","author":[{"family":"Lelieveld","given":"J."},{"family":"Evans","given":"J. S."},{"family":"Fnais","given":"M."},{"family":"Giannadaki","given":"D."},{"family":"Pozzer","given":"A."}],"issued":{"date-parts":[["2015",9,17]]},"accessed":{"date-parts":[["2015",12,10]]}}},{"id":1215,"uris":["http://zotero.org/users/2002443/items/VPG6B3FJ"],"uri":["http://zotero.org/users/2002443/items/VPG6B3FJ"],"itemData":{"id":1215,"type":"article-journal","title":"Associations of Mortality with Long-Term Exposures to Fine and Ultrafine Particles, Species and Sources: Results from the California Teachers Study Cohort","container-title":"Environmental Health Perspectives","source":"CrossRef","URL":"http://ehp.niehs.nih.gov/1408565","DOI":"10.1289/ehp.1408565","ISSN":"0091-6765","title-short":"Associations of Mortality with Long-Term Exposures to Fine and Ultrafine Particles, Species and Sources","language":"en","author":[{"family":"Ostro","given":"Bart"},{"family":"Hu","given":"Jianlin"},{"family":"Goldberg","given":"Debbie"},{"family":"Reynolds","given":"Peggy"},{"family":"Hertz","given":"Andrew"},{"family":"Bernstein","given":"Leslie"},{"family":"Kleeman","given":"Michael J."}],"issued":{"date-parts":[["2015",1,23]]}}},{"id":1242,"uris":["http://zotero.org/users/2002443/items/WZBHFFW6"],"uri":["http://zotero.org/users/2002443/items/WZBHFFW6"],"itemData":{"id":1242,"type":"article-journal","title":"Emergency Admissions for Cardiovascular and Respiratory Diseases and the Chemical Composition of Fine Particle Air Pollution","container-title":"Environmental Health Perspectives","page":"957-963","volume":"117","issue":"6","source":"Web of Science","abstract":"BACKGROUND: Population-based studies have estimated health risks of short-term exposure to fine particles using mass of PM(2.5) (particulate matter &lt;= 2.5 mu m in aerodynamic diameter) as the indicator. Evidence regarding the toxicity of the chemical components of the PM(2.5) mixture is limited. OBJECTIVE: In this study we investigated the association between hospital admission for cardiovascular disease (CVD) and respiratory disease and the chemical components of PM(2.5) in the United States. METHODS: We used a national database comprising daily data for 2000-2006 on emergency hospital admissions for cardiovascular and respiratory outcomes, ambient levels of major PM(2.5) chemical components [sulfate, nitrate, silicon, elemental carbon (EC), organic carbon matter (OCM), and sodium and ammonium ions], and weather. Using Bayesian hierarchical statistical models, we estimated the associations between daily levels of PM(2.5) components and risk of hospital admissions in 119 U.S. urban communities for 12 million Medicare enrollees (&gt;= 65 years of age). RESULTS: In multiple-pollutant models that adjust for the levels of other pollutants, an interquartile range (IQR) increase in EC was associated with a 0.80% [95% posterior interval (PI), 0.34-1.27%] increase in risk of same-day cardiovascular admissions, and an IQR increase in OCM was associated with a 1.01% (95% PI, 0.04-1.98%) increase in risk of respiratory admissions on the same day. Other components were not associated with cardiovascular or respiratory hospital admissions in multiple-pollutant models. CONCLUSIONS: Ambient levels of EC and OCM, which are generated primarily from vehicle emissions, diesel, and wood burning, were associated with the largest risks of emergency hospitalization across the major chemical constituents Of PM(2.5).","DOI":"10.1289/ehp.0800185","ISSN":"0091-6765","note":"WOS:000266462600034","journalAbbreviation":"Environ. Health Perspect.","language":"English","author":[{"family":"Peng","given":"Roger D."},{"family":"Bell","given":"Michelle L."},{"family":"Geyh","given":"Alison S."},{"family":"McDermott","given":"Aidan"},{"family":"Zeger","given":"Scott L."},{"family":"Samet","given":"Jonathan M."},{"family":"Dominici","given":"Francesca"}],"issued":{"date-parts":[["2009",6]]}}},{"id":1206,"uris":["http://zotero.org/users/2002443/items/288FEGUR"],"uri":["http://zotero.org/users/2002443/items/288FEGUR"],"itemData":{"id":1206,"type":"article-journal","title":"Particulate matter air pollution components and risk for lung cancer","container-title":"Environment International","page":"66-73","volume":"87","issue":"Supplement C","source":"ScienceDirect","abstract":"Particulate matter (PM) air pollution is a human lung carcinogen; however, the components responsible have not been identified. We assessed the associations between PM components and lung cancer incidence. We used data from 14 cohort studies in eight European countries. We geocoded baseline addresses and assessed air pollution with land-use regression models for eight elements (Cu, Fe, K, Ni, S, Si, V and Zn) in size fractions of PM2.5 and PM10. We used Cox regression models with adjustment for potential confounders for cohort-specific analyses and random effect models for meta-analysis. The 245,782 cohort members contributed 3,229,220person–years at risk. During follow-up (mean, 13.1years), 1878 incident cases of lung cancer were diagnosed. In the meta-analyses, elevated hazard ratios (HRs) for lung cancer were associated with all elements except V; none was statistically significant. In analyses restricted to participants who did not change residence during follow-up, statistically significant associations were found for PM2.5 Cu (HR, 1.25; 95% CI, 1.01–1.53 per 5ng/m3), PM10 Zn (1.28; 1.02–1.59 per 20ng/m3), PM10 S (1.58; 1.03–2.44 per 200ng/m3), PM10 Ni (1.59; 1.12–2.26 per 2ng/m3) and PM10 K (1.17; 1.02–1.33 per 100ng/m3). In two-pollutant models, associations between PM10 and PM2.5 and lung cancer were largely explained by PM2.5 S. This study indicates that the association between PM in air pollution and lung cancer can be attributed to various PM components and sources. PM containing S and Ni might be particularly important.","URL":"http://www.sciencedirect.com/science/article/pii/S016041201530091X","DOI":"10.1016/j.envint.2015.11.007","ISSN":"0160-4120","journalAbbreviation":"Environment International","author":[{"family":"Raaschou-Nielsen","given":"O."},{"family":"Beelen","given":"R."},{"family":"Wang","given":"M."},{"family":"Hoek","given":"G."},{"family":"Andersen","given":"Z. J."},{"family":"Hoffmann","given":"B."},{"family":"Stafoggia","given":"M."},{"family":"Samoli","given":"E."},{"family":"Weinmayr","given":"G."},{"family":"Dimakopoulou","given":"K."},{"family":"Nieuwenhuijsen","given":"M."},{"family":"Xun","given":"W. W."},{"family":"Fischer","given":"P."},{"family":"Eriksen","given":"K. T."},{"family":"Sørensen","given":"M."},{"family":"Tjønneland","given":"A."},{"family":"Ricceri","given":"F."},{"family":"Hoogh","given":"K.","non-dropping-particle":"de"},{"family":"Key","given":"T."},{"family":"Eeftens","given":"M."},{"family":"Peeters","given":"P. H."},{"family":"Bueno-de-Mesquita","given":"H. B."},{"family":"Meliefste","given":"K."},{"family":"Oftedal","given":"B."},{"family":"Schwarze","given":"P. E."},{"family":"Nafstad","given":"P."},{"family":"Galassi","given":"C."},{"family":"Migliore","given":"E."},{"family":"Ranzi","given":"A."},{"family":"Cesaroni","given":"G."},{"family":"Badaloni","given":"C."},{"family":"Forastiere","given":"F."},{"family":"Penell","given":"J."},{"family":"De Faire","given":"U."},{"family":"Korek","given":"M."},{"family":"Pedersen","given":"N."},{"family":"Östenson","given":"C. -G."},{"family":"Pershagen","given":"G."},{"family":"Fratiglioni","given":"L."},{"family":"Concin","given":"H."},{"family":"Nagel","given":"G."},{"family":"Jaensch","given":"A."},{"family":"Ineichen","given":"A."},{"family":"Naccarati","given":"A."},{"family":"Katsoulis","given":"M."},{"family":"Trichpoulou","given":"A."},{"family":"Keuken","given":"M."},{"family":"Jedynska","given":"A."},{"family":"Kooter","given":"I. M."},{"family":"Kukkonen","given":"J."},{"family":"Brunekreef","given":"B."},{"family":"Sokhi","given":"R. S."},{"family":"Katsouyanni","given":"K."},{"family":"Vineis","given":"P."}],"issued":{"date-parts":[["2016",2,1]]}}},{"id":1186,"uris":["http://zotero.org/users/2002443/items/28AUCDBT"],"uri":["http://zotero.org/users/2002443/items/28AUCDBT"],"itemData":{"id":1186,"type":"article-journal","title":"Attributing health effects to apportioned components and sources of particulate matter: An evaluation of collective results","container-title":"Atmospheric Environment","page":"5655-5663","volume":"45","issue":"32","source":"ScienceDirect","abstract":"It has been hypothesized that the composition of particulate matter (PM) may be a better predictor of health effects than PM mass alone. The regional differences in PM composition and the heterogeneity in PM risk estimates in large multi-city epidemiologic studies are consistent with this hypothesis. Since 2005, efforts have been made to relate apportioned components and sources of PM with human health outcomes in epidemiology, controlled human exposure and toxicology studies. We reviewed published studies that: 1) focused on short-term exposure to PM; 2) included at least five components of PM; 3) grouped them into factors or sources; and 4) used quantitative methods to examine the relationship between the factors or sources and health effects. We then examined whether specific groups of PM components or sources of PM are consistently linked to specific health effects across studies. Collectively, these studies suggest that cardiovascular effects may be associated with PM2.5 from crustal or combustion sources, including traffic, but at this time, no consistent relationships have emerged. Fewer studies evaluated respiratory health effects, and the evidence for associations was limited. Apportionment methods have linked a variety of health effects to multiple groups of PM components and sources of PM, but the collective evidence has not yet isolated factors or sources that would be closely and unequivocally related to specific health outcomes.","URL":"http://www.sciencedirect.com/science/article/pii/S1352231011007485","DOI":"10.1016/j.atmosenv.2011.07.023","ISSN":"1352-2310","title-short":"Attributing health effects to apportioned components and sources of particulate matter","journalAbbreviation":"Atmospheric Environment","author":[{"family":"Stanek","given":"Lindsay Wichers"},{"family":"Sacks","given":"Jason D."},{"family":"Dutton","given":"Steven J."},{"family":"Dubois","given":"Jean-Jacques B."}],"issued":{"date-parts":[["2011",10,1]]}}},{"id":1220,"uris":["http://zotero.org/users/2002443/items/A87WVU2F"],"uri":["http://zotero.org/users/2002443/items/A87WVU2F"],"itemData":{"id":1220,"type":"article-journal","title":"Ischemic Heart Disease Mortality and Long-Term Exposure to Source-Related Components of U.S. Fine Particle Air Pollution","container-title":"Environmental Health Perspectives","volume":"124","issue":"6","source":"CrossRef","URL":"http://ehp.niehs.nih.gov/15-09777","DOI":"10.1289/ehp.1509777","ISSN":"0091-6765","author":[{"family":"Thurston","given":"George D."},{"family":"Burnett","given":"Richard T."},{"family":"Turner","given":"Michelle C."},{"family":"Shi","given":"Yuanli"},{"family":"Krewski","given":"Daniel"},{"family":"Lall","given":"Ramona"},{"family":"Ito","given":"Kazuhiko"},{"family":"Jerrett","given":"Michael"},{"family":"Gapstur","given":"Susan M."},{"family":"Diver","given":"W. Ryan"},{"family":"Pope","given":"C. Arden"}],"issued":{"date-parts":[["2015",12,2]]}}},{"id":130,"uris":["http://zotero.org/users/2002443/items/ZW858N27"],"uri":["http://zotero.org/users/2002443/items/ZW858N27"],"itemData":{"id":130,"type":"book","title":"Integrated Science Assessment (ISA) for Particulate Matter (Final Report). EPA/600/R-08/139F.","collection-number":"EPA/600/R-08/139F","publisher":"U.S. EPA","publisher-place":"Washington, DC","event-place":"Washington, DC","abstract":"EPA has released the final Integrated Science Assessment (ISA) for Particulate Matter (PM). This is","URL":"https://cfpub.epa.gov/ncea/risk/recordisplay.cfm?deid=216546","title-short":"2009 Final Report","language":"en","author":[{"family":"U.S. EPA","given":""}],"issued":{"date-parts":[["2009",12]]},"accessed":{"date-parts":[["2016",3,15]]}}},{"id":1226,"uris":["http://zotero.org/users/2002443/items/VIUTTB86"],"uri":["http://zotero.org/users/2002443/items/VIUTTB86"],"itemData":{"id":1226,"type":"article-journal","title":"Long-term Exposure to PM2.5 and Mortality Among Older Adults in the Southeastern US:","container-title":"Epidemiology","page":"207-214","volume":"28","issue":"2","source":"CrossRef","URL":"http://Insights.ovid.com/crossref?an=00001648-201703000-00008","DOI":"10.1097/EDE.0000000000000614","ISSN":"1044-3983","title-short":"Long-term Exposure to PM2.5 and Mortality Among Older Adults in the Southeastern US","language":"en","author":[{"family":"Wang","given":"Yan"},{"family":"Shi","given":"Liuhua"},{"family":"Lee","given":"Mihye"},{"family":"Liu","given":"Pengfei"},{"family":"Di","given":"Qian"},{"family":"Zanobetti","given":"Antonella"},{"family":"Schwartz","given":"Joel D."}],"issued":{"date-parts":[["2017",3]]}}},{"id":1194,"uris":["http://zotero.org/users/2002443/items/6QU8UE5N"],"uri":["http://zotero.org/users/2002443/items/6QU8UE5N"],"itemData":{"id":1194,"type":"article-journal","title":"Long-term Exposure to Particulate Matter Constituents and the Incidence of Coronary Events in 11 European Cohorts","container-title":"Epidemiology","page":"565–574","volume":"26","issue":"4","source":"journals.lww.com","abstract":"Background: Long-term exposure to particulate matter (PM) has been associated with increased cardiovascular morbidity and mortality but little is known about the role of the chemical composition of PM. This study examined the association of residential long-term exposure to PM components with incident coronary events.\n        Methods: Eleven cohorts from Finland, Sweden, Denmark, Germany, and Italy participated in this analysis. 5,157 incident coronary events were identified within 100,166 persons followed on average for 11.5 years. Long-term residential concentrations of PM &lt; 10 μm (PM10), PM &lt; 2.5 μm (PM2.5), and a priori selected constituents (copper, iron, nickel, potassium, silicon, sulfur, vanadium, and zinc) were estimated with land-use regression models. We used Cox proportional hazard models adjusted for a common set of confounders to estimate cohort-specific component effects with and without including PM mass, and random effects meta-analyses to pool cohort-specific results.\n        Results: A 100 ng/m³ increase in PM10 K and a 50 ng/m³ increase in PM2.5 K were associated with a 6% (hazard ratio and 95% confidence interval: 1.06 [1.01, 1.12]) and 18% (1.18 [1.06, 1.32]) increase in coronary events. Estimates for PM10 Si and PM2.5 Fe were also elevated. All other PM constituents indicated a positive association with coronary events. When additionally adjusting for PM mass, the estimates decreased except for K.\n        Conclusions: This multicenter study of 11 European cohorts pointed to an association between long-term exposure to PM constituents and coronary events, especially for indicators of road dust.","URL":"http://journals.lww.com/epidem/pages/articleviewer.aspx?year=2015&amp;issue=07000&amp;article=00017&amp;type=abstract","DOI":"10.1097/EDE.0000000000000300","ISSN":"1044-3983","author":[{"family":"Wolf","given":"Kathrin"},{"family":"Stafoggia","given":"Massimo"},{"family":"Cesaroni","given":"Giulia"},{"family":"Andersen","given":"Zorana Jovanovic"},{"family":"Beelen","given":"Rob"},{"family":"Galassi","given":"Claudia"},{"family":"Hennig","given":"Frauke"},{"family":"Migliore","given":"Enrica"},{"family":"Penell","given":"Johanna"},{"family":"Ricceri","given":"Fulvio"},{"family":"Sørensen","given":"Mette"},{"family":"Turunen","given":"Anu W."},{"family":"Hampel","given":"Regina"},{"family":"Hoffmann","given":"Barbara"},{"family":"Kälsch","given":"Hagen"},{"family":"Laatikainen","given":"Tiina"},{"family":"Pershagen","given":"Göran"},{"family":"Raaschou-Nielsen","given":"Ole"},{"family":"Sacerdote","given":"Carlotta"},{"family":"Vineis","given":"Paolo"},{"family":"Badaloni","given":"Chiara"},{"family":"Cyrys","given":"Josef"},{"family":"Hoogh","given":"Kees","non-dropping-particle":"de"},{"family":"Eriksen","given":"Kirsten T."},{"family":"Jedynska","given":"Aleksandra"},{"family":"Keuken","given":"Menno"},{"family":"Kooter","given":"Ingeborg"},{"family":"Lanki","given":"Timo"},{"family":"Ranzi","given":"Andrea"},{"family":"Sugiri","given":"Dorothea"},{"family":"Tsai","given":"Ming-Yi"},{"family":"Wang","given":"Meng"},{"family":"Hoek","given":"Gerard"},{"family":"Brunekreef","given":"Bert"},{"family":"Peters","given":"Annette"},{"family":"Forastiere","given":"Francesco"}],"issued":{"date-parts":[["2015",7]]},"accessed":{"date-parts":[["2017",10,31]]}}}],"schema":"https://github.com/citation-style-language/schema/raw/master/csl-citation.json"} </w:instrText>
      </w:r>
      <w:r w:rsidRPr="004549A1">
        <w:rPr>
          <w:rFonts w:ascii="Times New Roman" w:hAnsi="Times New Roman" w:cs="Times New Roman"/>
          <w:sz w:val="24"/>
          <w:szCs w:val="24"/>
        </w:rPr>
        <w:fldChar w:fldCharType="separate"/>
      </w:r>
      <w:r w:rsidR="00BB641E" w:rsidRPr="00BB641E">
        <w:rPr>
          <w:rFonts w:ascii="Times New Roman" w:hAnsi="Times New Roman" w:cs="Times New Roman"/>
          <w:sz w:val="24"/>
          <w:lang w:val="en-US"/>
        </w:rPr>
        <w:t xml:space="preserve">(Atkinson et al. 2015; Beelen et al. 2015; Bell et al. 2007a; Chung et al. 2015; Eeftens et al. 2014; Franklin et al. 2008; Hampel et al. 2015; Kelly and Fussell 2012; Lelieveld et al. 2015; Ostro et al. 2015; Peng et al. 2009; Raaschou-Nielsen et al. 2016; Stanek et al. 2011; Thurston et al. 2015; </w:t>
      </w:r>
      <w:r w:rsidR="006D0FD5">
        <w:rPr>
          <w:rFonts w:ascii="Times New Roman" w:hAnsi="Times New Roman" w:cs="Times New Roman"/>
          <w:sz w:val="24"/>
          <w:lang w:val="en-US"/>
        </w:rPr>
        <w:t>US</w:t>
      </w:r>
      <w:r w:rsidR="00BB641E" w:rsidRPr="00BB641E">
        <w:rPr>
          <w:rFonts w:ascii="Times New Roman" w:hAnsi="Times New Roman" w:cs="Times New Roman"/>
          <w:sz w:val="24"/>
          <w:lang w:val="en-US"/>
        </w:rPr>
        <w:t xml:space="preserve"> EPA 2009; Wang et al. 2017; Wolf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w:t>
      </w:r>
      <w:commentRangeEnd w:id="7"/>
      <w:r w:rsidR="008453AF">
        <w:rPr>
          <w:rStyle w:val="CommentReference"/>
        </w:rPr>
        <w:commentReference w:id="7"/>
      </w:r>
    </w:p>
    <w:p w14:paraId="28265905" w14:textId="1028C641" w:rsidR="00A56AF0" w:rsidRPr="004549A1" w:rsidRDefault="00A56AF0" w:rsidP="00A56AF0">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Disparities in environmental exposures, including to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have been suggested as one factor influencing racial/ethnic disparities in health outcomes in the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For example, compared to non-Hispanic </w:t>
      </w:r>
      <w:r w:rsidR="00612A77">
        <w:rPr>
          <w:rFonts w:ascii="Times New Roman" w:hAnsi="Times New Roman" w:cs="Times New Roman"/>
          <w:sz w:val="24"/>
          <w:szCs w:val="24"/>
          <w:lang w:val="en-US"/>
        </w:rPr>
        <w:t>whites</w:t>
      </w:r>
      <w:r w:rsidR="00A026E8" w:rsidRPr="004549A1">
        <w:rPr>
          <w:rFonts w:ascii="Times New Roman" w:hAnsi="Times New Roman" w:cs="Times New Roman"/>
          <w:sz w:val="24"/>
          <w:szCs w:val="24"/>
          <w:lang w:val="en-US"/>
        </w:rPr>
        <w:t xml:space="preserve">, African Americans </w:t>
      </w:r>
      <w:r w:rsidRPr="004549A1">
        <w:rPr>
          <w:rFonts w:ascii="Times New Roman" w:hAnsi="Times New Roman" w:cs="Times New Roman"/>
          <w:sz w:val="24"/>
          <w:szCs w:val="24"/>
          <w:lang w:val="en-US"/>
        </w:rPr>
        <w:t xml:space="preserve">had higher age-adjusted adult mortality rates </w:t>
      </w:r>
      <w:r w:rsidR="00A026E8" w:rsidRPr="004549A1">
        <w:rPr>
          <w:rFonts w:ascii="Times New Roman" w:hAnsi="Times New Roman" w:cs="Times New Roman"/>
          <w:sz w:val="24"/>
          <w:szCs w:val="24"/>
          <w:lang w:val="en-US"/>
        </w:rPr>
        <w:t>for total (all-cause) mortality</w:t>
      </w:r>
      <w:r w:rsidRPr="004549A1">
        <w:rPr>
          <w:rFonts w:ascii="Times New Roman" w:hAnsi="Times New Roman" w:cs="Times New Roman"/>
          <w:sz w:val="24"/>
          <w:szCs w:val="24"/>
          <w:lang w:val="en-US"/>
        </w:rPr>
        <w:t xml:space="preserve"> </w:t>
      </w:r>
      <w:r w:rsidR="00243012" w:rsidRPr="004549A1">
        <w:rPr>
          <w:rFonts w:ascii="Times New Roman" w:hAnsi="Times New Roman" w:cs="Times New Roman"/>
          <w:sz w:val="24"/>
          <w:szCs w:val="24"/>
          <w:lang w:val="en-US"/>
        </w:rPr>
        <w:t xml:space="preserve">in 2015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{"citationID":"aeh3svrdsd","properties":{"formattedCitation":"(Xu et al. 2016)","plainCitation":"(Xu et al. 2016)","noteIndex":0},"citationItems":[{"id":1169,"uris":["http://zotero.org/users/2002443/items/DMZJUS2Z"],"uri":["http://zotero.org/users/2002443/items/DMZJUS2Z"],"itemData":{"id":1169,"type":"article-journal","title":"Mortality in the United States, 2015","container-title":"National Center for Health Statistics Data Brief","page":"1-8","issue":"267","source":"PubMed","abstract":"KEY FINDINGS: Data from the National Vital Statistics System, Mortality •Life expectancy for the U.S. population in 2015 was 78.8 years, a decrease of 0.1 year from 2014. •The age-adjusted death rate increased 1.2% from 724.6 deaths per 100,000 standard population in 2014 to 733.1 in 2015. •The 10 leading causes of death in 2015 remained the same as in 2014. Age-adjusted death rates increased for eight leading causes and decreased for one. •The infant mortality rate of 589.5 infant deaths per 100,000 live births in 2015 was not significantly different from the 2014 rate. •The 10 leading causes of infant death in 2015 remained the same as in 2014, although two causes exchanged ranks. This report presents 2015 U.S. final mortality data on deaths and death rates by demographic and medical characteristics. These data provide information on mortality patterns among U.S. residents by variables such as sex, race and ethnicity, and cause of death. Life expectancy estimates, age-adjusted death rates by race and ethnicity and sex, 10 leading causes of death, and 10 leading causes of infant death were analyzed by comparing 2015 and 2014 final data (1).","URL":"https://www.cdc.gov/nchs/products/databriefs/db267.htm","ISSN":"1941-4927","note":"PMID: 27930283","journalAbbreviation":"NCHS Data Brief","language":"eng","author":[{"family":"Xu","given":"Jiaquan"},{"family":"Murphy","given":"Sherry L."},{"family":"Kochanek","given":"Kenneth D."},{"family":"Arias","given":"Elizabeth"}],"issued":{"date-parts":[["2016",12]]},"accessed":{"date-parts":[["2017",10,18]]}}}],"schema":"https://github.com/citation-style-language/schema/raw/master/csl-citation.json"}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(Xu et al. 2016)</w:t>
      </w:r>
      <w:r w:rsidR="00243012" w:rsidRPr="004549A1">
        <w:rPr>
          <w:rFonts w:ascii="Times New Roman" w:hAnsi="Times New Roman" w:cs="Times New Roman"/>
          <w:sz w:val="24"/>
          <w:szCs w:val="24"/>
          <w:lang w:val="en-US"/>
        </w:rPr>
        <w:fldChar w:fldCharType="end"/>
      </w:r>
      <w:r w:rsidR="00243012" w:rsidRPr="004549A1">
        <w:rPr>
          <w:rFonts w:ascii="Times New Roman" w:hAnsi="Times New Roman" w:cs="Times New Roman"/>
          <w:sz w:val="24"/>
          <w:szCs w:val="24"/>
          <w:lang w:val="en-US"/>
        </w:rPr>
        <w:t xml:space="preserve"> as well as for </w:t>
      </w:r>
      <w:r w:rsidR="00A026E8" w:rsidRPr="004549A1">
        <w:rPr>
          <w:rFonts w:ascii="Times New Roman" w:hAnsi="Times New Roman" w:cs="Times New Roman"/>
          <w:sz w:val="24"/>
          <w:szCs w:val="24"/>
          <w:lang w:val="en-US"/>
        </w:rPr>
        <w:t>CVD</w:t>
      </w:r>
      <w:r w:rsidR="00243012" w:rsidRPr="004549A1">
        <w:rPr>
          <w:rFonts w:ascii="Times New Roman" w:hAnsi="Times New Roman" w:cs="Times New Roman"/>
          <w:sz w:val="24"/>
          <w:szCs w:val="24"/>
          <w:lang w:val="en-US"/>
        </w:rPr>
        <w:t xml:space="preserve"> </w:t>
      </w:r>
      <w:r w:rsidR="00A026E8" w:rsidRPr="004549A1">
        <w:rPr>
          <w:rFonts w:ascii="Times New Roman" w:hAnsi="Times New Roman" w:cs="Times New Roman"/>
          <w:sz w:val="24"/>
          <w:szCs w:val="24"/>
          <w:lang w:val="en-US"/>
        </w:rPr>
        <w:t xml:space="preserve">and lung cancer mortality </w:t>
      </w:r>
      <w:r w:rsidR="00243012" w:rsidRPr="004549A1">
        <w:rPr>
          <w:rFonts w:ascii="Times New Roman" w:hAnsi="Times New Roman" w:cs="Times New Roman"/>
          <w:sz w:val="24"/>
          <w:szCs w:val="24"/>
          <w:lang w:val="en-US"/>
        </w:rPr>
        <w:t xml:space="preserve">in 2014 (the year of the latest data available)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{"citationID":"a2p85035flj","properties":{"formattedCitation":"(Heron 2016)","plainCitation":"(Heron 2016)","noteIndex":0},"citationItems":[{"id":1165,"uris":["http://zotero.org/users/2002443/items/8N7T5SEK"],"uri":["http://zotero.org/users/2002443/items/8N7T5SEK"],"itemData":{"id":1165,"type":"article-journal","title":"Deaths: Leading Causes for 2014","container-title":"National Vital Statistics Reports: From the Centers for Disease Control and Prevention, National Center for Health Statistics, National Vital Statistics System","page":"1-96","volume":"65","issue":"5","source":"PubMed","abstract":"Objectives-This report presents final 2014 data on the 10 leading causes of death in the United States by age, sex, race, and Hispanic origin. Leading causes of infant, neonatal, and postneonatal death are also presented. This report supplements \"Deaths: Final Data for 2014,\" the National Center for Health Statistics' annual report of final mortality statistics.","ISSN":"1551-8922","note":"PMID: 27376998","title-short":"Deaths","journalAbbreviation":"Natl Vital Stat Rep","language":"eng","author":[{"family":"Heron","given":"Melonie"}],"issued":{"date-parts":[["2016",6]]}}}],"schema":"https://github.com/citation-style-language/schema/raw/master/csl-citation.json"}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(Heron 2016)</w:t>
      </w:r>
      <w:r w:rsidR="00243012" w:rsidRPr="004549A1">
        <w:rPr>
          <w:rFonts w:ascii="Times New Roman" w:hAnsi="Times New Roman" w:cs="Times New Roman"/>
          <w:sz w:val="24"/>
          <w:szCs w:val="24"/>
          <w:lang w:val="en-US"/>
        </w:rPr>
        <w:fldChar w:fldCharType="end"/>
      </w:r>
      <w:r w:rsidR="00243012"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t xml:space="preserve">and higher incidences of low birth weight and preterm birth </w:t>
      </w:r>
      <w:r w:rsidR="00243012" w:rsidRPr="004549A1">
        <w:rPr>
          <w:rFonts w:ascii="Times New Roman" w:hAnsi="Times New Roman" w:cs="Times New Roman"/>
          <w:sz w:val="24"/>
          <w:szCs w:val="24"/>
          <w:lang w:val="en-US"/>
        </w:rPr>
        <w:t xml:space="preserve">in 2015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{"citationID":"a25gnmijhff","properties":{"formattedCitation":"(Martin et al. 2017)","plainCitation":"(Martin et al. 2017)","noteIndex":0},"citationItems":[{"id":1167,"uris":["http://zotero.org/users/2002443/items/HSENTH7J"],"uri":["http://zotero.org/users/2002443/items/HSENTH7J"],"itemData":{"id":1167,"type":"article-journal","title":"Births: Final Data for 2015","container-title":"National Vital Statistics Reports: From the Centers for Disease Control and Prevention, National Center for Health Statistics, National Vital Statistics System","volume":"66","issue":"1","source":"PubMed","abstract":"Objectives-This report presents 2015 data on U.S. births according to a wide variety of characteristics. Data are presented for maternal age, live-birth order, race and Hispanic origin, marital status, attendant at birth, method of delivery, period of gestation, birthweight, and plurality. Selected data by mother's state of residence and birth rates by age and race of father also are shown. Trends in fertility patterns and maternal and infant characteristics are described and interpreted. Methods-Descriptive tabulations of data reported on the birth certificates of the 3.98 million births that occurred in 2015 are presented. Results-In 2015, 3,978,497 births were registered in the United States, down less than 1% from 2014. The general fertility rate was 62.5 per 1,000 women aged 15-44, a decline of 1% from 2014. The birth rate for teenagers aged 15-19 fell 8% in 2015, to 22.3 per 1,000 females. Birth rates declined for women in their 20s but increased for women in their 30s and early 40s. The total fertility rate (estimated number of births over a woman's lifetime) declined to 1,843.5 births per 1,000 women in 2015. The birth rate for unmarried women declined for the seventh straight year to 43.5 per 1,000. The cesarean delivery rate declined for the third year in a row to 32.0%. The preterm birth rate increased slightly from 2014, to 9.63% in 2015, as did the rate of low birthweight (8.07% in 2015). The twin birth rate declined to 33.5 per 1,000; the triplet and higher-order multiple birth rate was down 9% to 103.6 per 100,000.","ISSN":"1551-8922","note":"PMID: 28135188","title-short":"Births","journalAbbreviation":"Natl Vital Stat Rep","language":"eng","author":[{"family":"Martin","given":"Joyce A."},{"family":"Hamilton","given":"Brady E."},{"family":"Osterman","given":"Michelle J. K."},{"family":"Driscoll","given":"Anne K."},{"family":"Mathews","given":"T. J."}],"issued":{"date-parts":[["2017",1,5]]}}}],"schema":"https://github.com/citation-style-language/schema/raw/master/csl-citation.json"}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(Martin et al. 2017)</w:t>
      </w:r>
      <w:r w:rsidR="00243012" w:rsidRPr="004549A1">
        <w:rPr>
          <w:rFonts w:ascii="Times New Roman" w:hAnsi="Times New Roman" w:cs="Times New Roman"/>
          <w:sz w:val="24"/>
          <w:szCs w:val="24"/>
          <w:lang w:val="en-US"/>
        </w:rPr>
        <w:fldChar w:fldCharType="end"/>
      </w:r>
      <w:r w:rsidRPr="004549A1">
        <w:rPr>
          <w:rFonts w:ascii="Times New Roman" w:hAnsi="Times New Roman" w:cs="Times New Roman"/>
          <w:sz w:val="24"/>
          <w:szCs w:val="24"/>
          <w:lang w:val="en-US"/>
        </w:rPr>
        <w:t>, all of which also have been linked to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Various national studies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{"citationID":"0VOy2qW7","properties":{"formattedCitation":"(Bell and Ebisu 2012; Miranda et al. 2011; Sexton et al. 1993)","plainCitation":"(Bell and Ebisu 2012; Miranda et al. 2011; Sexton et al. 1993)","noteIndex":0},"citationItems":[{"id":72,"uris":["http://zotero.org/users/2002443/items/DTHTNHMB"],"uri":["http://zotero.org/users/2002443/items/DTHTNHMB"],"itemData":{"id":72,"type":"article-journal","title":"Environmental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id":105,"uris":["http://zotero.org/users/2002443/items/F7XK5BKR"],"uri":["http://zotero.org/users/2002443/items/F7XK5BKR"],"itemData":{"id":105,"type":"article-journal","title":"Making the Environmental Justice Grade: The Relative Burden of Air Pollution Exposure in the United States","container-title":"International Journal of Environmental Research and Public Health","page":"1755-1771","volume":"8","issue":"6","source":"PubMed Central","abstract":"This paper assesses whether the Clean Air Act and its Amendments have been equally successful in ensuring the right to healthful air quality in both advantaged and disadvantaged communities in the United States. Using a method to rank air quality established by the American Lung Association in its 2009 State of the Air report along with EPA air quality data, we assess the environmental justice dimensions of air pollution exposure and access to air quality information in the United States. We focus on the race, age, and poverty demographics of communities with differing levels of ozone and particulate matter exposure, as well as communities with and without air quality information. Focusing on PM2.5 and ozone, we find that within areas covered by the monitoring networks, non-Hispanic blacks are consistently overrepresented in communities with the poorest air quality. The results for older and younger age as well as poverty vary by the pollution metric under consideration. Rural areas are typically outside the bounds of air quality monitoring networks leaving large segments of the population without information about their ambient air quality. These results suggest that substantial areas of the United States lack monitoring data, and among areas where monitoring data are available, low income and minority communities tend to experience higher ambient pollution levels.","URL":"http://www.ncbi.nlm.nih.gov/pmc/articles/PMC3137995/","DOI":"10.3390/ijerph8061755","ISSN":"1661-7827","note":"PMID: 21776200\nPMCID: PMC3137995","title-short":"Making the Environmental Justice Grade","journalAbbreviation":"Int J Environ Res Public Health","author":[{"family":"Miranda","given":"Marie Lynn"},{"family":"Edwards","given":"Sharon E."},{"family":"Keating","given":"Martha H."},{"family":"Paul","given":"Christopher J."}],"issued":{"date-parts":[["2011",6]]},"accessed":{"date-parts":[["2016",3,13]]}}},{"id":119,"uris":["http://zotero.org/users/2002443/items/SBGPBIUT"],"uri":["http://zotero.org/users/2002443/items/SBGPBIUT"],"itemData":{"id":119,"type":"article-journal","title":"Air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and Ebisu 2012; Miranda et al. 2011; Sexton 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at least one statewide study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{"citationID":"zKZCVawY","properties":{"formattedCitation":"(Gray et al. 2013)","plainCitation":"(Gray et al. 2013)","noteIndex":0},"citationItems":[{"id":93,"uris":["http://zotero.org/users/2002443/items/UURHAWJ9"],"uri":["http://zotero.org/users/2002443/items/UURHAWJ9"],"itemData":{"id":93,"type":"article-journal","title":"Race, socioeconomic status, and air pollution exposure in North Carolina","container-title":"Environmental Research","page":"152-158","volume":"126","source":"ScienceDirect","abstract":"Background\nAlthough studies suggest that exposure to pollutants is associated with race/ethnicity and socio-economic status (SES), many studies are limited to the geographic regions where monitoring stations are located.\nObjectives\nThis study uses modeled predictive surfaces to examine the relationship between air pollution exposure, race/ethnicity, and measures of SES across the entire State of North Carolina.\nMethods\nThe daily predictions of particulate matter &amp;lt;2.5 µm in aerodynamic diameter (PM2.5) and ozone (O3) were determined using a spatial model that fused data from two sources: point air monitoring data and gridded numerical output. These daily predicted pollution levels for 2002 were linked with Census data. We examine the relationship between the census-tract level predicted concentration measures, SES, and racial composition.\nResults\nSES and race/ethnicity were related to predicted concentrations of both PM2.5 and O3 for census tracts in North Carolina. Lower SES and higher proportion minority population were associated with higher levels of PM2.5. An interquartile range (IQR) increase of median household income reduced the predicted average PM2.5 level by 0.10 µg/m3. The opposite relationship was true for O3. An IQR increase of median household income increased the predicted average O3 measure by 0.11 ppb.\nConclusions\nThe analyses demonstrate that SES and race/ethnicity are related to predicted estimates of PM2.5 and O3 for census tracts in North Carolina. These findings offer a baseline for future exposure modeling work involving SES and air pollution for the entire state and not just among the populations residing near monitoring networks.","URL":"http://www.sciencedirect.com/science/article/pii/S0013935113001138","DOI":"10.1016/j.envres.2013.06.005","ISSN":"0013-9351","journalAbbreviation":"Environmental Research","author":[{"family":"Gray","given":"Simone C."},{"family":"Edwards","given":"Sharon E."},{"family":"Miranda","given":"Marie Lynn"}],"issued":{"date-parts":[["2013",10]]},"accessed":{"date-parts":[["2016",3,13]]}}}],"schema":"https://github.com/citation-style-language/schema/raw/master/csl-citation.json"}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(Gray et al. 2013)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found higher levels of total ambient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{"citationID":"51ILnjxr","properties":{"formattedCitation":"(Bell and Ebisu 2012; Miranda et al. 2011; Sexton et al. 1993)","plainCitation":"(Bell and Ebisu 2012; Miranda et al. 2011; Sexton et al. 1993)","noteIndex":0},"citationItems":[{"id":72,"uris":["http://zotero.org/users/2002443/items/DTHTNHMB"],"uri":["http://zotero.org/users/2002443/items/DTHTNHMB"],"itemData":{"id":72,"type":"article-journal","title":"Environmental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id":105,"uris":["http://zotero.org/users/2002443/items/F7XK5BKR"],"uri":["http://zotero.org/users/2002443/items/F7XK5BKR"],"itemData":{"id":105,"type":"article-journal","title":"Making the Environmental Justice Grade: The Relative Burden of Air Pollution Exposure in the United States","container-title":"International Journal of Environmental Research and Public Health","page":"1755-1771","volume":"8","issue":"6","source":"PubMed Central","abstract":"This paper assesses whether the Clean Air Act and its Amendments have been equally successful in ensuring the right to healthful air quality in both advantaged and disadvantaged communities in the United States. Using a method to rank air quality established by the American Lung Association in its 2009 State of the Air report along with EPA air quality data, we assess the environmental justice dimensions of air pollution exposure and access to air quality information in the United States. We focus on the race, age, and poverty demographics of communities with differing levels of ozone and particulate matter exposure, as well as communities with and without air quality information. Focusing on PM2.5 and ozone, we find that within areas covered by the monitoring networks, non-Hispanic blacks are consistently overrepresented in communities with the poorest air quality. The results for older and younger age as well as poverty vary by the pollution metric under consideration. Rural areas are typically outside the bounds of air quality monitoring networks leaving large segments of the population without information about their ambient air quality. These results suggest that substantial areas of the United States lack monitoring data, and among areas where monitoring data are available, low income and minority communities tend to experience higher ambient pollution levels.","URL":"http://www.ncbi.nlm.nih.gov/pmc/articles/PMC3137995/","DOI":"10.3390/ijerph8061755","ISSN":"1661-7827","note":"PMID: 21776200\nPMCID: PMC3137995","title-short":"Making the Environmental Justice Grade","journalAbbreviation":"Int J Environ Res Public Health","author":[{"family":"Miranda","given":"Marie Lynn"},{"family":"Edwards","given":"Sharon E."},{"family":"Keating","given":"Martha H."},{"family":"Paul","given":"Christopher J."}],"issued":{"date-parts":[["2011",6]]},"accessed":{"date-parts":[["2016",3,13]]}}},{"id":119,"uris":["http://zotero.org/users/2002443/items/SBGPBIUT"],"uri":["http://zotero.org/users/2002443/items/SBGPBIUT"],"itemData":{"id":119,"type":"article-journal","title":"Air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 xml:space="preserve">(Bell and Ebisu 2012; Miranda et al. 2011; Sexton </w:t>
      </w:r>
      <w:r w:rsidR="00E92160" w:rsidRPr="00E92160">
        <w:rPr>
          <w:rFonts w:ascii="Times New Roman" w:hAnsi="Times New Roman" w:cs="Times New Roman"/>
          <w:sz w:val="24"/>
          <w:lang w:val="en-US"/>
        </w:rPr>
        <w:lastRenderedPageBreak/>
        <w:t>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several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components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{"citationID":"2f0li40gg0","properties":{"formattedCitation":"(Bell and Ebisu 2012)","plainCitation":"(Bell and Ebisu 2012)","noteIndex":0},"citationItems":[{"id":72,"uris":["http://zotero.org/users/2002443/items/DTHTNHMB"],"uri":["http://zotero.org/users/2002443/items/DTHTNHMB"],"itemData":{"id":72,"type":"article-journal","title":"Environmental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and Ebisu 2012)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in African American residential areas co</w:t>
      </w:r>
      <w:r w:rsidR="00612A77">
        <w:rPr>
          <w:rFonts w:ascii="Times New Roman" w:hAnsi="Times New Roman" w:cs="Times New Roman"/>
          <w:sz w:val="24"/>
          <w:szCs w:val="24"/>
          <w:lang w:val="en-US"/>
        </w:rPr>
        <w:t>mpared to non-Hispanic white</w:t>
      </w:r>
      <w:r w:rsidRPr="004549A1">
        <w:rPr>
          <w:rFonts w:ascii="Times New Roman" w:hAnsi="Times New Roman" w:cs="Times New Roman"/>
          <w:sz w:val="24"/>
          <w:szCs w:val="24"/>
          <w:lang w:val="en-US"/>
        </w:rPr>
        <w:t xml:space="preserve"> residential areas.</w:t>
      </w:r>
      <w:r w:rsidR="00C26DC1"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t xml:space="preserve"> Those studies are corroborated by the environmental justice literature, in which the disproportionate siting of some air pollution sources in communities of color, particularly African American communities, is well documented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{"citationID":"rxTu2ac5","properties":{"formattedCitation":"(Chavis and Lee 1987; Hipp and Lakon 2010; Hunter et al. 2003; Mohai et al. 2009b, 2009a; Mohai and Saha 2015; Perlin et al. 2001; Sexton et al. 1993)","plainCitation":"(Chavis and Lee 1987; Hipp and Lakon 2010; Hunter et al. 2003; Mohai et al. 2009b, 2009a; Mohai and Saha 2015; Perlin et al. 2001; Sexton et al. 1993)","noteIndex":0},"citationItems":[{"id":223,"uris":["http://zotero.org/users/2002443/items/ICFGBUAM"],"uri":["http://zotero.org/users/2002443/items/ICFGBUAM"],"itemData":{"id":223,"type":"article-journal","title":"Which came first, people or pollution? A review of theory and evidence from longitudinal environmental justice studies","container-title":"Environmental Research Letters","page":"125011","volume":"10","issue":"12","source":"Institute of Physics","abstract":"A considerable number of quantitative analyses have been conducted in the past several decades that demonstrate the existence of racial and socioeconomic disparities in the distribution of a wide variety of environmental hazards. The vast majority of these have been cross-sectional, snapshot studies employing data on hazardous facilities and population characteristics at only one point in time. Although some limited hypotheses can be tested with cross-sectional data, fully understanding how present-day disparities come about requires longitudinal analyses that examine the demographic characteristics of sites at the time of facility siting and track demographic changes after siting. Relatively few such studies exist and those that do exist have often led to confusing and contradictory findings. In this paper we review the theoretical arguments, methods, findings, and conclusions drawn from existing longitudinal environmental justice studies. Our goal is to make sense of this literature and to identify the direction future research should take in order to resolve confusion and arrive at a clearer understanding of the processes and contributory factors by which present-day racial and socioeconomic disparities in the distribution of environmental hazards have come about. Such understandings also serve as an important step in identifying appropriate and effective societal responses to ameliorate environmental disparities.","URL":"http://stacks.iop.org/1748-9326/10/i=12/a=125011","DOI":"10.1088/1748-9326/10/12/125011","ISSN":"1748-9326","title-short":"Which came first, people or pollution?","journalAbbreviation":"Environ. Res. Lett.","language":"en","author":[{"family":"Mohai","given":"Paul"},{"family":"Saha","given":"Robin"}],"issued":{"date-parts":[["2015"]]},"accessed":{"date-parts":[["2016",3,19]]}}},{"id":232,"uris":["http://zotero.org/users/2002443/items/8D8R7PZB"],"uri":["http://zotero.org/users/2002443/items/8D8R7PZB"],"itemData":{"id":232,"type":"article-journal","title":"Social disparities in health: disproportionate toxicity proximity in minority communities over a decade","container-title":"Health &amp; Place","page":"674-683","volume":"16","issue":"4","source":"PubMed","abstract":"This study employs latent trajectory models measuring the level of toxic waste over a decade in the cities of six highly populated, ethnically diverse, counties in southern California from 1990 to 2000 in 3001 tracts. We find that tracts with 15% more Latinos are exposed to 84.3% more toxic waste than an average tract over this time period and tracts with 15% more Asians are exposed to 33.7% more toxic waste. Conversely, tracts with one standard deviation more residents with at least a bachelor's degree (15.5%) are exposed to 88.8% less toxic waste than an average tract. We also found that these effects were considerably weaker when using the raw pounds of toxic waste rather than the toxicity-weighted measure, suggesting that future research will want to account for the toxicity of the waste.","DOI":"10.1016/j.healthplace.2010.02.005","ISSN":"1873-2054","note":"PMID: 20227324","title-short":"Social disparities in health","journalAbbreviation":"Health Place","language":"eng","author":[{"family":"Hipp","given":"John R."},{"family":"Lakon","given":"Cynthia M."}],"issued":{"date-parts":[["2010",7]]}}},{"id":234,"uris":["http://zotero.org/users/2002443/items/GBFDA5ZB"],"uri":["http://zotero.org/users/2002443/items/GBFDA5ZB"],"itemData":{"id":234,"type":"article-journal","title":"Environmental Justice","container-title":"Annual Review of Environment and Resources","page":"405-430","volume":"34","issue":"1","source":"Annual Reviews","abstract":"The article reviews two decades of scholars' claims that exposures to pollution and other environmental risks are unequally distributed by race and class, examines case studies of environmental justice social movements and the history and politics of environmental justice policy making in the United States, and describes the emerging issue of global climate justice. The authors engage the contentious literature on how to quantitatively measure and document environmental injustice, especially the complex problems of having data of very different types and areas (such as zip codes, census tracts, or concentric circles) around polluting facilities or exposed populations. Also considered is the value of perspectives from critical race theory and ethnic studies for making sense of these social phenomena. The article concludes with a discussion of the globalization of the environmental justice movement, discourse, and issues, as well as with some policy implications of finding and understanding environmental justice. One unique feature of this review is its breadth and diversity, given the different approaches taken by the three coauthors.","URL":"http://dx.doi.org/10.1146/annurev-environ-082508-094348","DOI":"10.1146/annurev-environ-082508-094348","author":[{"family":"Mohai","given":"Paul"},{"family":"Pellow","given":"David"},{"family":"Roberts","given":"J. Timmons"}],"issued":{"date-parts":[["2009"]]},"accessed":{"date-parts":[["2016",3,21]]}}},{"id":108,"uris":["http://zotero.org/users/2002443/items/UMQ8ZS7X"],"uri":["http://zotero.org/users/2002443/items/UMQ8ZS7X"],"itemData":{"id":108,"type":"article-journal","title":"Racial and Socioeconomic Disparities in Residential Proximity to Polluting Industrial Facilities: Evidence From the Americans' Changing Lives Study","container-title":"American Journal of Public Health","page":"S649-S656","volume":"99","issue":"S3","source":"ajph.aphapublications.org (Atypon)","abstract":"Objectives. We sought to demonstrate the advantages of using individual-level survey data in quantitative environmental justice analyses and to provide new evidence regarding racial and socioeconomic disparities in the distribution of polluting industrial facilities.Methods. Addresses of respondents in the baseline sample of the Americans' Changing Lives Study and polluting industrial facilities in the Environmental Protection Agency's Toxic Release Inventory were geocoded, allowing assessments of distances between respondents' homes and polluting facilities. The associations between race and other sociodemographic characteristics and living within 1 mile (1.6 km) of a polluting facility were estimated via logistic regression.Results. Blacks and respondents at lower educational levels and, to a lesser degree, lower income levels were significantly more likely to live within a mile of a polluting facility. Racial disparities were especially pronounced in metropolitan areas of the Midwest and West and in suburban areas of the South.Conclusions. Our results add to the historical record demonstrating significant disparities in exposures to environmental hazards in the US population and provide a paradigm for studying changes over time in links to health.","URL":"http://ajph.aphapublications.org/doi/abs/10.2105/AJPH.2007.131383","DOI":"10.2105/AJPH.2007.131383","ISSN":"0090-0036","title-short":"Racial and Socioeconomic Disparities in Residential Proximity to Polluting Industrial Facilities","journalAbbreviation":"Am J Public Health","author":[{"family":"Mohai","given":"Paul"},{"family":"Lantz","given":"Paula M."},{"family":"Morenoff","given":"Jeffrey"},{"family":"House","given":"James S."},{"family":"Mero","given":"Richard P."}],"issued":{"date-parts":[["2009",11,1]]},"accessed":{"date-parts":[["2016",3,13]]}}},{"id":175,"uris":["http://zotero.org/users/2002443/items/A2GEMADS"],"uri":["http://zotero.org/users/2002443/items/A2GEMADS"],"itemData":{"id":175,"type":"article-journal","title":"Environmental Hazards, Migration, and Race","container-title":"Population and Environment","page":"23-39","volume":"25","issue":"1","source":"link.springer.com","abstract":"This study contributes to our understanding of the association between internal migration patterns and environmentally hazardous facilities, with a focus upon race-specific outmigration at the county-level, nationwide. Among research suggesting inequalities with regard to the social distribution of environmental risk, selective migration is often implied to be a key dynamic leading to differential exposure to proximate environmental hazards. Nonetheless, the models presented here provide no evidence of differential migratory response by race to environmentally hazardous facilities, net of a wide array of socioeconomic controls for labor force opportunity, climate, and demographic structure. Future research should consider these associations at more precise geographies and/or at the individual level.","URL":"http://link.springer.com/article/10.1023/A%3A1025595505532","DOI":"10.1023/A:1025595505532","ISSN":"0199-0039, 1573-7810","journalAbbreviation":"Population and Environment","language":"en","author":[{"family":"Hunter","given":"Lori M."},{"family":"White","given":"Michael J."},{"family":"Little","given":"Jani S."},{"family":"Sutton","given":"Jeannette"}],"issued":{"date-parts":[["2003",9]]},"accessed":{"date-parts":[["2016",3,21]]}}},{"id":111,"uris":["http://zotero.org/users/2002443/items/JNFX8MSJ"],"uri":["http://zotero.org/users/2002443/items/JNFX8MSJ"],"itemData":{"id":111,"type":"article-journal","title":"Residential proximity to industrial sources of air pollution: interrelationships among race, poverty, and age","container-title":"Journal of the Air &amp; Waste Management Association (1995)","page":"406-421","volume":"51","issue":"3","source":"PubMed","abstract":"This study builds on earlier work investigating statistical relationships between sociodemographic characteristics of populations and their residential proximity to industrial sources of air pollution. The analysis uses demographic data from the 1990 U.S. Census and industrial site data from the U.S. Environmental Protection Agency (EPA)'s 1990 Toxics Release Inventory (TRI). The focus is on examining interactions among race (African Americans and Whites), poverty (above and below household poverty threshold), and age (children from birth to 5 years of age and elderly people 65 years old or older). Results from three different study areas (Kanawha Valley in West Virginia, the Baton Rouge-New Orleans Corridor in Louisiana, and the greater Baltimore metropolitan area in Maryland) suggest there are important interactions among race, poverty, and age that are likely to have consequential ramifications for efforts aimed at investigating issues related to environmental justice. Our results indicate that a substantial proportion of all demographic groups studied live within a mile of the nearest facility, with values ranging from 22% of Whites above poverty in the Baton Rouge-New Orleans Corridor to 60% of African Americans below poverty in Baltimore. Likewise, a substantial proportion of all demographic groups also live within 2 miles of four or more industrial facilities, with values ranging from 16% for Whites above poverty in the Corridor to 70% for African Americans below poverty in Baltimore. In all three study areas, African Americans were more likely than Whites to (1) live in households with incomes below the household poverty line, (2) have children 5 years of age or younger, (3) live closer to the nearest industrial emissions source, and (4) live within 2 miles of multiple industrial emission sources. Findings indicate that, compared with White children, a substantially higher proportion of African-American children 5 years of age or younger lived in poor households that were located in relatively close proximity to one or more industrial sources of air pollution.","ISSN":"1096-2247","note":"PMID: 11266104","title-short":"Residential proximity to industrial sources of air pollution","journalAbbreviation":"J Air Waste Manag Assoc","language":"eng","author":[{"family":"Perlin","given":"S. A."},{"family":"Wong","given":"D."},{"family":"Sexton","given":"K."}],"issued":{"date-parts":[["2001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J."}],"issued":{"date-parts":[["1993",10]]}}},{"id":238,"uris":["http://zotero.org/users/2002443/items/ZPGD8NHH"],"uri":["http://zotero.org/users/2002443/items/ZPGD8NHH"],"itemData":{"id":238,"type":"article-journal","title":"Toxic wastes and race in the United States","container-title":"Commission for Racial Justice: United Church of Christ, New York","journalAbbreviation":"Commission for Racial Justice: United Church of Christ, New York","author":[{"family":"Chavis","given":"Benjamin F"},{"family":"Lee","given":"Charles"}],"issued":{"date-parts":[["1987"]]}}}],"schema":"https://github.com/citation-style-language/schema/raw/master/csl-citation.json"}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(Chavis and Lee 1987; Hipp and Lakon 2010; Hunter et al. 2003; Mohai et al. 2009b, 2009a; Mohai and Saha 2015; Perlin et al. 2001; Sexton 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w:t>
      </w:r>
    </w:p>
    <w:p w14:paraId="6231D8D9" w14:textId="3802DD7A" w:rsidR="00A56AF0" w:rsidRPr="004549A1" w:rsidRDefault="00A56AF0" w:rsidP="00A56AF0">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Another factor that has been linked to racial/ethnic health disparities is residential segregation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{"citationID":"2i4l012jt6","properties":{"formattedCitation":"(Williams and Collins 2001)","plainCitation":"(Williams and Collins 2001)","noteIndex":0},"citationItems":[{"id":154,"uris":["http://zotero.org/users/2002443/items/QWT9K9WA"],"uri":["http://zotero.org/users/2002443/items/QWT9K9WA"],"itemData":{"id":154,"type":"article-journal","title":"Racial residential segregation: a fundamental cause of racial disparities in health","container-title":"Public Health Reports (Washington, D.C.: 1974)","page":"404-416","volume":"116","issue":"5","source":"PubMed","abstract":"Racial residential segregation is a fundamental cause of racial disparities in health. The physical separation of the races by enforced residence in certain areas is an institutional mechanism of racism that was designed to protect whites from social interaction with blacks. Despite the absence of supportive legal statutes, the degree of residential segregation remains extremely high for most African Americans in the United States. The authors review evidence that suggests that segregation is a primary cause of racial differences in socioeconomic status (SES) by determining access to education and employment opportunities. SES in turn remains a fundamental cause of racial differences in health. Segregation also creates conditions inimical to health in the social and physical environment. The authors conclude that effective efforts to eliminate racial disparities in health must seriously confront segregation and its pervasive consequences.","ISSN":"0033-3549","note":"PMID: 12042604\nPMCID: PMC1497358","title-short":"Racial residential segregation","journalAbbreviation":"Public Health Rep","language":"eng","author":[{"family":"Williams","given":"D. R."},{"family":"Collins","given":"C."}],"issued":{"date-parts":[["2001",10]]}}}],"schema":"https://github.com/citation-style-language/schema/raw/master/csl-citation.json"}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(Williams and Collins 2001)</w:t>
      </w:r>
      <w:r w:rsidRPr="004549A1">
        <w:rPr>
          <w:rFonts w:ascii="Times New Roman" w:hAnsi="Times New Roman" w:cs="Times New Roman"/>
          <w:sz w:val="24"/>
          <w:szCs w:val="24"/>
        </w:rPr>
        <w:fldChar w:fldCharType="end"/>
      </w:r>
      <w:r w:rsidR="00B94E0E"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defined as “the degree to which two or more groups live separately from one another”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{"citationID":"fkstfg3tb","properties":{"formattedCitation":"(Massey and Denton 1988)","plainCitation":"(Massey and Denton 1988)","noteIndex":0},"citationItems":[{"id":161,"uris":["http://zotero.org/users/2002443/items/IG9ETZ2I"],"uri":["http://zotero.org/users/2002443/items/IG9ETZ2I"],"itemData":{"id":161,"type":"article-journal","title":"The Dimensions of Residential Segregation","container-title":"Social Forces","page":"281-315","volume":"67","issue":"2","source":"sf.oxfordjournals.org","abstract":"This paper conceives of residential segregation as a multidimensional phenomenon varying along five distinct axes of measurement: evenness, exposure, concentration, centralization, and clustering. Twenty indices of segregation are surveyed and related conceptually to one of the five dimensions. Using data from a large set of U.S. metropolitan areas, the indices are intercorrelated and factor analyzed. Orthogonal and oblique rotations produce pattern matrices consistent with the postulated dimensional structure. Based on the factor analyses and other information, one index was chosen to represent each of the five dimensions, and these selections were confirmed with a principal components analysis. The paper recommends adopting these indices as standard indicators in future studies of segregation.","URL":"http://sf.oxfordjournals.org/content/67/2/281","DOI":"10.1093/sf/67.2.281","ISSN":"0037-7732, 1534-7605","journalAbbreviation":"Social Forces","language":"en","author":[{"family":"Massey","given":"Douglas S."},{"family":"Denton","given":"Nancy A."}],"issued":{"date-parts":[["1988",12,1]]},"accessed":{"date-parts":[["2016",3,17]]}}}],"schema":"https://github.com/citation-style-language/schema/raw/master/csl-citation.json"}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(Massey and Denton 1988)</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Among African Americans, residence in areas more highly segregated by race and ethnicity has been associated, independently of the overall racial/ethnic composition of those areas, with negative health outcomes including increased rates of adult all-cause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{"citationID":"20uo2noan7","properties":{"formattedCitation":"(Jackson et al. 2000)","plainCitation":"(Jackson et al. 2000)","noteIndex":0},"citationItems":[{"id":239,"uris":["http://zotero.org/users/2002443/items/VZ7GSUUR"],"uri":["http://zotero.org/users/2002443/items/VZ7GSUUR"],"itemData":{"id":239,"type":"article-journal","title":"The relation of residential segregation to all-cause mortality: a study in black and white.","container-title":"American Journal of Public Health","page":"615-617","volume":"90","issue":"4","source":"PubMed Central","abstract":"OBJECTIVES: This study investigated the influence of an aggregate measure of the social environment on racial differences in all-cause mortality. METHODS: Data from the National Longitudinal Mortality Study were analyzed. RESULTS: After adjustment for family income, age-adjusted mortality risk increased with increasing minority residential segregation among Blacks aged 25 to 44 years and non-Blacks aged 45 to 64 years. In most age/race/gender groups, the highest and lowest mortality risks occurred in the highest and lowest categories of residential segregation, respectively. CONCLUSIONS: These results suggest that minority residential segregation may influence mortality risk and underscore the traditional emphasis on the social underpinnings of disease and death.","URL":"http://www.ncbi.nlm.nih.gov/pmc/articles/PMC1446199/","ISSN":"0090-0036","note":"PMID: 10754978\nPMCID: PMC1446199","title-short":"The relation of residential segregation to all-cause mortality","journalAbbreviation":"Am J Public Health","author":[{"family":"Jackson","given":"S A"},{"family":"Anderson","given":"R T"},{"family":"Johnson","given":"N J"},{"family":"Sorlie","given":"P D"}],"issued":{"date-parts":[["2000",4]]},"accessed":{"date-parts":[["2016",3,21]]}}}],"schema":"https://github.com/citation-style-language/schema/raw/master/csl-citation.json"}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rPr>
        <w:t>(Jackson et al. 2000)</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CVD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{"citationID":"wHNadw3u","properties":{"formattedCitation":"(Kershaw et al. 2014; Kershaw and Albrecht 2015)","plainCitation":"(Kershaw et al. 2014; Kershaw and Albrecht 2015)","noteIndex":0},"citationItems":[{"id":159,"uris":["http://zotero.org/users/2002443/items/KMCC8DDV"],"uri":["http://zotero.org/users/2002443/items/KMCC8DDV"],"itemData":{"id":159,"type":"article-journal","title":"Racial/ethnic residential segregation and cardiovascular disease risk","container-title":"Current Cardiovascular Risk Reports","volume":"9","issue":"3","source":"PubMed","abstract":"A growing body of research has examined whether racial/ethnic residential segregation contributes to health disparities, but recent findings in the literature, particularly with respect to cardiovascular disease (CVD) risk, have not been summarized. This review provides an overview of findings from studies of racial/ethnic residential segregation of non-Hispanic blacks and Hispanics with CVD risk published between January 2011 and July 2014. The majority of studies of black segregation showed higher segregation was related to higher CVD risk, although relationships were less clear for certain outcomes. Relationships among Hispanics were more mixed and appeared to vary widely by factors such as gender, country of origin, racial identity, and acculturation. Implications for research on racial/ethnic disparities in CVD and lingering gaps in the literature are discussed as well.","ISSN":"1932-9520","note":"PMID: 25893031\nPMCID: PMC4399822","journalAbbreviation":"Curr Cardiovasc Risk Rep","language":"ENG","author":[{"family":"Kershaw","given":"Kiarri N."},{"family":"Albrecht","given":"Sandra S."}],"issued":{"date-parts":[["2015",3]]}}},{"id":170,"uris":["http://zotero.org/users/2002443/items/4TAIVTKS"],"uri":["http://zotero.org/users/2002443/items/4TAIVTKS"],"itemData":{"id":170,"type":"article-journal","title":"Neighborhood-Level Racial/Ethnic Residential Segregation and Incident Cardiovascular Disease: The Multi-Ethnic Study of Atherosclerosis","container-title":"Circulation","page":"CIRCULATIONAHA.114.011345","source":"circ.ahajournals.org","abstract":"Background—Previous research suggests neighborhood-level racial/ethnic residential segregation is linked to health, but it has not been studied prospectively in relation to cardiovascular disease (CVD).\nMethods and Results—Participants were 1,595 non-Hispanic Black, 2,345 non-Hispanic White, and 1,289 Hispanic adults from the Multi-Ethnic Study of Atherosclerosis free of CVD at baseline (ages 45-84). Own-group racial/ethnic residential segregation was assessed using the Gi* statistic, a measure of how the neighborhood racial/ethnic composition deviates from surrounding counties' racial/ethnic composition. Multivariable Cox proportional hazards modeling was used to estimate hazard ratios (HR) for incident CVD (first definite angina, probable angina followed by revascularization, myocardial infarction, resuscitated cardiac arrest, CHD death, stroke, or stroke death) over 10.2 median years of follow-up. Among Blacks, each standard deviation increase in Black segregation was associated with a 12% higher hazard of developing CVD after adjusting for demographics (95% Confidence Interval (CI): 1.02, 1.22). This association persisted after adjustment for neighborhood-level characteristics, individual socioeconomic position, and CVD risk factors (HR: 1.12; 95% CI: 1.02, 1.23). For Whites, higher White segregation was associated with lower CVD risk after adjusting for demographics (HR: 0.88; 95% CI: 0.81, 0.96), but not after further adjustment for neighborhood characteristics. Segregation was not associated with CVD risk among Hispanics. Similar results were obtained after adjusting for time-varying segregation and covariates.\nConclusions—The association of residential segregation with cardiovascular risk varies according to race/ethnicity. Further work is needed to better characterize the individual- and neighborhood-level pathways linking segregation to CVD risk.","URL":"http://circ.ahajournals.org/content/early/2014/12/01/CIRCULATIONAHA.114.011345","DOI":"10.1161/CIRCULATIONAHA.114.011345","ISSN":"0009-7322, 1524-4539","note":"PMID: 25447044","title-short":"Neighborhood-Level Racial/Ethnic Residential Segregation and Incident Cardiovascular Disease","journalAbbreviation":"Circulation","language":"en","author":[{"family":"Kershaw","given":"Kiarri N."},{"family":"Osypuk","given":"Theresa L."},{"family":"Do","given":"D. Phuong"},{"family":"Chavez","given":"Peter J. De"},{"family":"Roux","given":"Ana V. Diez"}],"issued":{"date-parts":[["2014",12,1]]},"accessed":{"date-parts":[["2016",3,17]]}}}],"schema":"https://github.com/citation-style-language/schema/raw/master/csl-citation.json"}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(Kershaw et al. 2014; Kershaw and Albrecht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lung cancer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{"citationID":"2nb42ephed","properties":{"formattedCitation":"(Hayanga AJ et al. 2013)","plainCitation":"(Hayanga AJ et al. 2013)","noteIndex":0},"citationItems":[{"id":174,"uris":["http://zotero.org/users/2002443/items/XTFMZB7G"],"uri":["http://zotero.org/users/2002443/items/XTFMZB7G"],"itemData":{"id":174,"type":"article-journal","title":"REsidential segregation and lung cancer mortality in the united states","container-title":"JAMA Surgery","page":"37-42","volume":"148","issue":"1","source":"Silverchair","abstract":"Objective To examine the relationship between race and lung cancer mortality and the effect of residential segregation in the United States.Design A retrospective, population-based study using data obtained from the 2009 Area Resource File and Surveillance, Epidemiology and End Results program.Setting Each county in the United States.Patients Black and white populations per US county.Main Outcome Measures A generalized linear model with a Poisson distribution and log link was used to examine the association between residential segregation and lung cancer mortality from 2003 to 2007 for black and white populations. Our primary independent variable was the racial index of dissimilarity. The index is a demographic measure that assesses the evenness with which whites and blacks are distributed across census tracts within each county. The score ranges from 0 to 100 in increasing degrees of residential segregation.Results The overall lung cancer mortality rate was higher for blacks than whites (58.9% vs 52.4% per 100 000 population). Each additional level of segregation was associated with a 0.5% increase in lung cancer mortality for blacks (P &lt; .001) and an associated decrease in mortality for whites (P = .002). Adjusted lung cancer mortality rates among blacks were 52.4% and 62.9% per 100 000 population in counties with the least (&lt;40% segregation) and the highest levels of segregation (≥60% segregation), respectively. In contrast, the adjusted lung cancer mortality rates for whites decreased with increasing levels of segregation.Conclusion Lung cancer mortality is higher in blacks and highest in blacks living in the most segregated counties, regardless of socioeconomic status.","URL":"http://dx.doi.org/10.1001/jamasurgery.2013.408","DOI":"10.1001/jamasurgery.2013.408","ISSN":"2168-6254","journalAbbreviation":"JAMA Surg","author":[{"literal":"Hayanga AJ"},{"literal":"Zeliadt SB"},{"literal":"Backhus LM"}],"issued":{"date-parts":[["2013",1,1]]},"accessed":{"date-parts":[["2016",3,17]]}}}],"schema":"https://github.com/citation-style-language/schema/raw/master/csl-citation.json"}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(Hayanga AJ et al. 2013)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low birthweight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{"citationID":"hbScGwHq","properties":{"formattedCitation":"(Anthopolos et al. 2011; Grady 2006; Grady and Ram\\uc0\\u237{}rez 2008; Mehra et al. 2017)","plainCitation":"(Anthopolos et al. 2011; Grady 2006; Grady and Ramírez 2008; Mehra et al. 2017)","noteIndex":0},"citationItems":[{"id":63,"uris":["http://zotero.org/users/2002443/items/7G8KU2WE"],"uri":["http://zotero.org/users/2002443/items/7G8KU2WE"],"itemData":{"id":63,"type":"article-journal","title":"A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Lynn"}],"issued":{"date-parts":[["2011",12]]}}},{"id":217,"uris":["http://zotero.org/users/2002443/items/FXS678RI"],"uri":["http://zotero.org/users/2002443/items/FXS678RI"],"itemData":{"id":217,"type":"article-journal","title":"Racial disparities in low birthweight and the contribution of residential segregation: a multilevel analysis","container-title":"Social Science &amp; Medicine (1982)","page":"3013-3029","volume":"63","issue":"12","source":"PubMed","abstract":"This study investigates the geography of racial disparities in low birthweight in New York City by focusing on racial residential segregation and its effect on the risk of low birthweight among African-American infants and mothers. This cross-sectional multilevel analysis uses birth records at the individual level (n=96,882) and racial isolation indices at the census tract or neighborhood level (n=2095) to measure their independent and cross-level effects on low birthweight. This study found that residential segregation and neighborhood poverty operate at different scales to increase the risk of low birthweight. At the neighborhood scale residential segregation is positively and significantly associated with low birthweight, after controlling for individual-level risk factors and neighborhood poverty. Residential segregation explains neighborhood variation in low birthweight means and race effects across census tracts, which cannot be accounted for by neighborhood poverty alone. At the individual scale-increasing levels of residential segregation does not significantly reduce or exacerbate individual-level risk factors for low birthweight; whereas increasing levels of neighborhood poverty significantly eliminates the race effect and reduces the protective effect of being foreign-born on low birthweight, after controlling for other individual-level risk factors and residential segregation. These findings are contradictory to previous health research that shows protective mechanisms associated with ethnic density in local areas. It is likely that structural factors underlying residential segregation, i.e., racial isolation, impose additional stressors on African-American women that may offset or disguise positive attributes associated with ethnic density. However, as poverty is concentrated within these neighborhoods, differences between races in low birthweight cease to exist. This study demonstrates that residential segregation and neighborhood poverty are important determinants of racial disparity in low birthweight in New York City.","DOI":"10.1016/j.socscimed.2006.08.017","ISSN":"0277-9536","note":"PMID: 16996670","title-short":"Racial disparities in low birthweight and the contribution of residential segregation","journalAbbreviation":"Soc Sci Med","language":"eng","author":[{"family":"Grady","given":"Sue C."}],"issued":{"date-parts":[["2006",12]]}}},{"id":219,"uris":["http://zotero.org/users/2002443/items/A7FPW85D"],"uri":["http://zotero.org/users/2002443/items/A7FPW85D"],"itemData":{"id":219,"type":"article-journal","title":"Mediating medical risk factors in the residential segregation and low birthweight relationship by race in New York City","container-title":"Health &amp; Place","page":"661-677","volume":"14","issue":"4","source":"PubMed","abstract":"This study explores mediating medical risk factors in the association between racial residential segregation (i.e., racial 'black' isolation) and low birthweight in New York City, adjusting for maternal and infant risk factors and neighborhood poverty. This race-specific cross-sectional multilevel study found that as racial isolation increased in neighborhoods, the odds of having a low birthweight infant also increased for African-American and White women living in these areas. Medical conditions that mediated the racial isolation and low birthweight relationship included chronic hypertension and pregnancy-related hypertension for African-American women and chronic hypertension and lung disease for White women. Although this study was limited by the quality of the birth certificate data, it does provide exploratory pathways by which medical risks and their sequelae are linked to neighborhood environments and reproductive vulnerability.","DOI":"10.1016/j.healthplace.2007.10.011","ISSN":"1353-8292","note":"PMID: 18036867","journalAbbreviation":"Health Place","language":"eng","author":[{"family":"Grady","given":"Sue C."},{"family":"Ramírez","given":"Iván J."}],"issued":{"date-parts":[["2008",12]]}}},{"id":1237,"uris":["http://zotero.org/users/2002443/items/X36XF2C3"],"uri":["http://zotero.org/users/2002443/items/X36XF2C3"],"itemData":{"id":1237,"type":"article-journal","title":"Racial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R."}],"issued":{"date-parts":[["2017",10,1]]}}}],"schema":"https://github.com/citation-style-language/schema/raw/master/csl-citation.json"} </w:instrText>
      </w:r>
      <w:r w:rsidRPr="004549A1">
        <w:rPr>
          <w:rFonts w:ascii="Times New Roman" w:hAnsi="Times New Roman" w:cs="Times New Roman"/>
          <w:sz w:val="24"/>
          <w:szCs w:val="24"/>
        </w:rPr>
        <w:fldChar w:fldCharType="separate"/>
      </w:r>
      <w:r w:rsidR="00BD2827" w:rsidRPr="00BD2827">
        <w:rPr>
          <w:rFonts w:ascii="Times New Roman" w:hAnsi="Times New Roman" w:cs="Times New Roman"/>
          <w:sz w:val="24"/>
          <w:szCs w:val="24"/>
          <w:lang w:val="en-US"/>
        </w:rPr>
        <w:t>(Anthopolos et al. 2011; Grady 2006; Grady and Ramírez 2008; Mehra et al. 2017)</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preterm birth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{"citationID":"2zttPUIk","properties":{"formattedCitation":"(Anthopolos et al. 2011; Mehra et al. 2017; Osypuk and Acevedo-Garcia 2008)","plainCitation":"(Anthopolos et al. 2011; Mehra et al. 2017; Osypuk and Acevedo-Garcia 2008)","noteIndex":0},"citationItems":[{"id":63,"uris":["http://zotero.org/users/2002443/items/7G8KU2WE"],"uri":["http://zotero.org/users/2002443/items/7G8KU2WE"],"itemData":{"id":63,"type":"article-journal","title":"A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R."}],"issued":{"date-parts":[["2017",10,1]]}}},{"id":221,"uris":["http://zotero.org/users/2002443/items/XABTA5R7"],"uri":["http://zotero.org/users/2002443/items/XABTA5R7"],"itemData":{"id":221,"type":"article-journal","title":"Are racial disparities in preterm birth larger in hypersegregated areas?","container-title":"American Journal of Epidemiology","page":"1295-1304","volume":"167","issue":"11","source":"PubMed","abstract":"The causes of the racial/ethnic disparity in preterm birth (PTB) remain largely unknown; traditional risk factors such as smoking and prenatal care fail to account for it. The authors examined whether living in metropolitan areas (MAs) with high levels of residential racial segregation along multiple dimensions (hypersegregation) was associated with higher rates of PTB or larger racial disparities in PTB and whether segregation modified the established race-age association in PTB. The authors merged 2000 natality data (n = 1,944,703) with US Census measures of Black-White hypersegregation. They executed two-level hierarchical logistic regression analyses among White and Black mothers in 237 MAs to estimate the odds of PTB by hypersegregation, race, and age, after controlling for covariates. In unadjusted and adjusted models, Black infants in hypersegregated MAs were more likely to be preterm than Black infants in nonhypersegregated MAs (p &lt; 0.001). Black-White PTB disparities were larger in hypersegregated areas than in nonhypersegregated areas (p &lt; 0.001), and the age-race association with PTB was modified by hypersegregation (p &lt; 0.001). Living in a hypersegregated MA had a more pronounced association with PTB among older Black women, and racial disparities in PTB were larger in hypersegregated areas among older mothers (p &lt; 0.001). Since over 40% of Black childbearing women live in hypersegregated areas, residential segregation may be an important social determinant of racial birth disparities.","DOI":"10.1093/aje/kwn043","ISSN":"1476-6256","note":"PMID: 18367470","journalAbbreviation":"Am. J. Epidemiol.","language":"eng","author":[{"family":"Osypuk","given":"Theresa L."},{"family":"Acevedo-Garcia","given":"Dolores"}],"issued":{"date-parts":[["2008",6,1]]}}}],"schema":"https://github.com/citation-style-language/schema/raw/master/csl-citation.json"} </w:instrText>
      </w:r>
      <w:r w:rsidRPr="004549A1">
        <w:rPr>
          <w:rFonts w:ascii="Times New Roman" w:hAnsi="Times New Roman" w:cs="Times New Roman"/>
          <w:sz w:val="24"/>
          <w:szCs w:val="24"/>
        </w:rPr>
        <w:fldChar w:fldCharType="separate"/>
      </w:r>
      <w:r w:rsidR="007E3AC2" w:rsidRPr="007E3AC2">
        <w:rPr>
          <w:rFonts w:ascii="Times New Roman" w:hAnsi="Times New Roman" w:cs="Times New Roman"/>
          <w:sz w:val="24"/>
          <w:lang w:val="en-US"/>
        </w:rPr>
        <w:t>(Anthopolos et al. 2011; Mehra et al. 2017; Osypuk and Acevedo-Garcia 2008)</w:t>
      </w:r>
      <w:r w:rsidRPr="004549A1">
        <w:rPr>
          <w:rFonts w:ascii="Times New Roman" w:hAnsi="Times New Roman" w:cs="Times New Roman"/>
          <w:sz w:val="24"/>
          <w:szCs w:val="24"/>
        </w:rPr>
        <w:fldChar w:fldCharType="end"/>
      </w:r>
      <w:r w:rsidR="00A97C10"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all of which have also been linked to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w:t>
      </w:r>
    </w:p>
    <w:p w14:paraId="2D58FA57" w14:textId="60D693B0" w:rsidR="00A56AF0" w:rsidRPr="004549A1" w:rsidRDefault="00A56AF0" w:rsidP="00A97C10">
      <w:pPr>
        <w:spacing w:after="120" w:line="480" w:lineRule="auto"/>
        <w:ind w:firstLine="708"/>
        <w:rPr>
          <w:rFonts w:ascii="Times New Roman" w:hAnsi="Times New Roman" w:cs="Times New Roman"/>
          <w:i/>
          <w:sz w:val="24"/>
          <w:szCs w:val="24"/>
          <w:lang w:val="en-US"/>
        </w:rPr>
      </w:pPr>
      <w:r w:rsidRPr="004549A1">
        <w:rPr>
          <w:rFonts w:ascii="Times New Roman" w:hAnsi="Times New Roman" w:cs="Times New Roman"/>
          <w:sz w:val="24"/>
          <w:szCs w:val="24"/>
          <w:lang w:val="en-US"/>
        </w:rPr>
        <w:t>Despite shared negative health outcomes associated with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racialization (particularly African American racialization), and residential segregation, few studies have directly investigated associations between residential segregation and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levels.</w:t>
      </w:r>
      <w:r w:rsidRPr="004549A1">
        <w:rPr>
          <w:rFonts w:ascii="Times New Roman" w:hAnsi="Times New Roman" w:cs="Times New Roman"/>
          <w:i/>
          <w:sz w:val="24"/>
          <w:szCs w:val="24"/>
          <w:lang w:val="en-US"/>
        </w:rPr>
        <w:t xml:space="preserve">  </w:t>
      </w:r>
      <w:r w:rsidRPr="004549A1">
        <w:rPr>
          <w:rFonts w:ascii="Times New Roman" w:hAnsi="Times New Roman" w:cs="Times New Roman"/>
          <w:sz w:val="24"/>
          <w:szCs w:val="24"/>
          <w:lang w:val="en-US"/>
        </w:rPr>
        <w:t xml:space="preserve">A few studies of hazardous air pollutants (HAPs) found that living in more highly segregated areas was associated with increased HAP exposure for both non-Hispanic African Americans and non-Hispanic </w:t>
      </w:r>
      <w:r w:rsidR="00612A77">
        <w:rPr>
          <w:rFonts w:ascii="Times New Roman" w:hAnsi="Times New Roman" w:cs="Times New Roman"/>
          <w:sz w:val="24"/>
          <w:szCs w:val="24"/>
          <w:lang w:val="en-US"/>
        </w:rPr>
        <w:t>whites</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{"citationID":"nEjqlocb","properties":{"formattedCitation":"(Ard 2016; Lopez 2002)","plainCitation":"(Ard 2016; Lopez 2002)","noteIndex":0},"citationItems":[{"id":195,"uris":["http://zotero.org/users/2002443/items/TGVRAA4D"],"uri":["http://zotero.org/users/2002443/items/TGVRAA4D"],"itemData":{"id":195,"type":"article-journal","title":"By all measures: an examination of the relationship between segregation and health risk from air pollution","container-title":"Population and Environment","page":"1-20","source":"link.springer.com","abstract":"A great deal of evidence suggests that African-Americans in more racially segregated communities are at a higher risk for a variety of health problems. Scholars have argued that these health inequalities might be explained by racial differences in exposure to air toxins. However, there are a number of ways to measure segregation, each representing different pathways of exposure. There has yet to be a systematic evaluation of how exposure to air toxins varies by these different measures, making it difficult to begin to theorize about the causal story linking segregation, pollution and health. This paper addresses this gap by examining how the health risk from industrial toxins varies by the 19 most commonly used segregation measures. Results show that, with the exception of two segregation measures, living in metro areas with relatively higher segregation levels, is associated with significantly greater health risk from industrial air toxins for all racial groups. Moreover, African-Americans in more segregated metro areas typically experience an added risk of exposure compared to non-Hispanic whites.","URL":"http://link.springer.com/article/10.1007/s11111-015-0251-6","DOI":"10.1007/s11111-015-0251-6","ISSN":"0199-0039, 1573-7810","title-short":"By all measures","journalAbbreviation":"Popul Environ","language":"en","author":[{"family":"Ard","given":"Kerry"}],"issued":{"date-parts":[["2016",1,4]]},"accessed":{"date-parts":[["2016",3,19]]}}},{"id":192,"uris":["http://zotero.org/users/2002443/items/2B76954N"],"uri":["http://zotero.org/users/2002443/items/2B76954N"],"itemData":{"id":192,"type":"article-journal","title":"Segregation and black/white differences in exposure to air toxics in 1990.","container-title":"Environmental Health Perspectives","page":"289-295","volume":"110","issue":"Suppl 2","source":"PubMed Central","abstract":"I examined non-Hispanic Black and non-Hispanic White differences in exposure to noncriteria air pollutants in 44 U.S. Census Bureau-defined metropolitan areas with populations greater than one million, using data on air toxics concentrations prepared for the U.S. Environmental Protection Agency as part of its Cumulative Exposure Project combined with U.S. census data. I measured differences in exposure to air toxics through the calculation of a net difference score, which is a statistical measure used in income inequality analysis to measure inequality over the whole range of exposures. The scores ranged from 11.52 to 83.60. In every metropolitan area, non-Hispanic Blacks are more likely than non-Hispanic Whites to be living in tracts with higher total modeled air toxics concentrations. To assess potential reasons for such a wide variation in exposure differences, I performed a multiple regression analysis with the net difference score as the dependent variable. Independent variables initially included were as follows: the dissimilarity index (to measure segregation), Black poverty/White poverty (to control for Black/White economic differences), population density and percentage of persons traveling to work who drive to work (alone and in car pools), and percentage of workforce employed in manufacturing (factors affecting air quality). After an initial analysis I eliminated from the model the measures of density and the persons driving to work because they were statistically insignificant, they did not add to the predictive power of the model, and their deletion did not affect the other variables. The final model had an R(2) of 0.56. Increased segregation is associated with increased disparity in potential exposure to air pollution.","URL":"http://www.ncbi.nlm.nih.gov/pmc/articles/PMC1241175/","ISSN":"0091-6765","note":"PMID: 11929740\nPMCID: PMC1241175","journalAbbreviation":"Environ Health Perspect","author":[{"family":"Lopez","given":"Russ"}],"issued":{"date-parts":[["2002",4]]},"accessed":{"date-parts":[["2016",3,18]]}}}],"schema":"https://github.com/citation-style-language/schema/raw/master/csl-citation.json"}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(Ard 2016; Lopez 2002)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increased cancer risk from HAP exposure for non-Hispanic African Americans, non-Hispanic </w:t>
      </w:r>
      <w:r w:rsidR="00612A77">
        <w:rPr>
          <w:rFonts w:ascii="Times New Roman" w:hAnsi="Times New Roman" w:cs="Times New Roman"/>
          <w:sz w:val="24"/>
          <w:szCs w:val="24"/>
          <w:lang w:val="en-US"/>
        </w:rPr>
        <w:t>whites</w:t>
      </w:r>
      <w:r w:rsidRPr="004549A1">
        <w:rPr>
          <w:rFonts w:ascii="Times New Roman" w:hAnsi="Times New Roman" w:cs="Times New Roman"/>
          <w:sz w:val="24"/>
          <w:szCs w:val="24"/>
          <w:lang w:val="en-US"/>
        </w:rPr>
        <w:t>, Hispanics, Native Americans, and Asians and Pacific Islanders</w:t>
      </w:r>
      <w:r w:rsidR="00C26DC1"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{"citationID":"1is94i08hp","properties":{"formattedCitation":"(Morello-Frosch and Jesdale 2006)","plainCitation":"(Morello-Frosch and Jesdale 2006)","noteIndex":0},"citationItems":[{"id":177,"uris":["http://zotero.org/users/2002443/items/I98KJG66"],"uri":["http://zotero.org/users/2002443/items/I98KJG66"],"itemData":{"id":177,"type":"article-journal","title":"Separate and Unequal: Residential Segregation and Estimated Cancer Risks Associated with Ambient Air Toxics in U.S. Metropolitan Areas","container-title":"Environmental Health Perspectives","page":"386-393","volume":"114","issue":"3","source":"JSTOR","abstract":"This study examines links between racial residential segregation and estimated ambient air toxics exposures and their associated cancer risks using modeled concentration estimates from the U.S. Environmental Protection Agency's National Air Toxics Assessment. We combined pollutant concentration estimates with potencies to calculate cancer risks by census tract for 309 metropolitan areas in the United States. This information was combined with socioeconomic status (SES) measures from the 1990 Census. Estimated cancer risks associated with ambient air toxics were highest in tracts located in metropolitan areas that were highly segregated. Disparities between racial/ethnic groups were also wider in more segregated metropolitan areas. Multivariate modeling showed that, after controlling for tract-level SES measures, increasing segregation amplified the cancer risks associated with ambient air toxics for all racial groups combined [highly segregated areas: relative cancer risk (RCR) = 1.04; 95% confidence interval (CI), 1.01-107; extremely segregated areas: RCR = 1.32; 95% CI, 1.28-1.36]. This segregation effect was strongest for Hispanics (highly segregated areas: RCR = 1.09; 95% CI, 1.01-1.17; extremely segregated areas: RCR = 1.74; 95% CI, 1.61-1.88) and weaker among whites (highly segregated areas: RCR = 1.04; 95% CI, 1.01-1.08; extremely segregated areas: RCR = 1.28; 95% CI, 1.24-1.33), African Americans (highly segregated areas: RCR = 1.09; 95% CI, 0.98-1.21; extremely segregated areas: RCR = 1.38; 95% CI, 1.24-1.53), and Asians (highly segregated areas: RCR = 1.10; 95% CI, 0.97-1.24; extremely segregated areas: RCR = 1.32; 95% CI, 1.16-1.51). Results suggest that disparities associated with ambient air toxics are affected by segregation and that these exposures may have health significance for populations across racial lines.","URL":"http://www.jstor.org/stable/3436682","ISSN":"0091-6765","title-short":"Separate and Unequal","journalAbbreviation":"Environmental Health Perspectives","author":[{"family":"Morello-Frosch","given":"Rachel"},{"family":"Jesdale","given":"Bill M."}],"issued":{"date-parts":[["2006"]]},"accessed":{"date-parts":[["2016",3,17]]}}}],"schema":"https://github.com/citation-style-language/schema/raw/master/csl-citation.json"}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(Morello-Frosch and Jesdale 2006)</w:t>
      </w:r>
      <w:r w:rsidRPr="004549A1">
        <w:rPr>
          <w:rFonts w:ascii="Times New Roman" w:hAnsi="Times New Roman" w:cs="Times New Roman"/>
          <w:sz w:val="24"/>
          <w:szCs w:val="24"/>
        </w:rPr>
        <w:fldChar w:fldCharType="end"/>
      </w:r>
      <w:r w:rsidR="00C26DC1"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but did not investigate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lastRenderedPageBreak/>
        <w:t>specifically.  One study investigated total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and segregation and found higher total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levels in census tract clusters where Hispanics were overrepresented or </w:t>
      </w:r>
      <w:r w:rsidR="00612A77">
        <w:rPr>
          <w:rFonts w:ascii="Times New Roman" w:hAnsi="Times New Roman" w:cs="Times New Roman"/>
          <w:sz w:val="24"/>
          <w:szCs w:val="24"/>
          <w:lang w:val="en-US"/>
        </w:rPr>
        <w:t>white</w:t>
      </w:r>
      <w:r w:rsidRPr="004549A1">
        <w:rPr>
          <w:rFonts w:ascii="Times New Roman" w:hAnsi="Times New Roman" w:cs="Times New Roman"/>
          <w:sz w:val="24"/>
          <w:szCs w:val="24"/>
          <w:lang w:val="en-US"/>
        </w:rPr>
        <w:t xml:space="preserve">s were underrepresented, but the study was limited to six cities, excluded rural areas, only included four racial/ethnic categories, and used old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census data from 2000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{"citationID":"18bqv92bei","properties":{"formattedCitation":"(Jones et al. 2014)","plainCitation":"(Jones et al. 2014)","noteIndex":0},"citationItems":[{"id":66,"uris":["http://zotero.org/users/2002443/items/AA4J3MKB"],"uri":["http://zotero.org/users/2002443/items/AA4J3MKB"],"itemData":{"id":66,"type":"article-journal","title":"Race/Ethnicity, Residential Segregation, and Exposure to Ambient Air Pollution: The Multi-Ethnic Study of Atherosclerosis (MESA)","container-title":"American Journal of Public Health","page":"2130-2137","volume":"104","issue":"11","source":"ajph.aphapublications.org (Atypon)","abstract":"Objectives. We described the associations of ambient air pollution exposure with race/ethnicity and racial residential segregation.Methods. We studied 5921 White, Black, Hispanic, and Chinese adults across 6 US cities between 2000 and 2002. Household-level fine particulate matter (PM2.5) and nitrogen oxides (NOX) were estimated for 2000. Neighborhood racial composition and residential segregation were estimated using US census tract data for 2000.Results. Participants in neighborhoods with more than 60% Hispanic populations were exposed to 8% higher PM2.5 and 31% higher NOX concentrations compared with those in neighborhoods with less than 25% Hispanic populations. Participants in neighborhoods with more than 60% White populations were exposed to 5% lower PM2.5 and 18% lower NOX concentrations compared with those in neighborhoods with less than 25% of the population identifying as White. Neighborhoods with Whites underrepresented or with Hispanics overrepresented were exposed to higher PM2.5 and NOX concentrations. No differences were observed for other racial/ethnic groups.Conclusions. Living in majority White neighborhoods was associated with lower air pollution exposures, and living in majority Hispanic neighborhoods was associated with higher air pollution exposures. This new information highlighted the importance of measuring neighborhood-level segregation in the environmental justice literature.","URL":"http://ajph.aphapublications.org/doi/abs/10.2105/AJPH.2014.302135","DOI":"10.2105/AJPH.2014.302135","ISSN":"0090-0036","title-short":"Race/Ethnicity, Residential Segregation, and Exposure to Ambient Air Pollution","journalAbbreviation":"Am J Public Health","author":[{"family":"Jones","given":"Miranda R."},{"family":"Diez-Roux","given":"Ana V."},{"family":"Hajat","given":"Anjum"},{"family":"Kershaw","given":"Kiarri N."},{"family":"O’Neill","given":"Marie S."},{"family":"Guallar","given":"Eliseo"},{"family":"Post","given":"Wendy S."},{"family":"Kaufman","given":"Joel D."},{"family":"Navas-Acien","given":"Ana"}],"issued":{"date-parts":[["2014",9,11]]},"accessed":{"date-parts":[["2016",3,11]]}}}],"schema":"https://github.com/citation-style-language/schema/raw/master/csl-citation.json"}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(Jones et al. 2014)</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Another study </w:t>
      </w:r>
      <w:r w:rsidR="00021D8B" w:rsidRPr="004549A1">
        <w:rPr>
          <w:rFonts w:ascii="Times New Roman" w:hAnsi="Times New Roman" w:cs="Times New Roman"/>
          <w:sz w:val="24"/>
          <w:szCs w:val="24"/>
          <w:lang w:val="en-US"/>
        </w:rPr>
        <w:t xml:space="preserve">found that racial isolation was associated with five-year total PM2.5 levels, but it used 2000 </w:t>
      </w:r>
      <w:r w:rsidR="006D0FD5">
        <w:rPr>
          <w:rFonts w:ascii="Times New Roman" w:hAnsi="Times New Roman" w:cs="Times New Roman"/>
          <w:sz w:val="24"/>
          <w:szCs w:val="24"/>
          <w:lang w:val="en-US"/>
        </w:rPr>
        <w:t>US</w:t>
      </w:r>
      <w:r w:rsidR="00021D8B" w:rsidRPr="004549A1">
        <w:rPr>
          <w:rFonts w:ascii="Times New Roman" w:hAnsi="Times New Roman" w:cs="Times New Roman"/>
          <w:sz w:val="24"/>
          <w:szCs w:val="24"/>
          <w:lang w:val="en-US"/>
        </w:rPr>
        <w:t xml:space="preserve"> </w:t>
      </w:r>
      <w:r w:rsidR="00A83FA2">
        <w:rPr>
          <w:rFonts w:ascii="Times New Roman" w:hAnsi="Times New Roman" w:cs="Times New Roman"/>
          <w:sz w:val="24"/>
          <w:szCs w:val="24"/>
          <w:lang w:val="en-US"/>
        </w:rPr>
        <w:t>C</w:t>
      </w:r>
      <w:r w:rsidR="00021D8B" w:rsidRPr="004549A1">
        <w:rPr>
          <w:rFonts w:ascii="Times New Roman" w:hAnsi="Times New Roman" w:cs="Times New Roman"/>
          <w:sz w:val="24"/>
          <w:szCs w:val="24"/>
          <w:lang w:val="en-US"/>
        </w:rPr>
        <w:t>ensus data, relied on modeling instead of measured air pollution data, and did not investigate PM</w:t>
      </w:r>
      <w:r w:rsidR="00C26DC1" w:rsidRPr="004549A1">
        <w:rPr>
          <w:rFonts w:ascii="Times New Roman" w:hAnsi="Times New Roman" w:cs="Times New Roman"/>
          <w:sz w:val="24"/>
          <w:szCs w:val="24"/>
          <w:vertAlign w:val="subscript"/>
          <w:lang w:val="en-US"/>
        </w:rPr>
        <w:t>2.5</w:t>
      </w:r>
      <w:r w:rsidR="00021D8B" w:rsidRPr="004549A1">
        <w:rPr>
          <w:rFonts w:ascii="Times New Roman" w:hAnsi="Times New Roman" w:cs="Times New Roman"/>
          <w:sz w:val="24"/>
          <w:szCs w:val="24"/>
          <w:lang w:val="en-US"/>
        </w:rPr>
        <w:t xml:space="preserve"> components </w:t>
      </w:r>
      <w:r w:rsidR="00021D8B"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{"citationID":"a10phro7nrk","properties":{"formattedCitation":"(Bravo et al. 2016)","plainCitation":"(Bravo et al. 2016)","noteIndex":0},"citationItems":[{"id":369,"uris":["http://zotero.org/users/2002443/items/PNV83NP3"],"uri":["http://zotero.org/users/2002443/items/PNV83NP3"],"itemData":{"id":369,"type":"article-journal","title":"Racial isolation and exposure to airborne particulate matter and ozone in understudied US populations: Environmental justice applications of downscaled numerical model output","container-title":"Environment International","page":"247-255","volume":"92-93","source":"PubMed","abstract":"BACKGROUND: Researchers and policymakers are increasingly focused on combined exposures to social and environmental stressors, especially given how often these stressors tend to co-locate. Such exposures are equally relevant in urban and rural areas and may accrue disproportionately to particular communities or specific subpopulations.\nOBJECTIVES: To estimate relationships between racial isolation (RI), a measure of the extent to which minority racial/ethnic group members are exposed to only one another, and long-term particulate matter with an aerodynamic diameter of &lt;2.5μ (PM2.5) and ozone (O3) levels in urban and nonurban areas of the eastern two-thirds of the US.\nMETHODS: Long-term (5year average) census tract-level PM2.5 and O3 concentrations were calculated using output from a downscaler model (2002-2006). The downscaler uses a linear regression with additive and multiplicative bias coefficients to relate ambient monitoring data with gridded output from the Community Multi-scale Air Quality (CMAQ) model. A local, spatial measure of RI was calculated at the tract level, and tracts were classified by urbanicity, RI, and geographic region. We examined differences in estimated pollutant exposures by RI, urbanicity, and demographic subgroup (e.g., race/ethnicity, education, socioeconomic status, age), and used linear models to estimate associations between RI and air pollution levels in urban, suburban, and rural tracts.\nRESULTS: High RI tracts (≥80th percentile) had higher average PM2.5 levels in each category of urbanicity compared to low RI tracts (&lt;20th percentile), with the exception of the rural West. Patterns in O3 levels by urbanicity and RI differed by region. Linear models indicated that PM2.5 concentrations were significantly and positively associated with RI. The largest association between PM2.5 and RI was observed in the rural Midwest, where a one quintile increase in RI was associated with a 0.90μg/m(3) (95% confidence interval: 0.83, 0.99μg/m(3)) increase in PM2.5 concentration. Associations between O3 and RI in the Northeast, Midwest and West were positive and highest in suburban and rural tracts, even after controlling for potential confounders such as percentage in poverty.\nCONCLUSION: RI is associated with higher 5year estimated PM2.5 concentrations in urban, suburban, and rural census tracts, adding to evidence that segregation is broadly associated with disparate air pollution exposures. Disproportionate burdens to adverse exposures such as air pollution may be a pathway to racial/ethnic disparities in health.","DOI":"10.1016/j.envint.2016.04.008","ISSN":"1873-6750","note":"PMID: 27115915","title-short":"Racial isolation and exposure to airborne particulate matter and ozone in understudied US populations","journalAbbreviation":"Environ Int","language":"eng","author":[{"family":"Bravo","given":"Mercedes A."},{"family":"Anthopolos","given":"Rebecca"},{"family":"Bell","given":"Michelle L."},{"family":"Miranda","given":"Marie Lynn"}],"issued":{"date-parts":[["2016",8]]}}}],"schema":"https://github.com/citation-style-language/schema/raw/master/csl-citation.json"} </w:instrText>
      </w:r>
      <w:r w:rsidR="00021D8B" w:rsidRPr="004549A1">
        <w:rPr>
          <w:rFonts w:ascii="Times New Roman" w:hAnsi="Times New Roman" w:cs="Times New Roman"/>
          <w:sz w:val="24"/>
          <w:szCs w:val="24"/>
          <w:lang w:val="en-US"/>
        </w:rPr>
        <w:fldChar w:fldCharType="separate"/>
      </w:r>
      <w:r w:rsidR="00E92160" w:rsidRPr="00A83FA2">
        <w:rPr>
          <w:rFonts w:ascii="Times New Roman" w:hAnsi="Times New Roman" w:cs="Times New Roman"/>
          <w:sz w:val="24"/>
          <w:lang w:val="en-US"/>
        </w:rPr>
        <w:t>(Bravo et al. 2016)</w:t>
      </w:r>
      <w:r w:rsidR="00021D8B" w:rsidRPr="004549A1">
        <w:rPr>
          <w:rFonts w:ascii="Times New Roman" w:hAnsi="Times New Roman" w:cs="Times New Roman"/>
          <w:sz w:val="24"/>
          <w:szCs w:val="24"/>
          <w:lang w:val="en-US"/>
        </w:rPr>
        <w:fldChar w:fldCharType="end"/>
      </w:r>
      <w:r w:rsidR="00021D8B" w:rsidRPr="004549A1">
        <w:rPr>
          <w:rFonts w:ascii="Times New Roman" w:hAnsi="Times New Roman" w:cs="Times New Roman"/>
          <w:sz w:val="24"/>
          <w:szCs w:val="24"/>
          <w:lang w:val="en-US"/>
        </w:rPr>
        <w:t>.  N</w:t>
      </w:r>
      <w:r w:rsidRPr="004549A1">
        <w:rPr>
          <w:rFonts w:ascii="Times New Roman" w:hAnsi="Times New Roman" w:cs="Times New Roman"/>
          <w:sz w:val="24"/>
          <w:szCs w:val="24"/>
          <w:lang w:val="en-US"/>
        </w:rPr>
        <w:t>o studies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and residential segregation </w:t>
      </w:r>
      <w:r w:rsidR="00DD1CE6" w:rsidRPr="004549A1">
        <w:rPr>
          <w:rFonts w:ascii="Times New Roman" w:hAnsi="Times New Roman" w:cs="Times New Roman"/>
          <w:sz w:val="24"/>
          <w:szCs w:val="24"/>
          <w:lang w:val="en-US"/>
        </w:rPr>
        <w:t xml:space="preserve">to date </w:t>
      </w:r>
      <w:r w:rsidRPr="004549A1">
        <w:rPr>
          <w:rFonts w:ascii="Times New Roman" w:hAnsi="Times New Roman" w:cs="Times New Roman"/>
          <w:sz w:val="24"/>
          <w:szCs w:val="24"/>
          <w:lang w:val="en-US"/>
        </w:rPr>
        <w:t xml:space="preserve">have used current </w:t>
      </w:r>
      <w:r w:rsidR="006D0FD5">
        <w:rPr>
          <w:rFonts w:ascii="Times New Roman" w:hAnsi="Times New Roman" w:cs="Times New Roman"/>
          <w:sz w:val="24"/>
          <w:szCs w:val="24"/>
          <w:lang w:val="en-US"/>
        </w:rPr>
        <w:t>US</w:t>
      </w:r>
      <w:r w:rsidR="00A83FA2">
        <w:rPr>
          <w:rFonts w:ascii="Times New Roman" w:hAnsi="Times New Roman" w:cs="Times New Roman"/>
          <w:sz w:val="24"/>
          <w:szCs w:val="24"/>
          <w:lang w:val="en-US"/>
        </w:rPr>
        <w:t xml:space="preserve"> C</w:t>
      </w:r>
      <w:r w:rsidR="00DD1CE6" w:rsidRPr="004549A1">
        <w:rPr>
          <w:rFonts w:ascii="Times New Roman" w:hAnsi="Times New Roman" w:cs="Times New Roman"/>
          <w:sz w:val="24"/>
          <w:szCs w:val="24"/>
          <w:lang w:val="en-US"/>
        </w:rPr>
        <w:t>ensus data</w:t>
      </w:r>
      <w:r w:rsidRPr="004549A1">
        <w:rPr>
          <w:rFonts w:ascii="Times New Roman" w:hAnsi="Times New Roman" w:cs="Times New Roman"/>
          <w:sz w:val="24"/>
          <w:szCs w:val="24"/>
          <w:lang w:val="en-US"/>
        </w:rPr>
        <w:t xml:space="preserve"> or evaluated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components.  To fill this gap in the literature, we used nationwide air pollution monitor data from the Environmental Protection Agency (EPA) and race/ethnicity data from the 2010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Census to evaluate associations between racial/ethnic segregation and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total and component levels.</w:t>
      </w:r>
    </w:p>
    <w:p w14:paraId="3A794E6D" w14:textId="5AC28C54" w:rsidR="009747C5" w:rsidRPr="004549A1" w:rsidRDefault="009747C5" w:rsidP="00C8264F">
      <w:pPr>
        <w:spacing w:line="480" w:lineRule="auto"/>
        <w:rPr>
          <w:rFonts w:ascii="Times New Roman" w:hAnsi="Times New Roman" w:cs="Times New Roman"/>
          <w:sz w:val="24"/>
          <w:szCs w:val="24"/>
          <w:lang w:val="en-US"/>
        </w:rPr>
      </w:pPr>
    </w:p>
    <w:p w14:paraId="06C2A887" w14:textId="77777777" w:rsidR="009747C5" w:rsidRPr="004549A1" w:rsidRDefault="009747C5">
      <w:pPr>
        <w:rPr>
          <w:rFonts w:ascii="Times New Roman" w:hAnsi="Times New Roman" w:cs="Times New Roman"/>
          <w:b/>
          <w:sz w:val="24"/>
          <w:szCs w:val="24"/>
          <w:lang w:val="en-US"/>
        </w:rPr>
      </w:pPr>
      <w:r w:rsidRPr="004549A1">
        <w:rPr>
          <w:rFonts w:ascii="Times New Roman" w:hAnsi="Times New Roman" w:cs="Times New Roman"/>
          <w:b/>
          <w:sz w:val="24"/>
          <w:szCs w:val="24"/>
          <w:lang w:val="en-US"/>
        </w:rPr>
        <w:br w:type="page"/>
      </w:r>
    </w:p>
    <w:p w14:paraId="748E5F75" w14:textId="15B974CD" w:rsidR="009747C5" w:rsidRPr="004549A1" w:rsidRDefault="009747C5" w:rsidP="00C8264F">
      <w:pPr>
        <w:spacing w:line="480" w:lineRule="auto"/>
        <w:rPr>
          <w:rFonts w:ascii="Times New Roman" w:hAnsi="Times New Roman" w:cs="Times New Roman"/>
          <w:b/>
          <w:i/>
          <w:sz w:val="24"/>
          <w:szCs w:val="24"/>
          <w:lang w:val="en-US"/>
        </w:rPr>
      </w:pPr>
      <w:r w:rsidRPr="004549A1">
        <w:rPr>
          <w:rFonts w:ascii="Times New Roman" w:hAnsi="Times New Roman" w:cs="Times New Roman"/>
          <w:b/>
          <w:sz w:val="24"/>
          <w:szCs w:val="24"/>
          <w:lang w:val="en-US"/>
        </w:rPr>
        <w:lastRenderedPageBreak/>
        <w:t>Methods</w:t>
      </w:r>
    </w:p>
    <w:p w14:paraId="44E10B6B" w14:textId="249531A4" w:rsidR="006E5A35" w:rsidRPr="004549A1" w:rsidRDefault="006E5A35" w:rsidP="009747C5">
      <w:pPr>
        <w:spacing w:line="480" w:lineRule="auto"/>
        <w:rPr>
          <w:rFonts w:ascii="Times New Roman" w:hAnsi="Times New Roman" w:cs="Times New Roman"/>
          <w:i/>
          <w:sz w:val="24"/>
          <w:szCs w:val="24"/>
          <w:lang w:val="en-US"/>
        </w:rPr>
      </w:pPr>
      <w:r w:rsidRPr="004549A1">
        <w:rPr>
          <w:rFonts w:ascii="Times New Roman" w:hAnsi="Times New Roman" w:cs="Times New Roman"/>
          <w:i/>
          <w:sz w:val="24"/>
          <w:szCs w:val="24"/>
          <w:lang w:val="en-US"/>
        </w:rPr>
        <w:t>Air pollution data</w:t>
      </w:r>
    </w:p>
    <w:p w14:paraId="59CEE9DB" w14:textId="104228B7" w:rsidR="002C6FE9" w:rsidRPr="004549A1" w:rsidRDefault="00272C99" w:rsidP="00272C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obtained d</w:t>
      </w:r>
      <w:r w:rsidR="00883C35" w:rsidRPr="004549A1">
        <w:rPr>
          <w:rFonts w:ascii="Times New Roman" w:hAnsi="Times New Roman" w:cs="Times New Roman"/>
          <w:sz w:val="24"/>
          <w:szCs w:val="24"/>
          <w:lang w:val="en-US"/>
        </w:rPr>
        <w:t>aily</w:t>
      </w:r>
      <w:r w:rsidR="009747C5" w:rsidRPr="004549A1">
        <w:rPr>
          <w:rFonts w:ascii="Times New Roman" w:hAnsi="Times New Roman" w:cs="Times New Roman"/>
          <w:sz w:val="24"/>
          <w:szCs w:val="24"/>
          <w:lang w:val="en-US"/>
        </w:rPr>
        <w:t xml:space="preserve"> </w:t>
      </w:r>
      <w:r w:rsidR="002C6FE9" w:rsidRPr="004549A1">
        <w:rPr>
          <w:rFonts w:ascii="Times New Roman" w:hAnsi="Times New Roman" w:cs="Times New Roman"/>
          <w:sz w:val="24"/>
          <w:szCs w:val="24"/>
          <w:lang w:val="en-US"/>
        </w:rPr>
        <w:t>averages</w:t>
      </w:r>
      <w:r w:rsidR="009747C5" w:rsidRPr="004549A1">
        <w:rPr>
          <w:rFonts w:ascii="Times New Roman" w:hAnsi="Times New Roman" w:cs="Times New Roman"/>
          <w:sz w:val="24"/>
          <w:szCs w:val="24"/>
          <w:lang w:val="en-US"/>
        </w:rPr>
        <w:t xml:space="preserve"> for total PM</w:t>
      </w:r>
      <w:r w:rsidR="00C26DC1" w:rsidRPr="004549A1">
        <w:rPr>
          <w:rFonts w:ascii="Times New Roman" w:hAnsi="Times New Roman" w:cs="Times New Roman"/>
          <w:sz w:val="24"/>
          <w:szCs w:val="24"/>
          <w:vertAlign w:val="subscript"/>
          <w:lang w:val="en-US"/>
        </w:rPr>
        <w:t>2.5</w:t>
      </w:r>
      <w:r w:rsidR="009747C5" w:rsidRPr="004549A1">
        <w:rPr>
          <w:rFonts w:ascii="Times New Roman" w:hAnsi="Times New Roman" w:cs="Times New Roman"/>
          <w:sz w:val="24"/>
          <w:szCs w:val="24"/>
          <w:lang w:val="en-US"/>
        </w:rPr>
        <w:t>, nitrate ion (NO</w:t>
      </w:r>
      <w:r w:rsidR="009747C5" w:rsidRPr="004549A1">
        <w:rPr>
          <w:rFonts w:ascii="Times New Roman" w:hAnsi="Times New Roman" w:cs="Times New Roman"/>
          <w:sz w:val="24"/>
          <w:szCs w:val="24"/>
          <w:vertAlign w:val="subscript"/>
          <w:lang w:val="en-US"/>
        </w:rPr>
        <w:t>3</w:t>
      </w:r>
      <w:r w:rsidR="009747C5" w:rsidRPr="004549A1">
        <w:rPr>
          <w:rFonts w:ascii="Times New Roman" w:hAnsi="Times New Roman" w:cs="Times New Roman"/>
          <w:sz w:val="24"/>
          <w:szCs w:val="24"/>
          <w:vertAlign w:val="superscript"/>
          <w:lang w:val="en-US"/>
        </w:rPr>
        <w:t>–</w:t>
      </w:r>
      <w:r w:rsidR="009747C5" w:rsidRPr="004549A1">
        <w:rPr>
          <w:rFonts w:ascii="Times New Roman" w:hAnsi="Times New Roman" w:cs="Times New Roman"/>
          <w:sz w:val="24"/>
          <w:szCs w:val="24"/>
          <w:lang w:val="en-US"/>
        </w:rPr>
        <w:t xml:space="preserve">), sulfate </w:t>
      </w:r>
      <w:r w:rsidR="009747C5" w:rsidRPr="00744849">
        <w:rPr>
          <w:rFonts w:ascii="Times New Roman" w:hAnsi="Times New Roman" w:cs="Times New Roman"/>
          <w:sz w:val="24"/>
          <w:szCs w:val="24"/>
          <w:lang w:val="en-US"/>
        </w:rPr>
        <w:t>ion (SO</w:t>
      </w:r>
      <w:r w:rsidR="009747C5" w:rsidRPr="00744849">
        <w:rPr>
          <w:rFonts w:ascii="Times New Roman" w:hAnsi="Times New Roman" w:cs="Times New Roman"/>
          <w:sz w:val="24"/>
          <w:szCs w:val="24"/>
          <w:vertAlign w:val="subscript"/>
          <w:lang w:val="en-US"/>
        </w:rPr>
        <w:t>4</w:t>
      </w:r>
      <w:r w:rsidR="009747C5" w:rsidRPr="00744849">
        <w:rPr>
          <w:rFonts w:ascii="Times New Roman" w:hAnsi="Times New Roman" w:cs="Times New Roman"/>
          <w:sz w:val="24"/>
          <w:szCs w:val="24"/>
          <w:vertAlign w:val="superscript"/>
          <w:lang w:val="en-US"/>
        </w:rPr>
        <w:t>2–</w:t>
      </w:r>
      <w:r w:rsidR="009747C5" w:rsidRPr="00744849">
        <w:rPr>
          <w:rFonts w:ascii="Times New Roman" w:hAnsi="Times New Roman" w:cs="Times New Roman"/>
          <w:sz w:val="24"/>
          <w:szCs w:val="24"/>
          <w:lang w:val="en-US"/>
        </w:rPr>
        <w:t>), ammonium ion (NH</w:t>
      </w:r>
      <w:r w:rsidR="009747C5" w:rsidRPr="00744849">
        <w:rPr>
          <w:rFonts w:ascii="Times New Roman" w:hAnsi="Times New Roman" w:cs="Times New Roman"/>
          <w:sz w:val="24"/>
          <w:szCs w:val="24"/>
          <w:vertAlign w:val="subscript"/>
          <w:lang w:val="en-US"/>
        </w:rPr>
        <w:t>4</w:t>
      </w:r>
      <w:r w:rsidR="009747C5" w:rsidRPr="00744849">
        <w:rPr>
          <w:rFonts w:ascii="Times New Roman" w:hAnsi="Times New Roman" w:cs="Times New Roman"/>
          <w:sz w:val="24"/>
          <w:szCs w:val="24"/>
          <w:vertAlign w:val="superscript"/>
          <w:lang w:val="en-US"/>
        </w:rPr>
        <w:t>+</w:t>
      </w:r>
      <w:r w:rsidR="009747C5" w:rsidRPr="00744849">
        <w:rPr>
          <w:rFonts w:ascii="Times New Roman" w:hAnsi="Times New Roman" w:cs="Times New Roman"/>
          <w:sz w:val="24"/>
          <w:szCs w:val="24"/>
          <w:lang w:val="en-US"/>
        </w:rPr>
        <w:t>), elemental carbon (EC), sodium ion (Na</w:t>
      </w:r>
      <w:r w:rsidR="009747C5" w:rsidRPr="00744849">
        <w:rPr>
          <w:rFonts w:ascii="Times New Roman" w:hAnsi="Times New Roman" w:cs="Times New Roman"/>
          <w:sz w:val="24"/>
          <w:szCs w:val="24"/>
          <w:vertAlign w:val="superscript"/>
          <w:lang w:val="en-US"/>
        </w:rPr>
        <w:t>+</w:t>
      </w:r>
      <w:r w:rsidR="009747C5" w:rsidRPr="00744849">
        <w:rPr>
          <w:rFonts w:ascii="Times New Roman" w:hAnsi="Times New Roman" w:cs="Times New Roman"/>
          <w:sz w:val="24"/>
          <w:szCs w:val="24"/>
          <w:lang w:val="en-US"/>
        </w:rPr>
        <w:t xml:space="preserve">), aluminum (Al), </w:t>
      </w:r>
      <w:r w:rsidR="000E47A3" w:rsidRPr="00744849">
        <w:rPr>
          <w:rFonts w:ascii="Times New Roman" w:hAnsi="Times New Roman" w:cs="Times New Roman"/>
          <w:sz w:val="24"/>
          <w:szCs w:val="24"/>
          <w:lang w:val="en-US"/>
        </w:rPr>
        <w:t>arsenic (As)</w:t>
      </w:r>
      <w:r w:rsidR="00F935B7" w:rsidRPr="00744849">
        <w:rPr>
          <w:rFonts w:ascii="Times New Roman" w:hAnsi="Times New Roman" w:cs="Times New Roman"/>
          <w:sz w:val="24"/>
          <w:szCs w:val="24"/>
          <w:lang w:val="en-US"/>
        </w:rPr>
        <w:t xml:space="preserve"> maybe</w:t>
      </w:r>
      <w:r w:rsidR="000E47A3" w:rsidRPr="00744849">
        <w:rPr>
          <w:rFonts w:ascii="Times New Roman" w:hAnsi="Times New Roman" w:cs="Times New Roman"/>
          <w:sz w:val="24"/>
          <w:szCs w:val="24"/>
          <w:lang w:val="en-US"/>
        </w:rPr>
        <w:t xml:space="preserve">, </w:t>
      </w:r>
      <w:r w:rsidR="0002564D" w:rsidRPr="00744849">
        <w:rPr>
          <w:rFonts w:ascii="Times New Roman" w:hAnsi="Times New Roman" w:cs="Times New Roman"/>
          <w:sz w:val="24"/>
          <w:szCs w:val="24"/>
          <w:lang w:val="en-US"/>
        </w:rPr>
        <w:t xml:space="preserve">bromine (Br), </w:t>
      </w:r>
      <w:r w:rsidR="009747C5" w:rsidRPr="00744849">
        <w:rPr>
          <w:rFonts w:ascii="Times New Roman" w:hAnsi="Times New Roman" w:cs="Times New Roman"/>
          <w:sz w:val="24"/>
          <w:szCs w:val="24"/>
          <w:lang w:val="en-US"/>
        </w:rPr>
        <w:t xml:space="preserve">calcium (Ca), </w:t>
      </w:r>
      <w:r w:rsidR="000E47A3" w:rsidRPr="00744849">
        <w:rPr>
          <w:rFonts w:ascii="Times New Roman" w:hAnsi="Times New Roman" w:cs="Times New Roman"/>
          <w:sz w:val="24"/>
          <w:szCs w:val="24"/>
          <w:lang w:val="en-US"/>
        </w:rPr>
        <w:t xml:space="preserve">cadmium (Cd), </w:t>
      </w:r>
      <w:r w:rsidR="009747C5" w:rsidRPr="00744849">
        <w:rPr>
          <w:rFonts w:ascii="Times New Roman" w:hAnsi="Times New Roman" w:cs="Times New Roman"/>
          <w:sz w:val="24"/>
          <w:szCs w:val="24"/>
          <w:lang w:val="en-US"/>
        </w:rPr>
        <w:t xml:space="preserve">chlorine (Cl), </w:t>
      </w:r>
      <w:r w:rsidR="000E47A3" w:rsidRPr="00744849">
        <w:rPr>
          <w:rFonts w:ascii="Times New Roman" w:hAnsi="Times New Roman" w:cs="Times New Roman"/>
          <w:sz w:val="24"/>
          <w:szCs w:val="24"/>
          <w:lang w:val="en-US"/>
        </w:rPr>
        <w:t xml:space="preserve">copper (Cu), </w:t>
      </w:r>
      <w:r w:rsidR="0002564D" w:rsidRPr="00744849">
        <w:rPr>
          <w:rFonts w:ascii="Times New Roman" w:hAnsi="Times New Roman" w:cs="Times New Roman"/>
          <w:sz w:val="24"/>
          <w:szCs w:val="24"/>
          <w:lang w:val="en-US"/>
        </w:rPr>
        <w:t xml:space="preserve">iron (Fe), lead (Pb), mercury (Hg), </w:t>
      </w:r>
      <w:r w:rsidR="009747C5" w:rsidRPr="00744849">
        <w:rPr>
          <w:rFonts w:ascii="Times New Roman" w:hAnsi="Times New Roman" w:cs="Times New Roman"/>
          <w:sz w:val="24"/>
          <w:szCs w:val="24"/>
          <w:lang w:val="en-US"/>
        </w:rPr>
        <w:t>nickel (Ni), silicon (Si), titanium (</w:t>
      </w:r>
      <w:proofErr w:type="spellStart"/>
      <w:r w:rsidR="009747C5" w:rsidRPr="00744849">
        <w:rPr>
          <w:rFonts w:ascii="Times New Roman" w:hAnsi="Times New Roman" w:cs="Times New Roman"/>
          <w:sz w:val="24"/>
          <w:szCs w:val="24"/>
          <w:lang w:val="en-US"/>
        </w:rPr>
        <w:t>Ti</w:t>
      </w:r>
      <w:proofErr w:type="spellEnd"/>
      <w:r w:rsidR="009747C5" w:rsidRPr="00744849">
        <w:rPr>
          <w:rFonts w:ascii="Times New Roman" w:hAnsi="Times New Roman" w:cs="Times New Roman"/>
          <w:sz w:val="24"/>
          <w:szCs w:val="24"/>
          <w:lang w:val="en-US"/>
        </w:rPr>
        <w:t>), vanadium</w:t>
      </w:r>
      <w:r w:rsidR="009747C5" w:rsidRPr="004549A1">
        <w:rPr>
          <w:rFonts w:ascii="Times New Roman" w:hAnsi="Times New Roman" w:cs="Times New Roman"/>
          <w:sz w:val="24"/>
          <w:szCs w:val="24"/>
          <w:lang w:val="en-US"/>
        </w:rPr>
        <w:t xml:space="preserve"> (V), and zinc (Zn) for the years 2005 to 2015 from the Environ</w:t>
      </w:r>
      <w:r w:rsidR="00A56AF0" w:rsidRPr="004549A1">
        <w:rPr>
          <w:rFonts w:ascii="Times New Roman" w:hAnsi="Times New Roman" w:cs="Times New Roman"/>
          <w:sz w:val="24"/>
          <w:szCs w:val="24"/>
          <w:lang w:val="en-US"/>
        </w:rPr>
        <w:t xml:space="preserve">mental Protection Agency Chemical Speciation Network via the </w:t>
      </w:r>
      <w:proofErr w:type="spellStart"/>
      <w:r w:rsidR="00A56AF0" w:rsidRPr="004549A1">
        <w:rPr>
          <w:rFonts w:ascii="Times New Roman" w:hAnsi="Times New Roman" w:cs="Times New Roman"/>
          <w:sz w:val="24"/>
          <w:szCs w:val="24"/>
          <w:lang w:val="en-US"/>
        </w:rPr>
        <w:t>AirData</w:t>
      </w:r>
      <w:proofErr w:type="spellEnd"/>
      <w:r w:rsidR="009747C5" w:rsidRPr="004549A1">
        <w:rPr>
          <w:rFonts w:ascii="Times New Roman" w:hAnsi="Times New Roman" w:cs="Times New Roman"/>
          <w:sz w:val="24"/>
          <w:szCs w:val="24"/>
          <w:lang w:val="en-US"/>
        </w:rPr>
        <w:t xml:space="preserve"> database</w:t>
      </w:r>
      <w:r w:rsidR="009D6531">
        <w:rPr>
          <w:rFonts w:ascii="Times New Roman" w:hAnsi="Times New Roman" w:cs="Times New Roman"/>
          <w:sz w:val="24"/>
          <w:szCs w:val="24"/>
          <w:lang w:val="en-US"/>
        </w:rPr>
        <w:t xml:space="preserve"> </w:t>
      </w:r>
      <w:r w:rsidR="009D653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{"citationID":"a1v6nu8qe9s","properties":{"formattedCitation":"(U.S. EPA 2016)","plainCitation":"(U.S. EPA 2016)","noteIndex":0},"citationItems":[{"id":184,"uris":["http://zotero.org/users/2002443/items/QI8ATWSD"],"uri":["http://zotero.org/users/2002443/items/QI8ATWSD"],"itemData":{"id":184,"type":"webpage","title":"AirData Homepage","genre":"Data &amp; Tools","abstract":"Home page for the AirData website","URL":"https://www3.epa.gov/airdata/","language":"en","author":[{"family":"U.S. EPA","given":""}],"issued":{"date-parts":[["2016"]]},"accessed":{"date-parts":[["2017",8,6]]}}}],"schema":"https://github.com/citation-style-language/schema/raw/master/csl-citation.json"} </w:instrText>
      </w:r>
      <w:r w:rsidR="009D6531">
        <w:rPr>
          <w:rFonts w:ascii="Times New Roman" w:hAnsi="Times New Roman" w:cs="Times New Roman"/>
          <w:sz w:val="24"/>
          <w:szCs w:val="24"/>
          <w:lang w:val="en-US"/>
        </w:rPr>
        <w:fldChar w:fldCharType="separate"/>
      </w:r>
      <w:r w:rsidR="005A40AD" w:rsidRPr="005A40AD">
        <w:rPr>
          <w:rFonts w:ascii="Times New Roman" w:hAnsi="Times New Roman" w:cs="Times New Roman"/>
          <w:sz w:val="24"/>
          <w:lang w:val="en-US"/>
        </w:rPr>
        <w:t>(</w:t>
      </w:r>
      <w:r w:rsidR="006D0FD5">
        <w:rPr>
          <w:rFonts w:ascii="Times New Roman" w:hAnsi="Times New Roman" w:cs="Times New Roman"/>
          <w:sz w:val="24"/>
          <w:lang w:val="en-US"/>
        </w:rPr>
        <w:t>US</w:t>
      </w:r>
      <w:r w:rsidR="005A40AD" w:rsidRPr="005A40AD">
        <w:rPr>
          <w:rFonts w:ascii="Times New Roman" w:hAnsi="Times New Roman" w:cs="Times New Roman"/>
          <w:sz w:val="24"/>
          <w:lang w:val="en-US"/>
        </w:rPr>
        <w:t xml:space="preserve"> EPA 2016)</w:t>
      </w:r>
      <w:r w:rsidR="009D6531">
        <w:rPr>
          <w:rFonts w:ascii="Times New Roman" w:hAnsi="Times New Roman" w:cs="Times New Roman"/>
          <w:sz w:val="24"/>
          <w:szCs w:val="24"/>
          <w:lang w:val="en-US"/>
        </w:rPr>
        <w:fldChar w:fldCharType="end"/>
      </w:r>
      <w:r w:rsidR="009747C5" w:rsidRPr="004549A1">
        <w:rPr>
          <w:rFonts w:ascii="Times New Roman" w:hAnsi="Times New Roman" w:cs="Times New Roman"/>
          <w:sz w:val="24"/>
          <w:szCs w:val="24"/>
          <w:lang w:val="en-US"/>
        </w:rPr>
        <w:t xml:space="preserve">.  </w:t>
      </w:r>
      <w:r>
        <w:rPr>
          <w:rFonts w:ascii="Times New Roman" w:hAnsi="Times New Roman" w:cs="Times New Roman"/>
          <w:sz w:val="24"/>
          <w:szCs w:val="24"/>
          <w:lang w:val="en-US"/>
        </w:rPr>
        <w:t>We chose t</w:t>
      </w:r>
      <w:r w:rsidR="009747C5" w:rsidRPr="004549A1">
        <w:rPr>
          <w:rFonts w:ascii="Times New Roman" w:hAnsi="Times New Roman" w:cs="Times New Roman"/>
          <w:sz w:val="24"/>
          <w:szCs w:val="24"/>
          <w:lang w:val="en-US"/>
        </w:rPr>
        <w:t xml:space="preserve">he years 2005 through 2015 to center the pollution data on 2010, the year of known race and ethnicity data from the </w:t>
      </w:r>
      <w:r w:rsidR="006D0FD5">
        <w:rPr>
          <w:rFonts w:ascii="Times New Roman" w:hAnsi="Times New Roman" w:cs="Times New Roman"/>
          <w:sz w:val="24"/>
          <w:szCs w:val="24"/>
          <w:lang w:val="en-US"/>
        </w:rPr>
        <w:t>US</w:t>
      </w:r>
      <w:r w:rsidR="009747C5" w:rsidRPr="004549A1">
        <w:rPr>
          <w:rFonts w:ascii="Times New Roman" w:hAnsi="Times New Roman" w:cs="Times New Roman"/>
          <w:sz w:val="24"/>
          <w:szCs w:val="24"/>
          <w:lang w:val="en-US"/>
        </w:rPr>
        <w:t xml:space="preserve"> Census.  </w:t>
      </w:r>
      <w:r>
        <w:rPr>
          <w:rFonts w:ascii="Times New Roman" w:hAnsi="Times New Roman" w:cs="Times New Roman"/>
          <w:sz w:val="24"/>
          <w:szCs w:val="24"/>
          <w:lang w:val="en-US"/>
        </w:rPr>
        <w:t xml:space="preserve">We analyzed concentrations of </w:t>
      </w:r>
      <w:r w:rsidR="002C6FE9" w:rsidRPr="004549A1">
        <w:rPr>
          <w:rFonts w:ascii="Times New Roman" w:hAnsi="Times New Roman" w:cs="Times New Roman"/>
          <w:sz w:val="24"/>
          <w:szCs w:val="24"/>
          <w:lang w:val="en-US"/>
        </w:rPr>
        <w:t>NO</w:t>
      </w:r>
      <w:r w:rsidR="002C6FE9" w:rsidRPr="004549A1">
        <w:rPr>
          <w:rFonts w:ascii="Times New Roman" w:hAnsi="Times New Roman" w:cs="Times New Roman"/>
          <w:sz w:val="24"/>
          <w:szCs w:val="24"/>
          <w:vertAlign w:val="subscript"/>
          <w:lang w:val="en-US"/>
        </w:rPr>
        <w:t>3</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SO</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2–</w:t>
      </w:r>
      <w:r w:rsidR="002C6FE9" w:rsidRPr="004549A1">
        <w:rPr>
          <w:rFonts w:ascii="Times New Roman" w:hAnsi="Times New Roman" w:cs="Times New Roman"/>
          <w:sz w:val="24"/>
          <w:szCs w:val="24"/>
          <w:lang w:val="en-US"/>
        </w:rPr>
        <w:t>, NH</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EC, Na</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and Si because they have been shown to comprise &gt;1% of PM</w:t>
      </w:r>
      <w:r w:rsidR="002C6FE9" w:rsidRPr="004549A1">
        <w:rPr>
          <w:rFonts w:ascii="Times New Roman" w:hAnsi="Times New Roman" w:cs="Times New Roman"/>
          <w:sz w:val="24"/>
          <w:szCs w:val="24"/>
          <w:vertAlign w:val="subscript"/>
          <w:lang w:val="en-US"/>
        </w:rPr>
        <w:t>2.5</w:t>
      </w:r>
      <w:r w:rsidR="002C6FE9" w:rsidRPr="004549A1">
        <w:rPr>
          <w:rFonts w:ascii="Times New Roman" w:hAnsi="Times New Roman" w:cs="Times New Roman"/>
          <w:sz w:val="24"/>
          <w:szCs w:val="24"/>
          <w:lang w:val="en-US"/>
        </w:rPr>
        <w:t xml:space="preserve"> total mass in national PM</w:t>
      </w:r>
      <w:r w:rsidR="002C6FE9" w:rsidRPr="004549A1">
        <w:rPr>
          <w:rFonts w:ascii="Times New Roman" w:hAnsi="Times New Roman" w:cs="Times New Roman"/>
          <w:sz w:val="24"/>
          <w:szCs w:val="24"/>
          <w:vertAlign w:val="subscript"/>
          <w:lang w:val="en-US"/>
        </w:rPr>
        <w:t>2.5</w:t>
      </w:r>
      <w:r w:rsidR="002C6FE9" w:rsidRPr="004549A1">
        <w:rPr>
          <w:rFonts w:ascii="Times New Roman" w:hAnsi="Times New Roman" w:cs="Times New Roman"/>
          <w:sz w:val="24"/>
          <w:szCs w:val="24"/>
          <w:lang w:val="en-US"/>
        </w:rPr>
        <w:t xml:space="preserve"> component studies, </w:t>
      </w:r>
      <w:r>
        <w:rPr>
          <w:rFonts w:ascii="Times New Roman" w:hAnsi="Times New Roman" w:cs="Times New Roman"/>
          <w:sz w:val="24"/>
          <w:szCs w:val="24"/>
          <w:lang w:val="en-US"/>
        </w:rPr>
        <w:t xml:space="preserve">and </w:t>
      </w:r>
      <w:r w:rsidR="002C6FE9" w:rsidRPr="004549A1">
        <w:rPr>
          <w:rFonts w:ascii="Times New Roman" w:hAnsi="Times New Roman" w:cs="Times New Roman"/>
          <w:sz w:val="24"/>
          <w:szCs w:val="24"/>
          <w:lang w:val="en-US"/>
        </w:rPr>
        <w:t>concentrations of NO</w:t>
      </w:r>
      <w:r w:rsidR="002C6FE9" w:rsidRPr="004549A1">
        <w:rPr>
          <w:rFonts w:ascii="Times New Roman" w:hAnsi="Times New Roman" w:cs="Times New Roman"/>
          <w:sz w:val="24"/>
          <w:szCs w:val="24"/>
          <w:vertAlign w:val="subscript"/>
          <w:lang w:val="en-US"/>
        </w:rPr>
        <w:t>3</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SO</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2–</w:t>
      </w:r>
      <w:r w:rsidR="002C6FE9" w:rsidRPr="004549A1">
        <w:rPr>
          <w:rFonts w:ascii="Times New Roman" w:hAnsi="Times New Roman" w:cs="Times New Roman"/>
          <w:sz w:val="24"/>
          <w:szCs w:val="24"/>
          <w:lang w:val="en-US"/>
        </w:rPr>
        <w:t xml:space="preserve">, EC, Al, </w:t>
      </w:r>
      <w:r w:rsidR="0002564D">
        <w:rPr>
          <w:rFonts w:ascii="Times New Roman" w:hAnsi="Times New Roman" w:cs="Times New Roman"/>
          <w:sz w:val="24"/>
          <w:szCs w:val="24"/>
          <w:lang w:val="en-US"/>
        </w:rPr>
        <w:t xml:space="preserve">As, Br, </w:t>
      </w:r>
      <w:r w:rsidR="002C6FE9" w:rsidRPr="004549A1">
        <w:rPr>
          <w:rFonts w:ascii="Times New Roman" w:hAnsi="Times New Roman" w:cs="Times New Roman"/>
          <w:sz w:val="24"/>
          <w:szCs w:val="24"/>
          <w:lang w:val="en-US"/>
        </w:rPr>
        <w:t xml:space="preserve">Ca, </w:t>
      </w:r>
      <w:r w:rsidR="0002564D">
        <w:rPr>
          <w:rFonts w:ascii="Times New Roman" w:hAnsi="Times New Roman" w:cs="Times New Roman"/>
          <w:sz w:val="24"/>
          <w:szCs w:val="24"/>
          <w:lang w:val="en-US"/>
        </w:rPr>
        <w:t xml:space="preserve">Cd, </w:t>
      </w:r>
      <w:r w:rsidR="002C6FE9" w:rsidRPr="004549A1">
        <w:rPr>
          <w:rFonts w:ascii="Times New Roman" w:hAnsi="Times New Roman" w:cs="Times New Roman"/>
          <w:sz w:val="24"/>
          <w:szCs w:val="24"/>
          <w:lang w:val="en-US"/>
        </w:rPr>
        <w:t xml:space="preserve">Cl, </w:t>
      </w:r>
      <w:r w:rsidR="0002564D">
        <w:rPr>
          <w:rFonts w:ascii="Times New Roman" w:hAnsi="Times New Roman" w:cs="Times New Roman"/>
          <w:sz w:val="24"/>
          <w:szCs w:val="24"/>
          <w:lang w:val="en-US"/>
        </w:rPr>
        <w:t xml:space="preserve">Cu, Fe, Hg, </w:t>
      </w:r>
      <w:r w:rsidR="002C6FE9" w:rsidRPr="004549A1">
        <w:rPr>
          <w:rFonts w:ascii="Times New Roman" w:hAnsi="Times New Roman" w:cs="Times New Roman"/>
          <w:sz w:val="24"/>
          <w:szCs w:val="24"/>
          <w:lang w:val="en-US"/>
        </w:rPr>
        <w:t xml:space="preserve">Ni, </w:t>
      </w:r>
      <w:r w:rsidR="0002564D">
        <w:rPr>
          <w:rFonts w:ascii="Times New Roman" w:hAnsi="Times New Roman" w:cs="Times New Roman"/>
          <w:sz w:val="24"/>
          <w:szCs w:val="24"/>
          <w:lang w:val="en-US"/>
        </w:rPr>
        <w:t xml:space="preserve">Pb, </w:t>
      </w:r>
      <w:proofErr w:type="spellStart"/>
      <w:r w:rsidR="002C6FE9" w:rsidRPr="004549A1">
        <w:rPr>
          <w:rFonts w:ascii="Times New Roman" w:hAnsi="Times New Roman" w:cs="Times New Roman"/>
          <w:sz w:val="24"/>
          <w:szCs w:val="24"/>
          <w:lang w:val="en-US"/>
        </w:rPr>
        <w:t>Ti</w:t>
      </w:r>
      <w:proofErr w:type="spellEnd"/>
      <w:r w:rsidR="002C6FE9" w:rsidRPr="004549A1">
        <w:rPr>
          <w:rFonts w:ascii="Times New Roman" w:hAnsi="Times New Roman" w:cs="Times New Roman"/>
          <w:sz w:val="24"/>
          <w:szCs w:val="24"/>
          <w:lang w:val="en-US"/>
        </w:rPr>
        <w:t>, V, and Zn because of possible association</w:t>
      </w:r>
      <w:r w:rsidR="0050247D">
        <w:rPr>
          <w:rFonts w:ascii="Times New Roman" w:hAnsi="Times New Roman" w:cs="Times New Roman"/>
          <w:sz w:val="24"/>
          <w:szCs w:val="24"/>
          <w:lang w:val="en-US"/>
        </w:rPr>
        <w:t xml:space="preserve">s with adverse health outcomes </w:t>
      </w:r>
      <w:r w:rsidR="0050247D">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{"citationID":"AJF0J8XH","properties":{"formattedCitation":"(Basu et al. 2014; Beelen et al. 2015; Eeftens et al. 2014; Hampel et al. 2015; Kelly and Fussell 2012; Ostro et al. 2015; Peng et al. 2009; Raaschou-Nielsen et al. 2016; Stanek et al. 2011; Thurston et al. 2015; Wang et al. 2017; Wolf et al. 2015)","plainCitation":"(Basu et al. 2014; Beelen et al. 2015; Eeftens et al. 2014; Hampel et al. 2015; Kelly and Fussell 2012; Ostro et al. 2015; Peng et al. 2009; Raaschou-Nielsen et al. 2016; Stanek et al. 2011; Thurston et al. 2015; Wang et al. 2017; Wolf et al. 2015)","noteIndex":0},"citationItems":[{"id":1244,"uris":["http://zotero.org/users/2002443/items/UCQ65CDM"],"uri":["http://zotero.org/users/2002443/items/UCQ65CDM"],"itemData":{"id":1244,"type":"article-journal","title":"Effects of fine particulate matter and its constituents on low birth weight among full-term infants in California","container-title":"Environmental Research","page":"42-51","volume":"128","issue":"Supplement C","source":"ScienceDirect","abstract":"Relationships between prenatal exposure to fine particles (PM2.5) and birth weight have been observed previously. Few studies have investigated specific constituents of PM2.5, which may identify sources and major contributors of risk. We examined the effects of trimester and full gestational prenatal exposures to PM2.5 mass and 23 PM2.5 constituents on birth weight among 646,296 term births in California between 2000 and 2006. We used linear and logistic regression models to assess associations between exposures and birth weight and risk of low birth weight (LBW; &lt;2500g), respectively. Models were adjusted for individual demographic characteristics, apparent temperature, month and year of birth, region, and socioeconomic indicators. Higher full gestational exposures to PM2.5 mass and several PM2.5 constituents were significantly associated with reductions in term birth weight. The largest reductions in birth weight were associated with exposure to vanadium, sulfur, sulfate, iron, elemental carbon, titanium, manganese, bromine, ammonium, zinc, and copper. Several of these PM2.5 constituents were associated with increased risk of term LBW. Reductions in birth weight were generally larger among younger mothers and varied by race/ethnicity. Exposure to specific constituents of PM2.5, especially traffic-related particles, sulfur constituents, and metals, were associated with decreased birth weight in California.","URL":"http://www.sciencedirect.com/science/article/pii/S0013935113001837","DOI":"10.1016/j.envres.2013.10.008","ISSN":"0013-9351","journalAbbreviation":"Environmental Research","author":[{"family":"Basu","given":"Rupa"},{"family":"Harris","given":"Maria"},{"family":"Sie","given":"Lillian"},{"family":"Malig","given":"Brian"},{"family":"Broadwin","given":"Rachel"},{"family":"Green","given":"Rochelle"}],"issued":{"date-parts":[["2014",1,1]]}}},{"id":20,"uris":["http://zotero.org/users/2002443/items/IZAGWTF4"],"uri":["http://zotero.org/users/2002443/items/IZAGWTF4"],"itemData":{"id":20,"type":"article-journal","title":"Natural-cause mortality and long-term exposure to particle components: an analysis of 19 European cohorts within the multi-center ESCAPE project","container-title":"Environmental Health Perspectives","page":"525-533","volume":"123","issue":"6","source":"PubMed","abstract":"BACKGROUND: Studies have shown associations between mortality and long-term exposure to particulate matter air pollution. Few cohort studies have estimated the effects of the elemental composition of particulate matter on mortality.\nOBJECTIVES: Our aim was to study the association between natural-cause mortality and long-term exposure to elemental components of particulate matter.\nMETHODS: Mortality and confounder data from 19 European cohort studies were used. Residential exposure to eight a priori-selected components of particulate matter (PM) was characterized following a strictly standardized protocol. Annual average concentrations of copper, iron, potassium, nickel, sulfur, silicon, vanadium, and zinc within PM size fractions ≤ 2.5 μm (PM2.5) and ≤ 10 μm (PM10) were estimated using land-use regression models. Cohort-specific statistical analyses of the associations between mortality and air pollution were conducted using Cox proportional hazards models using a common protocol followed by meta-analysis.\nRESULTS: The total study population consisted of 291,816 participants, of whom 25,466 died from a natural cause during follow-up (average time of follow-up, 14.3 years). Hazard ratios were positive for almost all elements and statistically significant for PM2.5 sulfur (1.14; 95% CI: 1.06, 1.23 per 200 ng/m3). In a two-pollutant model, the association with PM2.5 sulfur was robust to adjustment for PM2.5 mass, whereas the association with PM2.5 mass was reduced.\nCONCLUSIONS: Long-term exposure to PM2.5 sulfur was associated with natural-cause mortality. This association was robust to adjustment for other pollutants and PM2.5.","DOI":"10.1289/ehp.1408095","ISSN":"1552-9924","note":"PMID: 25712504\nPMCID: PMC4455583","title-short":"Natural-cause mortality and long-term exposure to particle components","journalAbbreviation":"Environ. Health Perspect.","language":"eng","author":[{"family":"Beelen","given":"Rob"},{"family":"Hoek","given":"Gerard"},{"family":"Raaschou-Nielsen","given":"Ole"},{"family":"Stafoggia","given":"Massimo"},{"family":"Andersen","given":"Zorana Jovanovic"},{"family":"Weinmayr","given":"Gudrun"},{"family":"Hoffmann","given":"Barbara"},{"family":"Wolf","given":"Kathrin"},{"family":"Samoli","given":"Evangelia"},{"family":"Fischer","given":"Paul H."},{"family":"Nieuwenhuijsen","given":"Mark J."},{"family":"Xun","given":"Wei W."},{"family":"Katsouyanni","given":"Klea"},{"family":"Dimakopoulou","given":"Konstantina"},{"family":"Marcon","given":"Alessandro"},{"family":"Vartiainen","given":"Erkki"},{"family":"Lanki","given":"Timo"},{"family":"Yli-Tuomi","given":"Tarja"},{"family":"Oftedal","given":"Bente"},{"family":"Schwarze","given":"Per E."},{"family":"Nafstad","given":"Per"},{"family":"De Faire","given":"Ulf"},{"family":"Pedersen","given":"Nancy L."},{"family":"Östenson","given":"Claes-Göran"},{"family":"Fratiglioni","given":"Laura"},{"family":"Penell","given":"Johanna"},{"family":"Korek","given":"Michal"},{"family":"Pershagen","given":"Göran"},{"family":"Eriksen","given":"Kirsten Thorup"},{"family":"Overvad","given":"Kim"},{"family":"Sørensen","given":"Mette"},{"family":"Eeftens","given":"Marloes"},{"family":"Peeters","given":"Petra H."},{"family":"Meliefste","given":"Kees"},{"family":"Wang","given":"Meng"},{"family":"Bueno-de-Mesquita","given":"H. Bas"},{"family":"Sugiri","given":"Dorothea"},{"family":"Krämer","given":"Ursula"},{"family":"Heinrich","given":"Joachim"},{"family":"Hoogh","given":"Kees","non-dropping-particle":"de"},{"family":"Key","given":"Timothy"},{"family":"Peters","given":"Annette"},{"family":"Hampel","given":"Regina"},{"family":"Concin","given":"Hans"},{"family":"Nagel","given":"Gabriele"},{"family":"Jaensch","given":"Andrea"},{"family":"Ineichen","given":"Alex"},{"family":"Tsai","given":"Ming-Yi"},{"family":"Schaffner","given":"Emmanuel"},{"family":"Probst-Hensch","given":"Nicole M."},{"family":"Schindler","given":"Christian"},{"family":"Ragettli","given":"Martina S."},{"family":"Vilier","given":"Alice"},{"family":"Clavel-Chapelon","given":"Françoise"},{"family":"Declercq","given":"Christophe"},{"family":"Ricceri","given":"Fulvio"},{"family":"Sacerdote","given":"Carlotta"},{"family":"Galassi","given":"Claudia"},{"family":"Migliore","given":"Enrica"},{"family":"Ranzi","given":"Andrea"},{"family":"Cesaroni","given":"Giulia"},{"family":"Badaloni","given":"Chiara"},{"family":"Forastiere","given":"Francesco"},{"family":"Katsoulis","given":"Michail"},{"family":"Trichopoulou","given":"Antonia"},{"family":"Keuken","given":"Menno"},{"family":"Jedynska","given":"Aleksandra"},{"family":"Kooter","given":"Ingeborg M."},{"family":"Kukkonen","given":"Jaakko"},{"family":"Sokhi","given":"Ranjeet S."},{"family":"Vineis","given":"Paolo"},{"family":"Brunekreef","given":"Bert"}],"issued":{"date-parts":[["2015",6]]}}},{"id":1199,"uris":["http://zotero.org/users/2002443/items/WJ954BRQ"],"uri":["http://zotero.org/users/2002443/items/WJ954BRQ"],"itemData":{"id":1199,"type":"article-journal","title":"Elemental Composition of Particulate Matter and the Association with Lung Function.  [Miscellaneous Article]","container-title":"Epidemiology","page":"648-657","volume":"25","issue":"5","source":"Journals@Ovid","abstract":"Background: Negative effects of long-term exposure to particulate matter (PM) on lung function have been shown repeatedly. Spatial differences in the composition and toxicity of PM may explain differences in observed effect sizes between studies., Methods: We conducted a multicenter study in 5 European birth cohorts-BAMSE (Sweden), GINIplus and LISAplus (Germany), MAAS (United Kingdom), and PIAMA (The Netherlands)-for which lung function measurements were available for study subjects at the age of 6 or 8 years. Individual annual average residential exposure to copper, iron, potassium, nickel, sulfur, silicon, vanadium, and zinc within PM smaller than 2.5 [mu]m (PM2.5) and smaller than 10 [mu]m (PM10) was estimated using land-use regression models. Associations between air pollution and lung function were analyzed by linear regression within cohorts, adjusting for potential confounders, and then combined by random effects meta-analysis., Results: We observed small reductions in forced expiratory volume in the first second, forced vital capacity, and peak expiratory flow related to exposure to most elemental pollutants, with the most substantial negative associations found for nickel and sulfur. PM10 nickel and PM10 sulfur were associated with decreases in forced expiratory volume in the first second of 1.6% (95% confidence interval = 0.4% to 2.7%) and 2.3% (-0.1% to 4.6%) per increase in exposure of 2 and 200 ng/m3, respectively. Associations remained after adjusting for PM mass. However, associations with these elements were not evident in all cohorts, and heterogeneity of associations with exposure to various components was larger than for exposure to PM mass., Conclusions: Although we detected small adverse effects on lung function associated with annual average levels of some of the evaluated elements (particularly nickel and sulfur), lower lung function was more consistently associated with increased PM mass., (C) 2014 by Lippincott Williams &amp; Wilkins, Inc","DOI":"10.1097/EDE.0000000000000136","ISSN":"1044-3983","call-number":"00001648-201409000-00005","language":"English.","author":[{"family":"Eeftens","given":"Marloes","dropping-particle":"a"},{"family":"Hoek","given":"Gerard","dropping-particle":"a"},{"family":"Gruzieva","given":"Olena","dropping-particle":"d"},{"family":"Molter","given":"Anna","dropping-particle":"e"},{"family":"Agius","given":"Raymond","dropping-particle":"e"},{"family":"Beelen","given":"Rob","dropping-particle":"a"},{"family":"Brunekreef","given":"Bert","dropping-particle":"a"},{"family":"Custovic","given":"Adnan","dropping-particle":"g"},{"family":"Cyrys","given":"Josef","dropping-particle":"h"},{"family":"Fuertes","given":"Elaine","dropping-particle":"j"},{"family":"Heinrich","given":"Joachim","dropping-particle":"j"},{"family":"Hoffmann","given":"Barbara","dropping-particle":"l"},{"family":"Hoogh","given":"Kees","non-dropping-particle":"de","dropping-particle":"n"},{"family":"Jedynska","given":"Aleksandra","dropping-particle":"o"},{"family":"Keuken","given":"Menno","dropping-particle":"o"},{"family":"Klumper","given":"Claudia","dropping-particle":"l"},{"family":"Kooter","given":"Ingeborg","dropping-particle":"o"},{"family":"Kramer","given":"Ursula","dropping-particle":"l"},{"family":"Korek","given":"Michal","dropping-particle":"d"},{"family":"Koppelman","given":"Gerard H.","dropping-particle":"p"},{"family":"Kuhlbusch","given":"Thomas A. J.","dropping-particle":"q"},{"family":"Simpson","given":"Angela","dropping-particle":"g"},{"family":"Smit","given":"Henriette A.","dropping-particle":"f"},{"family":"Tsai","given":"Ming-Yi","dropping-particle":"b"},{"family":"Wang","given":"Meng","dropping-particle":"a"},{"family":"Wolf","given":"Kathrin","dropping-particle":"j"},{"family":"Pershagen","given":"Goran","dropping-particle":"d"},{"family":"Gehring","given":"Ulrike","dropping-particle":"a"}],"issued":{"date-parts":[["2014",9]]}}},{"id":1209,"uris":["http://zotero.org/users/2002443/items/RBHD38VD"],"uri":["http://zotero.org/users/2002443/items/RBHD38VD"],"itemData":{"id":1209,"type":"article-journal","title":"Long-term effects of elemental composition of particulate matter on inflammatory blood markers in European cohorts","container-title":"Environment International","page":"76-84","volume":"82","source":"ScienceDirect","abstract":"Background\nEpidemiological studies have associated long-term exposure to ambient particulate matter with increased mortality from cardiovascular and respiratory disorders. Systemic inflammation is a plausible biological mechanism behind this association. However, it is unclear how the chemical composition of PM affects inflammatory responses.\nObjectives\nTo investigate the association between long-term exposure to elemental components of PM and the inflammatory blood markers high-sensitivity C-reactive protein (hsCRP) and fibrinogen as part of the European ESCAPE and TRANSPHORM multi-center projects.\nMethods\nIn total, 21,558 hsCRP measurements and 17,428 fibrinogen measurements from cross-sections of five and four cohort studies were available, respectively. Residential long-term concentrations of particulate matter &amp;lt; 10 μm (PM10) and &amp;lt; 2.5 μm (PM2.5) in diameter and selected elemental components (copper, iron, potassium, nickel, sulfur, silicon, vanadium, zinc) were estimated based on land-use regression models. Associations between components and inflammatory markers were estimated using linear regression models for each cohort separately. Cohort-specific results were combined using random effects meta-analysis. As a sensitivity analysis the models were additionally adjusted for PM mass.\nResults\nA 5 ng/m3 increase in PM2.5 copper and a 500 ng/m3 increase in PM10 iron were associated with a 6.3% [0.7; 12.3%] and 3.6% [0.3; 7.1%] increase in hsCRP, respectively. These associations between components and fibrinogen were slightly weaker. A 10 ng/m3 increase in PM2.5 zinc was associated with a 1.2% [0.1; 2.4%] increase in fibrinogen; confidence intervals widened when additionally adjusting for PM2.5.\nConclusions\nLong-term exposure to transition metals within ambient particulate matter, originating from traffic and industry, may be related to chronic systemic inflammation providing a link to long-term health effects of particulate matter.","URL":"https://www.sciencedirect.com/science/article/pii/S0160412015001233","DOI":"10.1016/j.envint.2015.05.008","ISSN":"0160-4120","journalAbbreviation":"Environment International","author":[{"family":"Hampel","given":"Regina"},{"family":"Peters","given":"Annette"},{"family":"Beelen","given":"Rob"},{"family":"Brunekreef","given":"Bert"},{"family":"Cyrys","given":"Josef"},{"family":"Faire","given":"Ulf","non-dropping-particle":"de"},{"family":"Hoogh","given":"Kees","non-dropping-particle":"de"},{"family":"Fuks","given":"Kateryna"},{"family":"Hoffmann","given":"Barbara"},{"family":"Hüls","given":"Anke"},{"family":"Imboden","given":"Medea"},{"family":"Jedynska","given":"Aleksandra"},{"family":"Kooter","given":"Ingeborg"},{"family":"Koenig","given":"Wolfgang"},{"family":"Künzli","given":"Nino"},{"family":"Leander","given":"Karin"},{"family":"Magnusson","given":"Patrik"},{"family":"Männistö","given":"Satu"},{"family":"Penell","given":"Johanna"},{"family":"Pershagen","given":"Göran"},{"family":"Phuleria","given":"Harish"},{"family":"Probst-Hensch","given":"Nicole"},{"family":"Pundt","given":"Noreen"},{"family":"Schaffner","given":"Emmanuel"},{"family":"Schikowski","given":"Tamara"},{"family":"Sugiri","given":"Dorothea"},{"family":"Tiittanen","given":"Pekka"},{"family":"Tsai","given":"Ming-Yi"},{"family":"Wang","given":"Meng"},{"family":"Wolf","given":"Kathrin"},{"family":"Lanki","given":"Timo"}],"issued":{"date-parts":[["2015",9]]}}},{"id":1183,"uris":["http://zotero.org/users/2002443/items/HBHPBB22"],"uri":["http://zotero.org/users/2002443/items/HBHPBB22"],"itemData":{"id":1183,"type":"article-journal","title":"Size, source and chemical composition as determinants of toxicity attributable to ambient particulate matter","container-title":"Atmospheric Environment","page":"504-526","volume":"60","issue":"Supplement C","source":"ScienceDirect","abstract":"Particulate matter (PM) is a complex, heterogeneous mixture that changes in time and space. It encompasses many different chemical components and physical characteristics, many of which have been cited as potential contributors to toxicity. Each component has multiple sources, and each source generates multiple components. Identifying and quantifying the influences of specific components or source-related mixtures on measures of health-related impacts, especially when particles interact with other co-pollutants, therefore represents one of the most challenging areas of environmental health research. Current knowledge does not allow precise quantification or definitive ranking of the health effects of PM emissions from different sources or of individual PM components and indeed, associations may be the result of multiple components acting on different physiological mechanisms. Some results do suggest a degree of differential toxicity, namely more consistent associations with traffic-related PM emissions, fine and ultrafine particles, specific metals and elemental carbon and a range of serious health effects, including increased morbidity and mortality from cardiovascular and respiratory conditions. A carefully targeted programme of contemporary toxicological and epidemiological research, incorporating more refined approaches (e.g. greater speciation data, more refined modelling techniques, accurate exposure assessment and better definition of individual susceptibility) and optimal collaboration amongst multidisciplinary teams, is now needed to advance our understanding of the relative toxicity of particles from various sources, especially the components and reactions products of traffic. This will facilitate targeted abatement policies, more effective pollution control measures and ultimately, a reduction in the burden of disease attributable to ambient PM pollution.","URL":"http://www.sciencedirect.com/science/article/pii/S1352231012006024","DOI":"10.1016/j.atmosenv.2012.06.039","ISSN":"1352-2310","journalAbbreviation":"Atmospheric Environment","author":[{"family":"Kelly","given":"Frank J."},{"family":"Fussell","given":"Julia C."}],"issued":{"date-parts":[["2012",12,1]]}}},{"id":1215,"uris":["http://zotero.org/users/2002443/items/VPG6B3FJ"],"uri":["http://zotero.org/users/2002443/items/VPG6B3FJ"],"itemData":{"id":1215,"type":"article-journal","title":"Associations of Mortality with Long-Term Exposures to Fine and Ultrafine Particles, Species and Sources: Results from the California Teachers Study Cohort","container-title":"Environmental Health Perspectives","source":"CrossRef","URL":"http://ehp.niehs.nih.gov/1408565","DOI":"10.1289/ehp.1408565","ISSN":"0091-6765","title-short":"Associations of Mortality with Long-Term Exposures to Fine and Ultrafine Particles, Species and Sources","language":"en","author":[{"family":"Ostro","given":"Bart"},{"family":"Hu","given":"Jianlin"},{"family":"Goldberg","given":"Debbie"},{"family":"Reynolds","given":"Peggy"},{"family":"Hertz","given":"Andrew"},{"family":"Bernstein","given":"Leslie"},{"family":"Kleeman","given":"Michael J."}],"issued":{"date-parts":[["2015",1,23]]}}},{"id":1242,"uris":["http://zotero.org/users/2002443/items/WZBHFFW6"],"uri":["http://zotero.org/users/2002443/items/WZBHFFW6"],"itemData":{"id":1242,"type":"article-journal","title":"Emergency Admissions for Cardiovascular and Respiratory Diseases and the Chemical Composition of Fine Particle Air Pollution","container-title":"Environmental Health Perspectives","page":"957-963","volume":"117","issue":"6","source":"Web of Science","abstract":"BACKGROUND: Population-based studies have estimated health risks of short-term exposure to fine particles using mass of PM(2.5) (particulate matter &lt;= 2.5 mu m in aerodynamic diameter) as the indicator. Evidence regarding the toxicity of the chemical components of the PM(2.5) mixture is limited. OBJECTIVE: In this study we investigated the association between hospital admission for cardiovascular disease (CVD) and respiratory disease and the chemical components of PM(2.5) in the United States. METHODS: We used a national database comprising daily data for 2000-2006 on emergency hospital admissions for cardiovascular and respiratory outcomes, ambient levels of major PM(2.5) chemical components [sulfate, nitrate, silicon, elemental carbon (EC), organic carbon matter (OCM), and sodium and ammonium ions], and weather. Using Bayesian hierarchical statistical models, we estimated the associations between daily levels of PM(2.5) components and risk of hospital admissions in 119 U.S. urban communities for 12 million Medicare enrollees (&gt;= 65 years of age). RESULTS: In multiple-pollutant models that adjust for the levels of other pollutants, an interquartile range (IQR) increase in EC was associated with a 0.80% [95% posterior interval (PI), 0.34-1.27%] increase in risk of same-day cardiovascular admissions, and an IQR increase in OCM was associated with a 1.01% (95% PI, 0.04-1.98%) increase in risk of respiratory admissions on the same day. Other components were not associated with cardiovascular or respiratory hospital admissions in multiple-pollutant models. CONCLUSIONS: Ambient levels of EC and OCM, which are generated primarily from vehicle emissions, diesel, and wood burning, were associated with the largest risks of emergency hospitalization across the major chemical constituents Of PM(2.5).","DOI":"10.1289/ehp.0800185","ISSN":"0091-6765","note":"WOS:000266462600034","journalAbbreviation":"Environ. Health Perspect.","language":"English","author":[{"family":"Peng","given":"Roger D."},{"family":"Bell","given":"Michelle L."},{"family":"Geyh","given":"Alison S."},{"family":"McDermott","given":"Aidan"},{"family":"Zeger","given":"Scott L."},{"family":"Samet","given":"Jonathan M."},{"family":"Dominici","given":"Francesca"}],"issued":{"date-parts":[["2009",6]]}}},{"id":1206,"uris":["http://zotero.org/users/2002443/items/288FEGUR"],"uri":["http://zotero.org/users/2002443/items/288FEGUR"],"itemData":{"id":1206,"type":"article-journal","title":"Particulate matter air pollution components and risk for lung cancer","container-title":"Environment International","page":"66-73","volume":"87","issue":"Supplement C","source":"ScienceDirect","abstract":"Particulate matter (PM) air pollution is a human lung carcinogen; however, the components responsible have not been identified. We assessed the associations between PM components and lung cancer incidence. We used data from 14 cohort studies in eight European countries. We geocoded baseline addresses and assessed air pollution with land-use regression models for eight elements (Cu, Fe, K, Ni, S, Si, V and Zn) in size fractions of PM2.5 and PM10. We used Cox regression models with adjustment for potential confounders for cohort-specific analyses and random effect models for meta-analysis. The 245,782 cohort members contributed 3,229,220person–years at risk. During follow-up (mean, 13.1years), 1878 incident cases of lung cancer were diagnosed. In the meta-analyses, elevated hazard ratios (HRs) for lung cancer were associated with all elements except V; none was statistically significant. In analyses restricted to participants who did not change residence during follow-up, statistically significant associations were found for PM2.5 Cu (HR, 1.25; 95% CI, 1.01–1.53 per 5ng/m3), PM10 Zn (1.28; 1.02–1.59 per 20ng/m3), PM10 S (1.58; 1.03–2.44 per 200ng/m3), PM10 Ni (1.59; 1.12–2.26 per 2ng/m3) and PM10 K (1.17; 1.02–1.33 per 100ng/m3). In two-pollutant models, associations between PM10 and PM2.5 and lung cancer were largely explained by PM2.5 S. This study indicates that the association between PM in air pollution and lung cancer can be attributed to various PM components and sources. PM containing S and Ni might be particularly important.","URL":"http://www.sciencedirect.com/science/article/pii/S016041201530091X","DOI":"10.1016/j.envint.2015.11.007","ISSN":"0160-4120","journalAbbreviation":"Environment International","author":[{"family":"Raaschou-Nielsen","given":"O."},{"family":"Beelen","given":"R."},{"family":"Wang","given":"M."},{"family":"Hoek","given":"G."},{"family":"Andersen","given":"Z. J."},{"family":"Hoffmann","given":"B."},{"family":"Stafoggia","given":"M."},{"family":"Samoli","given":"E."},{"family":"Weinmayr","given":"G."},{"family":"Dimakopoulou","given":"K."},{"family":"Nieuwenhuijsen","given":"M."},{"family":"Xun","given":"W. W."},{"family":"Fischer","given":"P."},{"family":"Eriksen","given":"K. T."},{"family":"Sørensen","given":"M."},{"family":"Tjønneland","given":"A."},{"family":"Ricceri","given":"F."},{"family":"Hoogh","given":"K.","non-dropping-particle":"de"},{"family":"Key","given":"T."},{"family":"Eeftens","given":"M."},{"family":"Peeters","given":"P. H."},{"family":"Bueno-de-Mesquita","given":"H. B."},{"family":"Meliefste","given":"K."},{"family":"Oftedal","given":"B."},{"family":"Schwarze","given":"P. E."},{"family":"Nafstad","given":"P."},{"family":"Galassi","given":"C."},{"family":"Migliore","given":"E."},{"family":"Ranzi","given":"A."},{"family":"Cesaroni","given":"G."},{"family":"Badaloni","given":"C."},{"family":"Forastiere","given":"F."},{"family":"Penell","given":"J."},{"family":"De Faire","given":"U."},{"family":"Korek","given":"M."},{"family":"Pedersen","given":"N."},{"family":"Östenson","given":"C. -G."},{"family":"Pershagen","given":"G."},{"family":"Fratiglioni","given":"L."},{"family":"Concin","given":"H."},{"family":"Nagel","given":"G."},{"family":"Jaensch","given":"A."},{"family":"Ineichen","given":"A."},{"family":"Naccarati","given":"A."},{"family":"Katsoulis","given":"M."},{"family":"Trichpoulou","given":"A."},{"family":"Keuken","given":"M."},{"family":"Jedynska","given":"A."},{"family":"Kooter","given":"I. M."},{"family":"Kukkonen","given":"J."},{"family":"Brunekreef","given":"B."},{"family":"Sokhi","given":"R. S."},{"family":"Katsouyanni","given":"K."},{"family":"Vineis","given":"P."}],"issued":{"date-parts":[["2016",2,1]]}}},{"id":1186,"uris":["http://zotero.org/users/2002443/items/28AUCDBT"],"uri":["http://zotero.org/users/2002443/items/28AUCDBT"],"itemData":{"id":1186,"type":"article-journal","title":"Attributing health effects to apportioned components and sources of particulate matter: An evaluation of collective results","container-title":"Atmospheric Environment","page":"5655-5663","volume":"45","issue":"32","source":"ScienceDirect","abstract":"It has been hypothesized that the composition of particulate matter (PM) may be a better predictor of health effects than PM mass alone. The regional differences in PM composition and the heterogeneity in PM risk estimates in large multi-city epidemiologic studies are consistent with this hypothesis. Since 2005, efforts have been made to relate apportioned components and sources of PM with human health outcomes in epidemiology, controlled human exposure and toxicology studies. We reviewed published studies that: 1) focused on short-term exposure to PM; 2) included at least five components of PM; 3) grouped them into factors or sources; and 4) used quantitative methods to examine the relationship between the factors or sources and health effects. We then examined whether specific groups of PM components or sources of PM are consistently linked to specific health effects across studies. Collectively, these studies suggest that cardiovascular effects may be associated with PM2.5 from crustal or combustion sources, including traffic, but at this time, no consistent relationships have emerged. Fewer studies evaluated respiratory health effects, and the evidence for associations was limited. Apportionment methods have linked a variety of health effects to multiple groups of PM components and sources of PM, but the collective evidence has not yet isolated factors or sources that would be closely and unequivocally related to specific health outcomes.","URL":"http://www.sciencedirect.com/science/article/pii/S1352231011007485","DOI":"10.1016/j.atmosenv.2011.07.023","ISSN":"1352-2310","title-short":"Attributing health effects to apportioned components and sources of particulate matter","journalAbbreviation":"Atmospheric Environment","author":[{"family":"Stanek","given":"Lindsay Wichers"},{"family":"Sacks","given":"Jason D."},{"family":"Dutton","given":"Steven J."},{"family":"Dubois","given":"Jean-Jacques B."}],"issued":{"date-parts":[["2011",10,1]]}}},{"id":1220,"uris":["http://zotero.org/users/2002443/items/A87WVU2F"],"uri":["http://zotero.org/users/2002443/items/A87WVU2F"],"itemData":{"id":1220,"type":"article-journal","title":"Ischemic Heart Disease Mortality and Long-Term Exposure to Source-Related Components of U.S. Fine Particle Air Pollution","container-title":"Environmental Health Perspectives","volume":"124","issue":"6","source":"CrossRef","URL":"http://ehp.niehs.nih.gov/15-09777","DOI":"10.1289/ehp.1509777","ISSN":"0091-6765","author":[{"family":"Thurston","given":"George D."},{"family":"Burnett","given":"Richard T."},{"family":"Turner","given":"Michelle C."},{"family":"Shi","given":"Yuanli"},{"family":"Krewski","given":"Daniel"},{"family":"Lall","given":"Ramona"},{"family":"Ito","given":"Kazuhiko"},{"family":"Jerrett","given":"Michael"},{"family":"Gapstur","given":"Susan M."},{"family":"Diver","given":"W. Ryan"},{"family":"Pope","given":"C. Arden"}],"issued":{"date-parts":[["2015",12,2]]}}},{"id":1226,"uris":["http://zotero.org/users/2002443/items/VIUTTB86"],"uri":["http://zotero.org/users/2002443/items/VIUTTB86"],"itemData":{"id":1226,"type":"article-journal","title":"Long-term Exposure to PM2.5 and Mortality Among Older Adults in the Southeastern US:","container-title":"Epidemiology","page":"207-214","volume":"28","issue":"2","source":"CrossRef","URL":"http://Insights.ovid.com/crossref?an=00001648-201703000-00008","DOI":"10.1097/EDE.0000000000000614","ISSN":"1044-3983","title-short":"Long-term Exposure to PM2.5 and Mortality Among Older Adults in the Southeastern US","language":"en","author":[{"family":"Wang","given":"Yan"},{"family":"Shi","given":"Liuhua"},{"family":"Lee","given":"Mihye"},{"family":"Liu","given":"Pengfei"},{"family":"Di","given":"Qian"},{"family":"Zanobetti","given":"Antonella"},{"family":"Schwartz","given":"Joel D."}],"issued":{"date-parts":[["2017",3]]}}},{"id":1194,"uris":["http://zotero.org/users/2002443/items/6QU8UE5N"],"uri":["http://zotero.org/users/2002443/items/6QU8UE5N"],"itemData":{"id":1194,"type":"article-journal","title":"Long-term Exposure to Particulate Matter Constituents and the Incidence of Coronary Events in 11 European Cohorts","container-title":"Epidemiology","page":"565–574","volume":"26","issue":"4","source":"journals.lww.com","abstract":"Background: Long-term exposure to particulate matter (PM) has been associated with increased cardiovascular morbidity and mortality but little is known about the role of the chemical composition of PM. This study examined the association of residential long-term exposure to PM components with incident coronary events.\n        Methods: Eleven cohorts from Finland, Sweden, Denmark, Germany, and Italy participated in this analysis. 5,157 incident coronary events were identified within 100,166 persons followed on average for 11.5 years. Long-term residential concentrations of PM &lt; 10 μm (PM10), PM &lt; 2.5 μm (PM2.5), and a priori selected constituents (copper, iron, nickel, potassium, silicon, sulfur, vanadium, and zinc) were estimated with land-use regression models. We used Cox proportional hazard models adjusted for a common set of confounders to estimate cohort-specific component effects with and without including PM mass, and random effects meta-analyses to pool cohort-specific results.\n        Results: A 100 ng/m³ increase in PM10 K and a 50 ng/m³ increase in PM2.5 K were associated with a 6% (hazard ratio and 95% confidence interval: 1.06 [1.01, 1.12]) and 18% (1.18 [1.06, 1.32]) increase in coronary events. Estimates for PM10 Si and PM2.5 Fe were also elevated. All other PM constituents indicated a positive association with coronary events. When additionally adjusting for PM mass, the estimates decreased except for K.\n        Conclusions: This multicenter study of 11 European cohorts pointed to an association between long-term exposure to PM constituents and coronary events, especially for indicators of road dust.","URL":"http://journals.lww.com/epidem/pages/articleviewer.aspx?year=2015&amp;issue=07000&amp;article=00017&amp;type=abstract","DOI":"10.1097/EDE.0000000000000300","ISSN":"1044-3983","author":[{"family":"Wolf","given":"Kathrin"},{"family":"Stafoggia","given":"Massimo"},{"family":"Cesaroni","given":"Giulia"},{"family":"Andersen","given":"Zorana Jovanovic"},{"family":"Beelen","given":"Rob"},{"family":"Galassi","given":"Claudia"},{"family":"Hennig","given":"Frauke"},{"family":"Migliore","given":"Enrica"},{"family":"Penell","given":"Johanna"},{"family":"Ricceri","given":"Fulvio"},{"family":"Sørensen","given":"Mette"},{"family":"Turunen","given":"Anu W."},{"family":"Hampel","given":"Regina"},{"family":"Hoffmann","given":"Barbara"},{"family":"Kälsch","given":"Hagen"},{"family":"Laatikainen","given":"Tiina"},{"family":"Pershagen","given":"Göran"},{"family":"Raaschou-Nielsen","given":"Ole"},{"family":"Sacerdote","given":"Carlotta"},{"family":"Vineis","given":"Paolo"},{"family":"Badaloni","given":"Chiara"},{"family":"Cyrys","given":"Josef"},{"family":"Hoogh","given":"Kees","non-dropping-particle":"de"},{"family":"Eriksen","given":"Kirsten T."},{"family":"Jedynska","given":"Aleksandra"},{"family":"Keuken","given":"Menno"},{"family":"Kooter","given":"Ingeborg"},{"family":"Lanki","given":"Timo"},{"family":"Ranzi","given":"Andrea"},{"family":"Sugiri","given":"Dorothea"},{"family":"Tsai","given":"Ming-Yi"},{"family":"Wang","given":"Meng"},{"family":"Hoek","given":"Gerard"},{"family":"Brunekreef","given":"Bert"},{"family":"Peters","given":"Annette"},{"family":"Forastiere","given":"Francesco"}],"issued":{"date-parts":[["2015",7]]},"accessed":{"date-parts":[["2017",10,31]]}}}],"schema":"https://github.com/citation-style-language/schema/raw/master/csl-citation.json"} </w:instrText>
      </w:r>
      <w:r w:rsidR="0050247D">
        <w:rPr>
          <w:rFonts w:ascii="Times New Roman" w:hAnsi="Times New Roman" w:cs="Times New Roman"/>
          <w:sz w:val="24"/>
          <w:szCs w:val="24"/>
          <w:lang w:val="en-US"/>
        </w:rPr>
        <w:fldChar w:fldCharType="separate"/>
      </w:r>
      <w:r w:rsidR="00D02F59" w:rsidRPr="00D02F59">
        <w:rPr>
          <w:rFonts w:ascii="Times New Roman" w:hAnsi="Times New Roman" w:cs="Times New Roman"/>
          <w:sz w:val="24"/>
          <w:lang w:val="en-US"/>
        </w:rPr>
        <w:t>(Basu et al. 2014; Beelen et al. 2015; Eeftens et al. 2014; Hampel et al. 2015; Kelly and Fussell 2012; Ostro et al. 2015; Peng et al. 2009; Raaschou-Nielsen et al. 2016; Stanek et al. 2011; Thurston et al. 2015; Wang et al. 2017; Wolf et al. 2015)</w:t>
      </w:r>
      <w:r w:rsidR="0050247D">
        <w:rPr>
          <w:rFonts w:ascii="Times New Roman" w:hAnsi="Times New Roman" w:cs="Times New Roman"/>
          <w:sz w:val="24"/>
          <w:szCs w:val="24"/>
          <w:lang w:val="en-US"/>
        </w:rPr>
        <w:fldChar w:fldCharType="end"/>
      </w:r>
      <w:r w:rsidR="00E3095F">
        <w:rPr>
          <w:rFonts w:ascii="Times New Roman" w:hAnsi="Times New Roman" w:cs="Times New Roman"/>
          <w:sz w:val="24"/>
          <w:szCs w:val="24"/>
          <w:lang w:val="en-US"/>
        </w:rPr>
        <w:t>.</w:t>
      </w:r>
      <w:r w:rsidR="006D3219">
        <w:rPr>
          <w:rFonts w:ascii="Times New Roman" w:hAnsi="Times New Roman" w:cs="Times New Roman"/>
          <w:sz w:val="24"/>
          <w:szCs w:val="24"/>
          <w:lang w:val="en-US"/>
        </w:rPr>
        <w:t xml:space="preserve">  </w:t>
      </w:r>
    </w:p>
    <w:p w14:paraId="633F8275" w14:textId="26637372" w:rsidR="00467E05" w:rsidRPr="00943163" w:rsidRDefault="00272C99" w:rsidP="0094316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included o</w:t>
      </w:r>
      <w:r w:rsidR="00D2285B">
        <w:rPr>
          <w:rFonts w:ascii="Times New Roman" w:hAnsi="Times New Roman" w:cs="Times New Roman"/>
          <w:sz w:val="24"/>
          <w:szCs w:val="24"/>
          <w:lang w:val="en-US"/>
        </w:rPr>
        <w:t xml:space="preserve">nly </w:t>
      </w:r>
      <w:r w:rsidR="00A9294C">
        <w:rPr>
          <w:rFonts w:ascii="Times New Roman" w:hAnsi="Times New Roman" w:cs="Times New Roman"/>
          <w:sz w:val="24"/>
          <w:szCs w:val="24"/>
          <w:lang w:val="en-US"/>
        </w:rPr>
        <w:t xml:space="preserve">census tracts with </w:t>
      </w:r>
      <w:r w:rsidR="00D2285B">
        <w:rPr>
          <w:rFonts w:ascii="Times New Roman" w:hAnsi="Times New Roman" w:cs="Times New Roman"/>
          <w:sz w:val="24"/>
          <w:szCs w:val="24"/>
          <w:lang w:val="en-US"/>
        </w:rPr>
        <w:t>monitors that</w:t>
      </w:r>
      <w:r w:rsidR="00B1216D" w:rsidRPr="004549A1">
        <w:rPr>
          <w:rFonts w:ascii="Times New Roman" w:hAnsi="Times New Roman" w:cs="Times New Roman"/>
          <w:sz w:val="24"/>
          <w:szCs w:val="24"/>
          <w:lang w:val="en-US"/>
        </w:rPr>
        <w:t xml:space="preserve"> operated for </w:t>
      </w:r>
      <w:r w:rsidR="00B1216D" w:rsidRPr="004549A1">
        <w:rPr>
          <w:rFonts w:ascii="Times New Roman" w:hAnsi="Times New Roman" w:cs="Times New Roman"/>
          <w:color w:val="000000"/>
          <w:sz w:val="24"/>
          <w:szCs w:val="24"/>
          <w:shd w:val="clear" w:color="auto" w:fill="FFFFFF"/>
          <w:lang w:val="en-US"/>
        </w:rPr>
        <w:t>≥</w:t>
      </w:r>
      <w:r w:rsidR="00B1216D" w:rsidRPr="004549A1">
        <w:rPr>
          <w:rFonts w:ascii="Times New Roman" w:hAnsi="Times New Roman" w:cs="Times New Roman"/>
          <w:sz w:val="24"/>
          <w:szCs w:val="24"/>
          <w:lang w:val="en-US"/>
        </w:rPr>
        <w:t xml:space="preserve">3 years </w:t>
      </w:r>
      <w:r w:rsidR="007D326F">
        <w:rPr>
          <w:rFonts w:ascii="Times New Roman" w:hAnsi="Times New Roman" w:cs="Times New Roman"/>
          <w:sz w:val="24"/>
          <w:szCs w:val="24"/>
          <w:lang w:val="en-US"/>
        </w:rPr>
        <w:t>within the study period</w:t>
      </w:r>
      <w:r w:rsidR="00041B1C" w:rsidRPr="004549A1">
        <w:rPr>
          <w:rFonts w:ascii="Times New Roman" w:hAnsi="Times New Roman" w:cs="Times New Roman"/>
          <w:sz w:val="24"/>
          <w:szCs w:val="24"/>
          <w:lang w:val="en-US"/>
        </w:rPr>
        <w:t xml:space="preserve"> and </w:t>
      </w:r>
      <w:r w:rsidR="00B1216D" w:rsidRPr="004549A1">
        <w:rPr>
          <w:rFonts w:ascii="Times New Roman" w:hAnsi="Times New Roman" w:cs="Times New Roman"/>
          <w:sz w:val="24"/>
          <w:szCs w:val="24"/>
          <w:lang w:val="en-US"/>
        </w:rPr>
        <w:t xml:space="preserve">included </w:t>
      </w:r>
      <w:r w:rsidR="00B1216D" w:rsidRPr="004549A1">
        <w:rPr>
          <w:rFonts w:ascii="Times New Roman" w:hAnsi="Times New Roman" w:cs="Times New Roman"/>
          <w:color w:val="000000"/>
          <w:sz w:val="24"/>
          <w:szCs w:val="24"/>
          <w:shd w:val="clear" w:color="auto" w:fill="FFFFFF"/>
          <w:lang w:val="en-US"/>
        </w:rPr>
        <w:t>≥</w:t>
      </w:r>
      <w:r w:rsidR="00041B1C" w:rsidRPr="004549A1">
        <w:rPr>
          <w:rFonts w:ascii="Times New Roman" w:hAnsi="Times New Roman" w:cs="Times New Roman"/>
          <w:sz w:val="24"/>
          <w:szCs w:val="24"/>
          <w:lang w:val="en-US"/>
        </w:rPr>
        <w:t>180 days of observations for total PM</w:t>
      </w:r>
      <w:r w:rsidR="00C26DC1" w:rsidRPr="004549A1">
        <w:rPr>
          <w:rFonts w:ascii="Times New Roman" w:hAnsi="Times New Roman" w:cs="Times New Roman"/>
          <w:sz w:val="24"/>
          <w:szCs w:val="24"/>
          <w:vertAlign w:val="subscript"/>
          <w:lang w:val="en-US"/>
        </w:rPr>
        <w:t>2.5</w:t>
      </w:r>
      <w:r w:rsidR="00041B1C" w:rsidRPr="004549A1">
        <w:rPr>
          <w:rFonts w:ascii="Times New Roman" w:hAnsi="Times New Roman" w:cs="Times New Roman"/>
          <w:sz w:val="24"/>
          <w:szCs w:val="24"/>
          <w:lang w:val="en-US"/>
        </w:rPr>
        <w:t xml:space="preserve"> </w:t>
      </w:r>
      <w:r w:rsidR="007D326F">
        <w:rPr>
          <w:rFonts w:ascii="Times New Roman" w:hAnsi="Times New Roman" w:cs="Times New Roman"/>
          <w:sz w:val="24"/>
          <w:szCs w:val="24"/>
          <w:lang w:val="en-US"/>
        </w:rPr>
        <w:t xml:space="preserve">or </w:t>
      </w:r>
      <w:commentRangeStart w:id="8"/>
      <w:r w:rsidR="007D326F">
        <w:rPr>
          <w:rFonts w:ascii="Times New Roman" w:hAnsi="Times New Roman" w:cs="Times New Roman"/>
          <w:sz w:val="24"/>
          <w:szCs w:val="24"/>
          <w:lang w:val="en-US"/>
        </w:rPr>
        <w:t>at least one component</w:t>
      </w:r>
      <w:r w:rsidR="00041B1C" w:rsidRPr="004549A1">
        <w:rPr>
          <w:rFonts w:ascii="Times New Roman" w:hAnsi="Times New Roman" w:cs="Times New Roman"/>
          <w:sz w:val="24"/>
          <w:szCs w:val="24"/>
          <w:lang w:val="en-US"/>
        </w:rPr>
        <w:t xml:space="preserve"> of interest within the study period</w:t>
      </w:r>
      <w:r w:rsidR="001A2F55">
        <w:rPr>
          <w:rFonts w:ascii="Times New Roman" w:hAnsi="Times New Roman" w:cs="Times New Roman"/>
          <w:sz w:val="24"/>
          <w:szCs w:val="24"/>
          <w:lang w:val="en-US"/>
        </w:rPr>
        <w:t xml:space="preserve"> </w:t>
      </w:r>
      <w:commentRangeEnd w:id="8"/>
      <w:r w:rsidR="00B00CB6">
        <w:rPr>
          <w:rStyle w:val="CommentReference"/>
        </w:rPr>
        <w:commentReference w:id="8"/>
      </w:r>
      <w:r w:rsidR="001A2F55">
        <w:rPr>
          <w:rFonts w:ascii="Times New Roman" w:hAnsi="Times New Roman" w:cs="Times New Roman"/>
          <w:sz w:val="24"/>
          <w:szCs w:val="24"/>
          <w:lang w:val="en-US"/>
        </w:rPr>
        <w:t>(Table 1, Figure 1)</w:t>
      </w:r>
      <w:r w:rsidR="00041B1C" w:rsidRPr="004549A1">
        <w:rPr>
          <w:rFonts w:ascii="Times New Roman" w:hAnsi="Times New Roman" w:cs="Times New Roman"/>
          <w:sz w:val="24"/>
          <w:szCs w:val="24"/>
          <w:lang w:val="en-US"/>
        </w:rPr>
        <w:t>.</w:t>
      </w:r>
      <w:r w:rsidR="00467E05" w:rsidRPr="004549A1">
        <w:rPr>
          <w:rFonts w:ascii="Times New Roman" w:hAnsi="Times New Roman" w:cs="Times New Roman"/>
          <w:sz w:val="24"/>
          <w:szCs w:val="24"/>
          <w:lang w:val="en-US"/>
        </w:rPr>
        <w:t xml:space="preserve">  </w:t>
      </w:r>
      <w:commentRangeStart w:id="9"/>
      <w:r w:rsidR="001A2F55">
        <w:rPr>
          <w:rFonts w:ascii="Times New Roman" w:hAnsi="Times New Roman" w:cs="Times New Roman"/>
          <w:sz w:val="24"/>
          <w:szCs w:val="24"/>
          <w:lang w:val="en-US"/>
        </w:rPr>
        <w:t>We examined detection rates among observations for total PM2.5 and each component using m</w:t>
      </w:r>
      <w:r w:rsidR="00943163">
        <w:rPr>
          <w:rFonts w:ascii="Times New Roman" w:hAnsi="Times New Roman" w:cs="Times New Roman"/>
          <w:sz w:val="24"/>
          <w:szCs w:val="24"/>
          <w:lang w:val="en-US"/>
        </w:rPr>
        <w:t>ethod</w:t>
      </w:r>
      <w:r w:rsidR="001A2F55">
        <w:rPr>
          <w:rFonts w:ascii="Times New Roman" w:hAnsi="Times New Roman" w:cs="Times New Roman"/>
          <w:sz w:val="24"/>
          <w:szCs w:val="24"/>
          <w:lang w:val="en-US"/>
        </w:rPr>
        <w:t xml:space="preserve"> detection limits (MDL) published by the EPA </w:t>
      </w:r>
      <w:r w:rsidR="001A2F55">
        <w:rPr>
          <w:rFonts w:ascii="Times New Roman" w:hAnsi="Times New Roman" w:cs="Times New Roman"/>
          <w:sz w:val="24"/>
          <w:szCs w:val="24"/>
          <w:lang w:val="en-US"/>
        </w:rPr>
        <w:fldChar w:fldCharType="begin"/>
      </w:r>
      <w:r w:rsidR="001A2F55">
        <w:rPr>
          <w:rFonts w:ascii="Times New Roman" w:hAnsi="Times New Roman" w:cs="Times New Roman"/>
          <w:sz w:val="24"/>
          <w:szCs w:val="24"/>
          <w:lang w:val="en-US"/>
        </w:rPr>
        <w:instrText xml:space="preserve"> ADDIN ZOTERO_ITEM CSL_CITATION {"citationID":"2UgoKlS7","properties":{"formattedCitation":"(Solomon et al. 2014)","plainCitation":"(Solomon et al. 2014)","noteIndex":0},"citationItems":[{"id":1989,"uris":["http://zotero.org/users/2002443/items/TMASB3D5"],"uri":["http://zotero.org/users/2002443/items/TMASB3D5"],"itemData":{"id":1989,"type":"article-journal","title":"U.S. National PM2.5 Chemical Speciation Monitoring Networks—CSN and IMPROVE: Description of networks","container-title":"Journal of the Air &amp; Waste Management Association","page":"1410-1438","volume":"64","issue":"12","source":"Taylor and Francis+NEJM","abstract":"The U.S. Environmental Protection Agency (EPA) initiated the national PM2.5 Chemical Speciation Monitoring Network (CSN) in 2000 to support evaluation of long-term trends and to better quantify the impact of sources on particulate matter (PM) concentrations in the size range below 2.5 μm aerodynamic diameter (PM2.5; fine particles). The network peaked at more than 260 sites in 2005. In response to the 1999 Regional Haze Rule and the need to better understand the regional transport of PM, EPA also augmented the long-existing Interagency Monitoring of Protected Visual Environments (IMPROVE) visibility monitoring network in 2000, adding nearly 100 additional IMPROVE sites in rural Class 1 Areas across the country. Both networks measure the major chemical components of PM2.5 using historically accepted filter-based methods. Components measured by both networks include major anions, carbonaceous material, and a series of trace elements. CSN also measures ammonium and other cations directly, whereas IMPROVE estimates ammonium assuming complete neutralization of the measured sulfate and nitrate. IMPROVE also measures chloride and nitrite. In general, the field and laboratory approaches used in the two networks are similar; however, there are numerous, often subtle differences in sampling and chemical analysis methods, shipping, and quality control practices. These could potentially affect merging the two data sets when used to understand better the impact of sources on PM concentrations and the regional nature and long-range transport of PM2.5. This paper describes, for the first time in the peer-reviewed literature, these networks as they have existed since 2000, outlines differences in field and laboratory approaches, provides a summary of the analytical parameters that address data uncertainty, and summarizes major network changes since the inception of CSN. ImplicationsTwo long-term chemical speciation particle monitoring networks have operated simultaneously in the United States since 2001, when the EPA began regular operations of its PM2.5 Chemical Speciation Monitoring Network (IMPROVE began in 1988). These networks use similar field sampling and analytical methods, but there are numerous, often subtle differences in equipment and methodologies that can affect the results. This paper describes these networks since 2000 (inception of CSN) and their differences, and summarizes the analytical parameters that address data uncertainty, providing researchers and policymakers with background information they may need (e.g., for 2018 PM2.5 designation and State Implementation Plan process; McCarthy, 2013) to assess results from each network and decide how these data sets can be mutually employed for enhanced analyses. Changes in CSN and IMPROVE that have occurred over the years also are described.","URL":"https://doi.org/10.1080/10962247.2014.956904","DOI":"10.1080/10962247.2014.956904","ISSN":"1096-2247","title-short":"U.S. National PM2.5 Chemical Speciation Monitoring Networks—CSN and IMPROVE","author":[{"family":"Solomon","given":"Paul A."},{"family":"Crumpler","given":"Dennis"},{"family":"Flanagan","given":"James B."},{"family":"Jayanty","given":"R. K. M."},{"family":"Rickman","given":"Ed E."},{"family":"McDade","given":"Charles E."}],"issued":{"date-parts":[["2014",12,2]]}}}],"schema":"https://github.com/citation-style-language/schema/raw/master/csl-citation.json"} </w:instrText>
      </w:r>
      <w:r w:rsidR="001A2F55">
        <w:rPr>
          <w:rFonts w:ascii="Times New Roman" w:hAnsi="Times New Roman" w:cs="Times New Roman"/>
          <w:sz w:val="24"/>
          <w:szCs w:val="24"/>
          <w:lang w:val="en-US"/>
        </w:rPr>
        <w:fldChar w:fldCharType="separate"/>
      </w:r>
      <w:r w:rsidR="001A2F55" w:rsidRPr="001A2F55">
        <w:rPr>
          <w:rFonts w:ascii="Times New Roman" w:hAnsi="Times New Roman" w:cs="Times New Roman"/>
          <w:sz w:val="24"/>
          <w:lang w:val="en-US"/>
        </w:rPr>
        <w:t>(Solomon et al. 2014)</w:t>
      </w:r>
      <w:r w:rsidR="001A2F55">
        <w:rPr>
          <w:rFonts w:ascii="Times New Roman" w:hAnsi="Times New Roman" w:cs="Times New Roman"/>
          <w:sz w:val="24"/>
          <w:szCs w:val="24"/>
          <w:lang w:val="en-US"/>
        </w:rPr>
        <w:fldChar w:fldCharType="end"/>
      </w:r>
      <w:r w:rsidR="001A2F55">
        <w:rPr>
          <w:rFonts w:ascii="Times New Roman" w:hAnsi="Times New Roman" w:cs="Times New Roman"/>
          <w:sz w:val="24"/>
          <w:szCs w:val="24"/>
          <w:lang w:val="en-US"/>
        </w:rPr>
        <w:t xml:space="preserve"> for each component and monitoring method (Table 1, Figure 2).</w:t>
      </w:r>
      <w:commentRangeEnd w:id="9"/>
      <w:r w:rsidR="001A2F55">
        <w:rPr>
          <w:rStyle w:val="CommentReference"/>
        </w:rPr>
        <w:commentReference w:id="9"/>
      </w:r>
      <w:r w:rsidR="001A2F55">
        <w:rPr>
          <w:rFonts w:ascii="Times New Roman" w:hAnsi="Times New Roman" w:cs="Times New Roman"/>
          <w:sz w:val="24"/>
          <w:szCs w:val="24"/>
          <w:lang w:val="en-US"/>
        </w:rPr>
        <w:t xml:space="preserve">  For observations of zero, below zero, or below the MDL, we used the data as provided by the EPA.  </w:t>
      </w:r>
      <w:r w:rsidR="00E3095F">
        <w:rPr>
          <w:rFonts w:ascii="Times New Roman" w:hAnsi="Times New Roman" w:cs="Times New Roman"/>
          <w:sz w:val="24"/>
          <w:szCs w:val="24"/>
          <w:lang w:val="en-US"/>
        </w:rPr>
        <w:t xml:space="preserve">As </w:t>
      </w:r>
      <w:r w:rsidR="003F2D40">
        <w:rPr>
          <w:rFonts w:ascii="Times New Roman" w:hAnsi="Times New Roman" w:cs="Times New Roman"/>
          <w:sz w:val="24"/>
          <w:szCs w:val="24"/>
          <w:lang w:val="en-US"/>
        </w:rPr>
        <w:t xml:space="preserve">some monitors measured </w:t>
      </w:r>
      <w:r w:rsidR="00E3095F">
        <w:rPr>
          <w:rFonts w:ascii="Times New Roman" w:hAnsi="Times New Roman" w:cs="Times New Roman"/>
          <w:sz w:val="24"/>
          <w:szCs w:val="24"/>
          <w:lang w:val="en-US"/>
        </w:rPr>
        <w:t xml:space="preserve">EC </w:t>
      </w:r>
      <w:r w:rsidR="003F2D40">
        <w:rPr>
          <w:rFonts w:ascii="Times New Roman" w:hAnsi="Times New Roman" w:cs="Times New Roman"/>
          <w:sz w:val="24"/>
          <w:szCs w:val="24"/>
          <w:lang w:val="en-US"/>
        </w:rPr>
        <w:t>according to</w:t>
      </w:r>
      <w:r w:rsidR="00E3095F">
        <w:rPr>
          <w:rFonts w:ascii="Times New Roman" w:hAnsi="Times New Roman" w:cs="Times New Roman"/>
          <w:sz w:val="24"/>
          <w:szCs w:val="24"/>
          <w:lang w:val="en-US"/>
        </w:rPr>
        <w:t xml:space="preserve"> the thermal/optical transmittance (TOT) method </w:t>
      </w:r>
      <w:r w:rsidR="003F2D40">
        <w:rPr>
          <w:rFonts w:ascii="Times New Roman" w:hAnsi="Times New Roman" w:cs="Times New Roman"/>
          <w:sz w:val="24"/>
          <w:szCs w:val="24"/>
          <w:lang w:val="en-US"/>
        </w:rPr>
        <w:t>and others according to the</w:t>
      </w:r>
      <w:r w:rsidR="00E3095F">
        <w:rPr>
          <w:rFonts w:ascii="Times New Roman" w:hAnsi="Times New Roman" w:cs="Times New Roman"/>
          <w:sz w:val="24"/>
          <w:szCs w:val="24"/>
          <w:lang w:val="en-US"/>
        </w:rPr>
        <w:t xml:space="preserve"> thermal/optical reflectance (TOR) method, </w:t>
      </w:r>
      <w:r>
        <w:rPr>
          <w:rFonts w:ascii="Times New Roman" w:hAnsi="Times New Roman" w:cs="Times New Roman"/>
          <w:sz w:val="24"/>
          <w:szCs w:val="24"/>
          <w:lang w:val="en-US"/>
        </w:rPr>
        <w:t xml:space="preserve">we multiplied </w:t>
      </w:r>
      <w:r w:rsidR="00E3095F">
        <w:rPr>
          <w:rFonts w:ascii="Times New Roman" w:hAnsi="Times New Roman" w:cs="Times New Roman"/>
          <w:sz w:val="24"/>
          <w:szCs w:val="24"/>
          <w:lang w:val="en-US"/>
        </w:rPr>
        <w:t xml:space="preserve">TOT EC by 1.3 to approximate TOR EC values as </w:t>
      </w:r>
      <w:r w:rsidR="00E3095F">
        <w:rPr>
          <w:rFonts w:ascii="Times New Roman" w:hAnsi="Times New Roman" w:cs="Times New Roman"/>
          <w:sz w:val="24"/>
          <w:szCs w:val="24"/>
          <w:lang w:val="en-US"/>
        </w:rPr>
        <w:lastRenderedPageBreak/>
        <w:t xml:space="preserve">recommended by </w:t>
      </w:r>
      <w:r w:rsidR="00E3095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{"citationID":"a2ate6r0crd","properties":{"formattedCitation":"(Malm et al. 2011)","plainCitation":"(Malm et al. 2011)","dontUpdate":true,"noteIndex":0},"citationItems":[{"id":1043,"uris":["http://zotero.org/users/2002443/items/XUNG6HU4"],"uri":["http://zotero.org/users/2002443/items/XUNG6HU4"],"itemData":{"id":1043,"type":"article-journal","title":"Uncertainties in PM2.5 gravimetric and speciation measurements and what we can learn from them","container-title":"Journal of the Air &amp; Waste Management Association (1995)","page":"1131-1149","volume":"61","issue":"11","source":"PubMed","abstract":"The U.S. Environmental Protection Agency (EPA) and the federal land management community (National Park Service, United States Fish and Wildlife Service, United States Forest Service, and Bureau of Land Management) operate extensive particle speciation monitoring networks that are similar in design but are operated for different objectives. Compliance (mass only) monitoring is also carried out using federal reference method (FRM) criteria at approximately 1000 sites. The Chemical Speciation Network (CSN) consists of approximately 50 long-term-trend sites, with about another 250 sites that have been or are currently operated by state and local agencies. The sites are located in urban or suburban settings. The Interagency Monitoring of Protected Visual Environments (IMPROVE) monitoring network consists of about 181 sites, approximately 170 of which are in nonurban areas. Each monitoring approach has its own inherent monitoring limitations and biases. Determination of gravimetric mass has both negative and positive artifacts. Ammonium nitrate and other semivolatiles are lost during sampling, whereas, on the other hand, measured mass includes particle-bound water. Furthermore, some species may react with atmospheric gases, further increasing the positive mass artifact. Estimating aerosol species concentrations requires assumptions concerning the chemical form of various molecular compounds, such as nitrates and sulfates, and organic material and soil composition. Comparing data collected in the various monitoring networks allows for assessing uncertainties and biases associated with both negative and positive artifacts of gravimetric mass determinations, assumptions of chemical composition, and biases between different sampler technologies. All these biases are shown to have systematic seasonal characteristics. Unaccounted-for particle-bound water tends to be higher in the summer, as does nitrate volatilization. The ratio of particle organic mass divided by organic carbon mass (Roc) is higher during summer and lower during the winter seasons in both CSN and IMPROVE networks, and Roc is lower in urban than non-urban environments.","ISSN":"1096-2247","note":"PMID: 22168097","journalAbbreviation":"J Air Waste Manag Assoc","language":"eng","author":[{"family":"Malm","given":"William C."},{"family":"Schichtel","given":"Bret A."},{"family":"Pitchford","given":"Marc L."}],"issued":{"date-parts":[["2011",11]]}}}],"schema":"https://github.com/citation-style-language/schema/raw/master/csl-citation.json"} </w:instrText>
      </w:r>
      <w:r w:rsidR="00E3095F">
        <w:rPr>
          <w:rFonts w:ascii="Times New Roman" w:hAnsi="Times New Roman" w:cs="Times New Roman"/>
          <w:sz w:val="24"/>
          <w:szCs w:val="24"/>
          <w:lang w:val="en-US"/>
        </w:rPr>
        <w:fldChar w:fldCharType="separate"/>
      </w:r>
      <w:r w:rsidR="00E3095F" w:rsidRPr="00E3095F">
        <w:rPr>
          <w:rFonts w:ascii="Times New Roman" w:hAnsi="Times New Roman" w:cs="Times New Roman"/>
          <w:sz w:val="24"/>
          <w:lang w:val="en-US"/>
        </w:rPr>
        <w:t>Malm et al. 2011</w:t>
      </w:r>
      <w:r w:rsidR="00E3095F">
        <w:rPr>
          <w:rFonts w:ascii="Times New Roman" w:hAnsi="Times New Roman" w:cs="Times New Roman"/>
          <w:sz w:val="24"/>
          <w:szCs w:val="24"/>
          <w:lang w:val="en-US"/>
        </w:rPr>
        <w:fldChar w:fldCharType="end"/>
      </w:r>
      <w:r w:rsidR="00E3095F">
        <w:rPr>
          <w:rFonts w:ascii="Times New Roman" w:hAnsi="Times New Roman" w:cs="Times New Roman"/>
          <w:sz w:val="24"/>
          <w:szCs w:val="24"/>
          <w:lang w:val="en-US"/>
        </w:rPr>
        <w:t xml:space="preserve">. </w:t>
      </w:r>
      <w:r w:rsidR="00E3095F" w:rsidRPr="004549A1">
        <w:rPr>
          <w:rFonts w:ascii="Times New Roman" w:hAnsi="Times New Roman" w:cs="Times New Roman"/>
          <w:sz w:val="24"/>
          <w:szCs w:val="24"/>
          <w:lang w:val="en-US"/>
        </w:rPr>
        <w:t xml:space="preserve"> </w:t>
      </w:r>
      <w:r w:rsidR="00493BA5">
        <w:rPr>
          <w:rFonts w:ascii="Times New Roman" w:hAnsi="Times New Roman" w:cs="Times New Roman"/>
          <w:sz w:val="24"/>
          <w:szCs w:val="24"/>
          <w:lang w:val="en-US"/>
        </w:rPr>
        <w:t>We only included monitors for total PM</w:t>
      </w:r>
      <w:r w:rsidR="00493BA5" w:rsidRPr="00493BA5">
        <w:rPr>
          <w:rFonts w:ascii="Times New Roman" w:hAnsi="Times New Roman" w:cs="Times New Roman"/>
          <w:sz w:val="24"/>
          <w:szCs w:val="24"/>
          <w:vertAlign w:val="subscript"/>
          <w:lang w:val="en-US"/>
        </w:rPr>
        <w:t>2.5</w:t>
      </w:r>
      <w:r w:rsidR="00493BA5">
        <w:rPr>
          <w:rFonts w:ascii="Times New Roman" w:hAnsi="Times New Roman" w:cs="Times New Roman"/>
          <w:sz w:val="24"/>
          <w:szCs w:val="24"/>
          <w:lang w:val="en-US"/>
        </w:rPr>
        <w:t xml:space="preserve"> that used</w:t>
      </w:r>
      <w:r w:rsidR="008F0560">
        <w:rPr>
          <w:rFonts w:ascii="Times New Roman" w:hAnsi="Times New Roman" w:cs="Times New Roman"/>
          <w:sz w:val="24"/>
          <w:szCs w:val="24"/>
          <w:lang w:val="en-US"/>
        </w:rPr>
        <w:t xml:space="preserve"> the federal reference method (FRM) in the analysis.  </w:t>
      </w:r>
      <w:r w:rsidR="00493BA5">
        <w:rPr>
          <w:rFonts w:ascii="Times New Roman" w:hAnsi="Times New Roman" w:cs="Times New Roman"/>
          <w:sz w:val="24"/>
          <w:szCs w:val="24"/>
          <w:lang w:val="en-US"/>
        </w:rPr>
        <w:t>We matched p</w:t>
      </w:r>
      <w:commentRangeStart w:id="10"/>
      <w:r w:rsidR="00467E05" w:rsidRPr="004549A1">
        <w:rPr>
          <w:rFonts w:ascii="Times New Roman" w:hAnsi="Times New Roman" w:cs="Times New Roman"/>
          <w:sz w:val="24"/>
          <w:szCs w:val="24"/>
          <w:lang w:val="en-US"/>
        </w:rPr>
        <w:t>ollutant</w:t>
      </w:r>
      <w:commentRangeEnd w:id="10"/>
      <w:r w:rsidR="00467E05" w:rsidRPr="004549A1">
        <w:rPr>
          <w:rStyle w:val="CommentReference"/>
          <w:rFonts w:ascii="Times New Roman" w:hAnsi="Times New Roman" w:cs="Times New Roman"/>
        </w:rPr>
        <w:commentReference w:id="10"/>
      </w:r>
      <w:r w:rsidR="00467E05" w:rsidRPr="004549A1">
        <w:rPr>
          <w:rFonts w:ascii="Times New Roman" w:hAnsi="Times New Roman" w:cs="Times New Roman"/>
          <w:sz w:val="24"/>
          <w:szCs w:val="24"/>
          <w:lang w:val="en-US"/>
        </w:rPr>
        <w:t xml:space="preserve"> monitors to their containing 2010 </w:t>
      </w:r>
      <w:r w:rsidR="006D0FD5">
        <w:rPr>
          <w:rFonts w:ascii="Times New Roman" w:hAnsi="Times New Roman" w:cs="Times New Roman"/>
          <w:sz w:val="24"/>
          <w:szCs w:val="24"/>
          <w:lang w:val="en-US"/>
        </w:rPr>
        <w:t>US</w:t>
      </w:r>
      <w:r w:rsidR="00467E05" w:rsidRPr="004549A1">
        <w:rPr>
          <w:rFonts w:ascii="Times New Roman" w:hAnsi="Times New Roman" w:cs="Times New Roman"/>
          <w:sz w:val="24"/>
          <w:szCs w:val="24"/>
          <w:lang w:val="en-US"/>
        </w:rPr>
        <w:t xml:space="preserve"> Census tracts</w:t>
      </w:r>
      <w:r w:rsidR="00493BA5">
        <w:rPr>
          <w:rFonts w:ascii="Times New Roman" w:hAnsi="Times New Roman" w:cs="Times New Roman"/>
          <w:sz w:val="24"/>
          <w:szCs w:val="24"/>
          <w:lang w:val="en-US"/>
        </w:rPr>
        <w:t xml:space="preserve"> and calculated </w:t>
      </w:r>
      <w:r w:rsidR="00467E05" w:rsidRPr="004549A1">
        <w:rPr>
          <w:rFonts w:ascii="Times New Roman" w:hAnsi="Times New Roman" w:cs="Times New Roman"/>
          <w:sz w:val="24"/>
          <w:szCs w:val="24"/>
          <w:lang w:val="en-US"/>
        </w:rPr>
        <w:t>total PM</w:t>
      </w:r>
      <w:r w:rsidR="00C26DC1" w:rsidRPr="004549A1">
        <w:rPr>
          <w:rFonts w:ascii="Times New Roman" w:hAnsi="Times New Roman" w:cs="Times New Roman"/>
          <w:sz w:val="24"/>
          <w:szCs w:val="24"/>
          <w:vertAlign w:val="subscript"/>
          <w:lang w:val="en-US"/>
        </w:rPr>
        <w:t>2.5</w:t>
      </w:r>
      <w:r w:rsidR="00467E05" w:rsidRPr="004549A1">
        <w:rPr>
          <w:rFonts w:ascii="Times New Roman" w:hAnsi="Times New Roman" w:cs="Times New Roman"/>
          <w:sz w:val="24"/>
          <w:szCs w:val="24"/>
          <w:lang w:val="en-US"/>
        </w:rPr>
        <w:t xml:space="preserve"> and individual component levels </w:t>
      </w:r>
      <w:r w:rsidR="00493BA5">
        <w:rPr>
          <w:rFonts w:ascii="Times New Roman" w:hAnsi="Times New Roman" w:cs="Times New Roman"/>
          <w:sz w:val="24"/>
          <w:szCs w:val="24"/>
          <w:lang w:val="en-US"/>
        </w:rPr>
        <w:t>for each</w:t>
      </w:r>
      <w:r w:rsidR="00467E05" w:rsidRPr="004549A1">
        <w:rPr>
          <w:rFonts w:ascii="Times New Roman" w:hAnsi="Times New Roman" w:cs="Times New Roman"/>
          <w:sz w:val="24"/>
          <w:szCs w:val="24"/>
          <w:lang w:val="en-US"/>
        </w:rPr>
        <w:t xml:space="preserve"> tract using data from all available days for all monitors within that census tract.</w:t>
      </w:r>
    </w:p>
    <w:p w14:paraId="1B1F199E" w14:textId="478EF63C" w:rsidR="006E5A35" w:rsidRPr="004549A1" w:rsidRDefault="006E5A35" w:rsidP="009747C5">
      <w:pPr>
        <w:spacing w:line="480" w:lineRule="auto"/>
        <w:rPr>
          <w:rFonts w:ascii="Times New Roman" w:hAnsi="Times New Roman" w:cs="Times New Roman"/>
          <w:i/>
          <w:sz w:val="24"/>
          <w:szCs w:val="24"/>
          <w:lang w:val="en-US"/>
        </w:rPr>
      </w:pPr>
      <w:commentRangeStart w:id="11"/>
      <w:r w:rsidRPr="004549A1">
        <w:rPr>
          <w:rFonts w:ascii="Times New Roman" w:hAnsi="Times New Roman" w:cs="Times New Roman"/>
          <w:i/>
          <w:sz w:val="24"/>
          <w:szCs w:val="24"/>
          <w:lang w:val="en-US"/>
        </w:rPr>
        <w:t>Sociodemographic data</w:t>
      </w:r>
      <w:commentRangeEnd w:id="11"/>
      <w:r w:rsidR="00084BCE">
        <w:rPr>
          <w:rStyle w:val="CommentReference"/>
        </w:rPr>
        <w:commentReference w:id="11"/>
      </w:r>
    </w:p>
    <w:p w14:paraId="3A64BB64" w14:textId="6CB60F25" w:rsidR="000F414E" w:rsidRPr="004549A1" w:rsidRDefault="00A2545F" w:rsidP="002C6FE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obtained d</w:t>
      </w:r>
      <w:r w:rsidR="002C6FE9" w:rsidRPr="004549A1">
        <w:rPr>
          <w:rFonts w:ascii="Times New Roman" w:hAnsi="Times New Roman" w:cs="Times New Roman"/>
          <w:sz w:val="24"/>
          <w:szCs w:val="24"/>
          <w:lang w:val="en-US"/>
        </w:rPr>
        <w:t xml:space="preserve">ata on total population, race, ethnicity, and age from the 2010 </w:t>
      </w:r>
      <w:r w:rsidR="006D0FD5">
        <w:rPr>
          <w:rFonts w:ascii="Times New Roman" w:hAnsi="Times New Roman" w:cs="Times New Roman"/>
          <w:sz w:val="24"/>
          <w:szCs w:val="24"/>
          <w:lang w:val="en-US"/>
        </w:rPr>
        <w:t>US</w:t>
      </w:r>
      <w:r w:rsidR="002C6FE9" w:rsidRPr="004549A1">
        <w:rPr>
          <w:rFonts w:ascii="Times New Roman" w:hAnsi="Times New Roman" w:cs="Times New Roman"/>
          <w:sz w:val="24"/>
          <w:szCs w:val="24"/>
          <w:lang w:val="en-US"/>
        </w:rPr>
        <w:t xml:space="preserve"> Census for each census tract</w:t>
      </w:r>
      <w:r w:rsidR="00307761" w:rsidRPr="004549A1">
        <w:rPr>
          <w:rFonts w:ascii="Times New Roman" w:hAnsi="Times New Roman" w:cs="Times New Roman"/>
          <w:sz w:val="24"/>
          <w:szCs w:val="24"/>
          <w:lang w:val="en-US"/>
        </w:rPr>
        <w:t xml:space="preserve"> </w:t>
      </w:r>
      <w:r w:rsidR="00307761"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{"citationID":"a5eorbqq25","properties":{"formattedCitation":"(U.S. Census Bureau 2011)","plainCitation":"(U.S. Census Bureau 2011)","noteIndex":0},"citationItems":[{"id":1173,"uris":["http://zotero.org/users/2002443/items/GWS8EEAU"],"uri":["http://zotero.org/users/2002443/items/GWS8EEAU"],"itemData":{"id":1173,"type":"webpage","title":"2010 Census of Population and Housing","URL":"https://www.census.gov/2010census/data/","author":[{"family":"U.S. Census Bureau","given":""}],"issued":{"date-parts":[["2011"]]},"accessed":{"date-parts":[["2017",8,18]]}}}],"schema":"https://github.com/citation-style-language/schema/raw/master/csl-citation.json"} </w:instrText>
      </w:r>
      <w:r w:rsidR="00307761" w:rsidRPr="004549A1">
        <w:rPr>
          <w:rFonts w:ascii="Times New Roman" w:hAnsi="Times New Roman" w:cs="Times New Roman"/>
          <w:sz w:val="24"/>
          <w:szCs w:val="24"/>
          <w:lang w:val="en-US"/>
        </w:rPr>
        <w:fldChar w:fldCharType="separate"/>
      </w:r>
      <w:r w:rsidR="00E92160" w:rsidRPr="007D326F">
        <w:rPr>
          <w:rFonts w:ascii="Times New Roman" w:hAnsi="Times New Roman" w:cs="Times New Roman"/>
          <w:sz w:val="24"/>
          <w:lang w:val="en-US"/>
        </w:rPr>
        <w:t>(</w:t>
      </w:r>
      <w:r w:rsidR="006D0FD5">
        <w:rPr>
          <w:rFonts w:ascii="Times New Roman" w:hAnsi="Times New Roman" w:cs="Times New Roman"/>
          <w:sz w:val="24"/>
          <w:lang w:val="en-US"/>
        </w:rPr>
        <w:t>US</w:t>
      </w:r>
      <w:r w:rsidR="00E92160" w:rsidRPr="007D326F">
        <w:rPr>
          <w:rFonts w:ascii="Times New Roman" w:hAnsi="Times New Roman" w:cs="Times New Roman"/>
          <w:sz w:val="24"/>
          <w:lang w:val="en-US"/>
        </w:rPr>
        <w:t xml:space="preserve"> Census Bureau 2011)</w:t>
      </w:r>
      <w:r w:rsidR="00307761" w:rsidRPr="004549A1">
        <w:rPr>
          <w:rFonts w:ascii="Times New Roman" w:hAnsi="Times New Roman" w:cs="Times New Roman"/>
          <w:sz w:val="24"/>
          <w:szCs w:val="24"/>
          <w:lang w:val="en-US"/>
        </w:rPr>
        <w:fldChar w:fldCharType="end"/>
      </w:r>
      <w:r w:rsidR="009551B2" w:rsidRPr="004549A1">
        <w:rPr>
          <w:rFonts w:ascii="Times New Roman" w:hAnsi="Times New Roman" w:cs="Times New Roman"/>
          <w:sz w:val="24"/>
          <w:szCs w:val="24"/>
          <w:lang w:val="en-US"/>
        </w:rPr>
        <w:t>:</w:t>
      </w:r>
    </w:p>
    <w:p w14:paraId="7636B7B1" w14:textId="5F6C25A8" w:rsidR="009551B2" w:rsidRPr="004549A1" w:rsidRDefault="009551B2" w:rsidP="00A83E3E">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Total population (</w:t>
      </w:r>
      <w:r w:rsidR="00A83E3E" w:rsidRPr="004549A1">
        <w:rPr>
          <w:rFonts w:ascii="Times New Roman" w:hAnsi="Times New Roman" w:cs="Times New Roman"/>
          <w:sz w:val="24"/>
          <w:szCs w:val="24"/>
          <w:lang w:val="en-US"/>
        </w:rPr>
        <w:t>DP0010001</w:t>
      </w:r>
      <w:r w:rsidRPr="004549A1">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w:t>
      </w:r>
    </w:p>
    <w:p w14:paraId="623446A2" w14:textId="788AACCE" w:rsidR="00A83E3E" w:rsidRPr="004549A1" w:rsidRDefault="009551B2" w:rsidP="00595E45">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Race</w:t>
      </w:r>
      <w:r w:rsidR="00A83E3E" w:rsidRPr="004549A1">
        <w:rPr>
          <w:rFonts w:ascii="Times New Roman" w:hAnsi="Times New Roman" w:cs="Times New Roman"/>
          <w:sz w:val="24"/>
          <w:szCs w:val="24"/>
          <w:lang w:val="en-US"/>
        </w:rPr>
        <w:t xml:space="preserve"> </w:t>
      </w:r>
      <w:r w:rsidR="00307761" w:rsidRPr="004549A1">
        <w:rPr>
          <w:rFonts w:ascii="Times New Roman" w:hAnsi="Times New Roman" w:cs="Times New Roman"/>
          <w:sz w:val="24"/>
          <w:szCs w:val="24"/>
          <w:lang w:val="en-US"/>
        </w:rPr>
        <w:t>(total population: DP0080001)</w:t>
      </w:r>
      <w:r w:rsidRPr="004549A1">
        <w:rPr>
          <w:rFonts w:ascii="Times New Roman" w:hAnsi="Times New Roman" w:cs="Times New Roman"/>
          <w:sz w:val="24"/>
          <w:szCs w:val="24"/>
          <w:lang w:val="en-US"/>
        </w:rPr>
        <w:t>:</w:t>
      </w:r>
    </w:p>
    <w:p w14:paraId="415F9163" w14:textId="7692D57A" w:rsidR="00595E45" w:rsidRDefault="00A56AF0" w:rsidP="00A83E3E">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P</w:t>
      </w:r>
      <w:r w:rsidR="000E0831" w:rsidRPr="004549A1">
        <w:rPr>
          <w:rFonts w:ascii="Times New Roman" w:hAnsi="Times New Roman" w:cs="Times New Roman"/>
          <w:sz w:val="24"/>
          <w:szCs w:val="24"/>
          <w:lang w:val="en-US"/>
        </w:rPr>
        <w:t>opulation self-identified as Black or African American alone</w:t>
      </w:r>
      <w:r w:rsidR="00A2545F">
        <w:rPr>
          <w:rFonts w:ascii="Times New Roman" w:hAnsi="Times New Roman" w:cs="Times New Roman"/>
          <w:sz w:val="24"/>
          <w:szCs w:val="24"/>
          <w:lang w:val="en-US"/>
        </w:rPr>
        <w:t>, not Hispanic or Latino</w:t>
      </w:r>
      <w:r w:rsidR="004265F2" w:rsidRPr="004549A1">
        <w:rPr>
          <w:rFonts w:ascii="Times New Roman" w:hAnsi="Times New Roman" w:cs="Times New Roman"/>
          <w:sz w:val="24"/>
          <w:szCs w:val="24"/>
          <w:lang w:val="en-US"/>
        </w:rPr>
        <w:t xml:space="preserve"> (</w:t>
      </w:r>
      <w:r w:rsidR="00A2545F" w:rsidRPr="00A2545F">
        <w:rPr>
          <w:rFonts w:ascii="Times New Roman" w:hAnsi="Times New Roman" w:cs="Times New Roman"/>
          <w:sz w:val="24"/>
          <w:szCs w:val="24"/>
          <w:lang w:val="en-US"/>
        </w:rPr>
        <w:t>DP0110012</w:t>
      </w:r>
      <w:r w:rsidR="004265F2" w:rsidRPr="004549A1">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w:t>
      </w:r>
    </w:p>
    <w:p w14:paraId="66810E99" w14:textId="376F0A0F" w:rsid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1C0F11">
        <w:rPr>
          <w:rFonts w:ascii="Times New Roman" w:hAnsi="Times New Roman" w:cs="Times New Roman"/>
          <w:sz w:val="24"/>
          <w:szCs w:val="24"/>
          <w:lang w:val="en-US"/>
        </w:rPr>
        <w:t>Asian alone</w:t>
      </w:r>
      <w:r>
        <w:rPr>
          <w:rFonts w:ascii="Times New Roman" w:hAnsi="Times New Roman" w:cs="Times New Roman"/>
          <w:sz w:val="24"/>
          <w:szCs w:val="24"/>
          <w:lang w:val="en-US"/>
        </w:rPr>
        <w:t>, not Hispanic or Latino</w:t>
      </w:r>
      <w:r w:rsidRPr="004549A1">
        <w:rPr>
          <w:rFonts w:ascii="Times New Roman" w:hAnsi="Times New Roman" w:cs="Times New Roman"/>
          <w:sz w:val="24"/>
          <w:szCs w:val="24"/>
          <w:lang w:val="en-US"/>
        </w:rPr>
        <w:t xml:space="preserve"> (</w:t>
      </w:r>
      <w:r w:rsidRPr="00A2545F">
        <w:rPr>
          <w:rFonts w:ascii="Times New Roman" w:hAnsi="Times New Roman" w:cs="Times New Roman"/>
          <w:sz w:val="24"/>
          <w:szCs w:val="24"/>
          <w:lang w:val="en-US"/>
        </w:rPr>
        <w:t>DP011001</w:t>
      </w:r>
      <w:r w:rsidR="001C0F11">
        <w:rPr>
          <w:rFonts w:ascii="Times New Roman" w:hAnsi="Times New Roman" w:cs="Times New Roman"/>
          <w:sz w:val="24"/>
          <w:szCs w:val="24"/>
          <w:lang w:val="en-US"/>
        </w:rPr>
        <w:t>4</w:t>
      </w:r>
      <w:r w:rsidRPr="004549A1">
        <w:rPr>
          <w:rFonts w:ascii="Times New Roman" w:hAnsi="Times New Roman" w:cs="Times New Roman"/>
          <w:sz w:val="24"/>
          <w:szCs w:val="24"/>
          <w:lang w:val="en-US"/>
        </w:rPr>
        <w:t>);</w:t>
      </w:r>
    </w:p>
    <w:p w14:paraId="0019DFC0" w14:textId="34AB77D8" w:rsid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1C0F11">
        <w:rPr>
          <w:rFonts w:ascii="Times New Roman" w:hAnsi="Times New Roman" w:cs="Times New Roman"/>
          <w:sz w:val="24"/>
          <w:szCs w:val="24"/>
          <w:lang w:val="en-US"/>
        </w:rPr>
        <w:t xml:space="preserve">American Indian or Alaska Native (DP0110013) or Native Hawaiian and </w:t>
      </w:r>
      <w:proofErr w:type="gramStart"/>
      <w:r w:rsidR="001C0F11">
        <w:rPr>
          <w:rFonts w:ascii="Times New Roman" w:hAnsi="Times New Roman" w:cs="Times New Roman"/>
          <w:sz w:val="24"/>
          <w:szCs w:val="24"/>
          <w:lang w:val="en-US"/>
        </w:rPr>
        <w:t>Other</w:t>
      </w:r>
      <w:proofErr w:type="gramEnd"/>
      <w:r w:rsidR="001C0F11">
        <w:rPr>
          <w:rFonts w:ascii="Times New Roman" w:hAnsi="Times New Roman" w:cs="Times New Roman"/>
          <w:sz w:val="24"/>
          <w:szCs w:val="24"/>
          <w:lang w:val="en-US"/>
        </w:rPr>
        <w:t xml:space="preserve"> Pacific Islander alone</w:t>
      </w:r>
      <w:r>
        <w:rPr>
          <w:rFonts w:ascii="Times New Roman" w:hAnsi="Times New Roman" w:cs="Times New Roman"/>
          <w:sz w:val="24"/>
          <w:szCs w:val="24"/>
          <w:lang w:val="en-US"/>
        </w:rPr>
        <w:t>, not Hispanic or Latino</w:t>
      </w:r>
      <w:r w:rsidRPr="004549A1">
        <w:rPr>
          <w:rFonts w:ascii="Times New Roman" w:hAnsi="Times New Roman" w:cs="Times New Roman"/>
          <w:sz w:val="24"/>
          <w:szCs w:val="24"/>
          <w:lang w:val="en-US"/>
        </w:rPr>
        <w:t xml:space="preserve"> (</w:t>
      </w:r>
      <w:r w:rsidRPr="00A2545F">
        <w:rPr>
          <w:rFonts w:ascii="Times New Roman" w:hAnsi="Times New Roman" w:cs="Times New Roman"/>
          <w:sz w:val="24"/>
          <w:szCs w:val="24"/>
          <w:lang w:val="en-US"/>
        </w:rPr>
        <w:t>DP011001</w:t>
      </w:r>
      <w:r w:rsidR="001C0F11">
        <w:rPr>
          <w:rFonts w:ascii="Times New Roman" w:hAnsi="Times New Roman" w:cs="Times New Roman"/>
          <w:sz w:val="24"/>
          <w:szCs w:val="24"/>
          <w:lang w:val="en-US"/>
        </w:rPr>
        <w:t>5</w:t>
      </w:r>
      <w:r w:rsidRPr="004549A1">
        <w:rPr>
          <w:rFonts w:ascii="Times New Roman" w:hAnsi="Times New Roman" w:cs="Times New Roman"/>
          <w:sz w:val="24"/>
          <w:szCs w:val="24"/>
          <w:lang w:val="en-US"/>
        </w:rPr>
        <w:t>);</w:t>
      </w:r>
    </w:p>
    <w:p w14:paraId="7A14B369" w14:textId="1A534E33" w:rsidR="00236A23" w:rsidRP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Pr>
          <w:rFonts w:ascii="Times New Roman" w:hAnsi="Times New Roman" w:cs="Times New Roman"/>
          <w:sz w:val="24"/>
          <w:szCs w:val="24"/>
          <w:lang w:val="en-US"/>
        </w:rPr>
        <w:t>white alone, not Hispanic or Latino</w:t>
      </w:r>
      <w:r w:rsidRPr="004549A1">
        <w:rPr>
          <w:rFonts w:ascii="Times New Roman" w:hAnsi="Times New Roman" w:cs="Times New Roman"/>
          <w:sz w:val="24"/>
          <w:szCs w:val="24"/>
          <w:lang w:val="en-US"/>
        </w:rPr>
        <w:t xml:space="preserve"> (</w:t>
      </w:r>
      <w:r w:rsidRPr="00236A23">
        <w:rPr>
          <w:rFonts w:ascii="Times New Roman" w:hAnsi="Times New Roman" w:cs="Times New Roman"/>
          <w:sz w:val="24"/>
          <w:szCs w:val="24"/>
          <w:lang w:val="en-US"/>
        </w:rPr>
        <w:t>DP0110011</w:t>
      </w:r>
      <w:r w:rsidRPr="004549A1">
        <w:rPr>
          <w:rFonts w:ascii="Times New Roman" w:hAnsi="Times New Roman" w:cs="Times New Roman"/>
          <w:sz w:val="24"/>
          <w:szCs w:val="24"/>
          <w:lang w:val="en-US"/>
        </w:rPr>
        <w:t>);</w:t>
      </w:r>
    </w:p>
    <w:p w14:paraId="702C7986" w14:textId="2C5A3C75" w:rsidR="00307761" w:rsidRPr="004549A1" w:rsidRDefault="00307761" w:rsidP="00307761">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Ethnicity (total population DP0100001)</w:t>
      </w:r>
    </w:p>
    <w:p w14:paraId="24E68082" w14:textId="68C7CE03" w:rsidR="00A83E3E" w:rsidRPr="004549A1" w:rsidRDefault="00A83E3E" w:rsidP="00307761">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A83FA2">
        <w:rPr>
          <w:rFonts w:ascii="Times New Roman" w:hAnsi="Times New Roman" w:cs="Times New Roman"/>
          <w:sz w:val="24"/>
          <w:szCs w:val="24"/>
          <w:lang w:val="en-US"/>
        </w:rPr>
        <w:t xml:space="preserve">of </w:t>
      </w:r>
      <w:r w:rsidRPr="004549A1">
        <w:rPr>
          <w:rFonts w:ascii="Times New Roman" w:hAnsi="Times New Roman" w:cs="Times New Roman"/>
          <w:sz w:val="24"/>
          <w:szCs w:val="24"/>
          <w:lang w:val="en-US"/>
        </w:rPr>
        <w:t>Hispanic or Latin</w:t>
      </w:r>
      <w:r w:rsidR="00D3379F">
        <w:rPr>
          <w:rFonts w:ascii="Times New Roman" w:hAnsi="Times New Roman" w:cs="Times New Roman"/>
          <w:sz w:val="24"/>
          <w:szCs w:val="24"/>
          <w:lang w:val="en-US"/>
        </w:rPr>
        <w:t>x</w:t>
      </w:r>
      <w:r w:rsidRPr="004549A1">
        <w:rPr>
          <w:rFonts w:ascii="Times New Roman" w:hAnsi="Times New Roman" w:cs="Times New Roman"/>
          <w:sz w:val="24"/>
          <w:szCs w:val="24"/>
          <w:lang w:val="en-US"/>
        </w:rPr>
        <w:t xml:space="preserve"> ethnicity (regardless of race) (DP0100002)</w:t>
      </w:r>
    </w:p>
    <w:p w14:paraId="270F058C" w14:textId="06548855" w:rsidR="00307761" w:rsidRPr="004549A1" w:rsidRDefault="00A56AF0" w:rsidP="00A83E3E">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Age </w:t>
      </w:r>
      <w:r w:rsidR="00906AF3" w:rsidRPr="004549A1">
        <w:rPr>
          <w:rFonts w:ascii="Times New Roman" w:hAnsi="Times New Roman" w:cs="Times New Roman"/>
          <w:sz w:val="24"/>
          <w:szCs w:val="24"/>
          <w:lang w:val="en-US"/>
        </w:rPr>
        <w:t>(</w:t>
      </w:r>
      <w:r w:rsidR="00307761" w:rsidRPr="004549A1">
        <w:rPr>
          <w:rFonts w:ascii="Times New Roman" w:hAnsi="Times New Roman" w:cs="Times New Roman"/>
          <w:sz w:val="24"/>
          <w:szCs w:val="24"/>
          <w:lang w:val="en-US"/>
        </w:rPr>
        <w:t xml:space="preserve">total population: </w:t>
      </w:r>
      <w:r w:rsidR="00A83E3E" w:rsidRPr="004549A1">
        <w:rPr>
          <w:rFonts w:ascii="Times New Roman" w:hAnsi="Times New Roman" w:cs="Times New Roman"/>
          <w:sz w:val="24"/>
          <w:szCs w:val="24"/>
          <w:lang w:val="en-US"/>
        </w:rPr>
        <w:t>DP0010001</w:t>
      </w:r>
      <w:r w:rsidR="00307761" w:rsidRPr="004549A1">
        <w:rPr>
          <w:rFonts w:ascii="Times New Roman" w:hAnsi="Times New Roman" w:cs="Times New Roman"/>
          <w:sz w:val="24"/>
          <w:szCs w:val="24"/>
          <w:lang w:val="en-US"/>
        </w:rPr>
        <w:t>)</w:t>
      </w:r>
    </w:p>
    <w:p w14:paraId="245EA8C0" w14:textId="59A1CE14" w:rsidR="00A56AF0" w:rsidRPr="004549A1" w:rsidRDefault="00307761" w:rsidP="00307761">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Age </w:t>
      </w:r>
      <w:r w:rsidR="00A83FA2">
        <w:rPr>
          <w:rFonts w:ascii="Times New Roman" w:hAnsi="Times New Roman" w:cs="Times New Roman"/>
          <w:sz w:val="24"/>
          <w:szCs w:val="24"/>
          <w:lang w:val="en-US"/>
        </w:rPr>
        <w:t xml:space="preserve">in five-year increments </w:t>
      </w:r>
      <w:r w:rsidRPr="004549A1">
        <w:rPr>
          <w:rFonts w:ascii="Times New Roman" w:hAnsi="Times New Roman" w:cs="Times New Roman"/>
          <w:sz w:val="24"/>
          <w:szCs w:val="24"/>
          <w:lang w:val="en-US"/>
        </w:rPr>
        <w:t>(DP0010001</w:t>
      </w:r>
      <w:r w:rsidR="00A2545F">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DP0010019</w:t>
      </w:r>
      <w:r w:rsidR="00906AF3" w:rsidRPr="004549A1">
        <w:rPr>
          <w:rFonts w:ascii="Times New Roman" w:hAnsi="Times New Roman" w:cs="Times New Roman"/>
          <w:sz w:val="24"/>
          <w:szCs w:val="24"/>
          <w:lang w:val="en-US"/>
        </w:rPr>
        <w:t>)</w:t>
      </w:r>
      <w:r w:rsidR="00083197">
        <w:rPr>
          <w:rFonts w:ascii="Times New Roman" w:hAnsi="Times New Roman" w:cs="Times New Roman"/>
          <w:sz w:val="24"/>
          <w:szCs w:val="24"/>
          <w:lang w:val="en-US"/>
        </w:rPr>
        <w:t xml:space="preserve"> aggregated into the age categories 0-19 years old and 65 years old and older</w:t>
      </w:r>
      <w:r w:rsidR="002D3D8C">
        <w:rPr>
          <w:rFonts w:ascii="Times New Roman" w:hAnsi="Times New Roman" w:cs="Times New Roman"/>
          <w:sz w:val="24"/>
          <w:szCs w:val="24"/>
          <w:lang w:val="en-US"/>
        </w:rPr>
        <w:t>.</w:t>
      </w:r>
    </w:p>
    <w:p w14:paraId="12578C8A" w14:textId="274A564A" w:rsidR="009551B2" w:rsidRPr="000011EF" w:rsidRDefault="00595E45" w:rsidP="008C7910">
      <w:p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lastRenderedPageBreak/>
        <w:t xml:space="preserve">We </w:t>
      </w:r>
      <w:r w:rsidR="0089751E" w:rsidRPr="000011EF">
        <w:rPr>
          <w:rFonts w:ascii="Times New Roman" w:hAnsi="Times New Roman" w:cs="Times New Roman"/>
          <w:sz w:val="24"/>
          <w:szCs w:val="24"/>
          <w:lang w:val="en-US"/>
        </w:rPr>
        <w:t xml:space="preserve">also </w:t>
      </w:r>
      <w:r w:rsidRPr="000011EF">
        <w:rPr>
          <w:rFonts w:ascii="Times New Roman" w:hAnsi="Times New Roman" w:cs="Times New Roman"/>
          <w:sz w:val="24"/>
          <w:szCs w:val="24"/>
          <w:lang w:val="en-US"/>
        </w:rPr>
        <w:t xml:space="preserve">obtained </w:t>
      </w:r>
      <w:r w:rsidR="008C7910" w:rsidRPr="000011EF">
        <w:rPr>
          <w:rFonts w:ascii="Times New Roman" w:hAnsi="Times New Roman" w:cs="Times New Roman"/>
          <w:sz w:val="24"/>
          <w:szCs w:val="24"/>
          <w:lang w:val="en-US"/>
        </w:rPr>
        <w:t xml:space="preserve">five-year </w:t>
      </w:r>
      <w:r w:rsidR="0089751E" w:rsidRPr="000011EF">
        <w:rPr>
          <w:rFonts w:ascii="Times New Roman" w:hAnsi="Times New Roman" w:cs="Times New Roman"/>
          <w:sz w:val="24"/>
          <w:szCs w:val="24"/>
          <w:lang w:val="en-US"/>
        </w:rPr>
        <w:t>population characteristic estimates</w:t>
      </w:r>
      <w:r w:rsidR="002C6FE9" w:rsidRPr="000011EF">
        <w:rPr>
          <w:rFonts w:ascii="Times New Roman" w:hAnsi="Times New Roman" w:cs="Times New Roman"/>
          <w:sz w:val="24"/>
          <w:szCs w:val="24"/>
          <w:lang w:val="en-US"/>
        </w:rPr>
        <w:t xml:space="preserve"> from the American Community Survey as 2008-2012 five-year estimates</w:t>
      </w:r>
      <w:r w:rsidR="00307761" w:rsidRPr="000011EF">
        <w:rPr>
          <w:rFonts w:ascii="Times New Roman" w:hAnsi="Times New Roman" w:cs="Times New Roman"/>
          <w:sz w:val="24"/>
          <w:szCs w:val="24"/>
          <w:lang w:val="en-US"/>
        </w:rPr>
        <w:t xml:space="preserve"> </w:t>
      </w:r>
      <w:r w:rsidR="00307761" w:rsidRPr="000011E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{"citationID":"ahi9a77one","properties":{"formattedCitation":"(U.S. Census Bureau 2014)","plainCitation":"(U.S. Census Bureau 2014)","noteIndex":0},"citationItems":[{"id":"5PqMUdEP/NzeFRlWg","uris":["http://zotero.org/users/2002443/items/A42WKZJH"],"uri":["http://zotero.org/users/2002443/items/A42WKZJH"],"itemData":{"id":1174,"type":"webpage","title":"American Community Survey 2008-2012 Five-Year Estimates","URL":"https://www.census.gov/geo/maps-data/data/tiger-data.html","author":[{"family":"U.S. Census Bureau","given":""}],"issued":{"date-parts":[["2014",2,12]]},"accessed":{"date-parts":[["2017",8,21]]}}}],"schema":"https://github.com/citation-style-language/schema/raw/master/csl-citation.json"} </w:instrText>
      </w:r>
      <w:r w:rsidR="00307761" w:rsidRPr="000011EF">
        <w:rPr>
          <w:rFonts w:ascii="Times New Roman" w:hAnsi="Times New Roman" w:cs="Times New Roman"/>
          <w:sz w:val="24"/>
          <w:szCs w:val="24"/>
          <w:lang w:val="en-US"/>
        </w:rPr>
        <w:fldChar w:fldCharType="separate"/>
      </w:r>
      <w:r w:rsidR="00E92160" w:rsidRPr="000011EF">
        <w:rPr>
          <w:rFonts w:ascii="Times New Roman" w:hAnsi="Times New Roman" w:cs="Times New Roman"/>
          <w:sz w:val="24"/>
          <w:lang w:val="en-US"/>
        </w:rPr>
        <w:t>(</w:t>
      </w:r>
      <w:r w:rsidR="006D0FD5">
        <w:rPr>
          <w:rFonts w:ascii="Times New Roman" w:hAnsi="Times New Roman" w:cs="Times New Roman"/>
          <w:sz w:val="24"/>
          <w:lang w:val="en-US"/>
        </w:rPr>
        <w:t>US</w:t>
      </w:r>
      <w:r w:rsidR="00E92160" w:rsidRPr="000011EF">
        <w:rPr>
          <w:rFonts w:ascii="Times New Roman" w:hAnsi="Times New Roman" w:cs="Times New Roman"/>
          <w:sz w:val="24"/>
          <w:lang w:val="en-US"/>
        </w:rPr>
        <w:t xml:space="preserve"> Census Bureau 2014)</w:t>
      </w:r>
      <w:r w:rsidR="00307761" w:rsidRPr="000011EF">
        <w:rPr>
          <w:rFonts w:ascii="Times New Roman" w:hAnsi="Times New Roman" w:cs="Times New Roman"/>
          <w:sz w:val="24"/>
          <w:szCs w:val="24"/>
          <w:lang w:val="en-US"/>
        </w:rPr>
        <w:fldChar w:fldCharType="end"/>
      </w:r>
      <w:r w:rsidR="00CE4D0E" w:rsidRPr="000011EF">
        <w:rPr>
          <w:rFonts w:ascii="Times New Roman" w:hAnsi="Times New Roman" w:cs="Times New Roman"/>
          <w:sz w:val="24"/>
          <w:szCs w:val="24"/>
          <w:lang w:val="en-US"/>
        </w:rPr>
        <w:t>,</w:t>
      </w:r>
      <w:r w:rsidRPr="000011EF">
        <w:rPr>
          <w:rFonts w:ascii="Times New Roman" w:hAnsi="Times New Roman" w:cs="Times New Roman"/>
          <w:sz w:val="24"/>
          <w:szCs w:val="24"/>
          <w:lang w:val="en-US"/>
        </w:rPr>
        <w:t xml:space="preserve"> chosen to center the data on 2</w:t>
      </w:r>
      <w:r w:rsidR="008C34FB" w:rsidRPr="000011EF">
        <w:rPr>
          <w:rFonts w:ascii="Times New Roman" w:hAnsi="Times New Roman" w:cs="Times New Roman"/>
          <w:sz w:val="24"/>
          <w:szCs w:val="24"/>
          <w:lang w:val="en-US"/>
        </w:rPr>
        <w:t xml:space="preserve">010, </w:t>
      </w:r>
      <w:commentRangeStart w:id="12"/>
      <w:r w:rsidR="008C34FB" w:rsidRPr="000011EF">
        <w:rPr>
          <w:rFonts w:ascii="Times New Roman" w:hAnsi="Times New Roman" w:cs="Times New Roman"/>
          <w:sz w:val="24"/>
          <w:szCs w:val="24"/>
          <w:lang w:val="en-US"/>
        </w:rPr>
        <w:t xml:space="preserve">the year of known race, </w:t>
      </w:r>
      <w:r w:rsidRPr="000011EF">
        <w:rPr>
          <w:rFonts w:ascii="Times New Roman" w:hAnsi="Times New Roman" w:cs="Times New Roman"/>
          <w:sz w:val="24"/>
          <w:szCs w:val="24"/>
          <w:lang w:val="en-US"/>
        </w:rPr>
        <w:t>ethnicity</w:t>
      </w:r>
      <w:r w:rsidR="008C34FB" w:rsidRPr="000011EF">
        <w:rPr>
          <w:rFonts w:ascii="Times New Roman" w:hAnsi="Times New Roman" w:cs="Times New Roman"/>
          <w:sz w:val="24"/>
          <w:szCs w:val="24"/>
          <w:lang w:val="en-US"/>
        </w:rPr>
        <w:t>, and age</w:t>
      </w:r>
      <w:r w:rsidRPr="000011EF">
        <w:rPr>
          <w:rFonts w:ascii="Times New Roman" w:hAnsi="Times New Roman" w:cs="Times New Roman"/>
          <w:sz w:val="24"/>
          <w:szCs w:val="24"/>
          <w:lang w:val="en-US"/>
        </w:rPr>
        <w:t xml:space="preserve"> data from the </w:t>
      </w:r>
      <w:r w:rsidR="006D0FD5">
        <w:rPr>
          <w:rFonts w:ascii="Times New Roman" w:hAnsi="Times New Roman" w:cs="Times New Roman"/>
          <w:sz w:val="24"/>
          <w:szCs w:val="24"/>
          <w:lang w:val="en-US"/>
        </w:rPr>
        <w:t>US</w:t>
      </w:r>
      <w:r w:rsidRPr="000011EF">
        <w:rPr>
          <w:rFonts w:ascii="Times New Roman" w:hAnsi="Times New Roman" w:cs="Times New Roman"/>
          <w:sz w:val="24"/>
          <w:szCs w:val="24"/>
          <w:lang w:val="en-US"/>
        </w:rPr>
        <w:t xml:space="preserve"> Census</w:t>
      </w:r>
      <w:commentRangeEnd w:id="12"/>
      <w:r w:rsidR="004A2A47" w:rsidRPr="000011EF">
        <w:rPr>
          <w:rStyle w:val="CommentReference"/>
          <w:rFonts w:ascii="Times New Roman" w:hAnsi="Times New Roman" w:cs="Times New Roman"/>
        </w:rPr>
        <w:commentReference w:id="12"/>
      </w:r>
      <w:r w:rsidR="00CE4D0E" w:rsidRPr="000011EF">
        <w:rPr>
          <w:rFonts w:ascii="Times New Roman" w:hAnsi="Times New Roman" w:cs="Times New Roman"/>
          <w:sz w:val="24"/>
          <w:szCs w:val="24"/>
          <w:lang w:val="en-US"/>
        </w:rPr>
        <w:t>:</w:t>
      </w:r>
    </w:p>
    <w:p w14:paraId="669994C0" w14:textId="115FA0ED" w:rsidR="00595E45" w:rsidRPr="000011EF" w:rsidRDefault="0089751E" w:rsidP="00595E45">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Educational attainment:  The percentage of the</w:t>
      </w:r>
      <w:r w:rsidR="00595E45" w:rsidRPr="000011EF">
        <w:rPr>
          <w:rFonts w:ascii="Times New Roman" w:hAnsi="Times New Roman" w:cs="Times New Roman"/>
          <w:sz w:val="24"/>
          <w:szCs w:val="24"/>
          <w:lang w:val="en-US"/>
        </w:rPr>
        <w:t xml:space="preserve"> population with le</w:t>
      </w:r>
      <w:r w:rsidRPr="000011EF">
        <w:rPr>
          <w:rFonts w:ascii="Times New Roman" w:hAnsi="Times New Roman" w:cs="Times New Roman"/>
          <w:sz w:val="24"/>
          <w:szCs w:val="24"/>
          <w:lang w:val="en-US"/>
        </w:rPr>
        <w:t xml:space="preserve">ss than a high school education, a high school degree or some college, or a college degree </w:t>
      </w:r>
      <w:r w:rsidR="00595E45" w:rsidRPr="000011EF">
        <w:rPr>
          <w:rFonts w:ascii="Times New Roman" w:hAnsi="Times New Roman" w:cs="Times New Roman"/>
          <w:sz w:val="24"/>
          <w:szCs w:val="24"/>
          <w:lang w:val="en-US"/>
        </w:rPr>
        <w:t>(</w:t>
      </w:r>
      <w:r w:rsidR="00CE4D0E" w:rsidRPr="000011EF">
        <w:rPr>
          <w:rFonts w:ascii="Times New Roman" w:hAnsi="Times New Roman" w:cs="Times New Roman"/>
          <w:sz w:val="24"/>
          <w:szCs w:val="24"/>
          <w:lang w:val="en-US"/>
        </w:rPr>
        <w:t>S1501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2CEC8682" w14:textId="38F47FF7" w:rsidR="00595E45" w:rsidRPr="000011EF" w:rsidRDefault="0089751E" w:rsidP="00595E45">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 xml:space="preserve">Poverty:  The percentage of the </w:t>
      </w:r>
      <w:r w:rsidR="00595E45" w:rsidRPr="000011EF">
        <w:rPr>
          <w:rFonts w:ascii="Times New Roman" w:hAnsi="Times New Roman" w:cs="Times New Roman"/>
          <w:sz w:val="24"/>
          <w:szCs w:val="24"/>
          <w:lang w:val="en-US"/>
        </w:rPr>
        <w:t xml:space="preserve">population </w:t>
      </w:r>
      <w:r w:rsidRPr="000011EF">
        <w:rPr>
          <w:rFonts w:ascii="Times New Roman" w:hAnsi="Times New Roman" w:cs="Times New Roman"/>
          <w:sz w:val="24"/>
          <w:szCs w:val="24"/>
          <w:lang w:val="en-US"/>
        </w:rPr>
        <w:t xml:space="preserve">below the poverty level as classified by the 2010 </w:t>
      </w:r>
      <w:r w:rsidR="006D0FD5">
        <w:rPr>
          <w:rFonts w:ascii="Times New Roman" w:hAnsi="Times New Roman" w:cs="Times New Roman"/>
          <w:sz w:val="24"/>
          <w:szCs w:val="24"/>
          <w:lang w:val="en-US"/>
        </w:rPr>
        <w:t>US</w:t>
      </w:r>
      <w:r w:rsidRPr="000011EF">
        <w:rPr>
          <w:rFonts w:ascii="Times New Roman" w:hAnsi="Times New Roman" w:cs="Times New Roman"/>
          <w:sz w:val="24"/>
          <w:szCs w:val="24"/>
          <w:lang w:val="en-US"/>
        </w:rPr>
        <w:t xml:space="preserve"> Census</w:t>
      </w:r>
      <w:r w:rsidR="00595E45" w:rsidRPr="000011EF">
        <w:rPr>
          <w:rFonts w:ascii="Times New Roman" w:hAnsi="Times New Roman" w:cs="Times New Roman"/>
          <w:sz w:val="24"/>
          <w:szCs w:val="24"/>
          <w:lang w:val="en-US"/>
        </w:rPr>
        <w:t xml:space="preserve"> (</w:t>
      </w:r>
      <w:r w:rsidR="00CE4D0E" w:rsidRPr="000011EF">
        <w:rPr>
          <w:rFonts w:ascii="Times New Roman" w:hAnsi="Times New Roman" w:cs="Times New Roman"/>
          <w:sz w:val="24"/>
          <w:szCs w:val="24"/>
          <w:lang w:val="en-US"/>
        </w:rPr>
        <w:t>S1701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2C564130" w14:textId="77777777" w:rsidR="00943163" w:rsidRDefault="0089751E" w:rsidP="00943163">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 xml:space="preserve">Unemployment:  The percentage of the population over </w:t>
      </w:r>
      <w:r w:rsidR="00595E45" w:rsidRPr="000011EF">
        <w:rPr>
          <w:rFonts w:ascii="Times New Roman" w:hAnsi="Times New Roman" w:cs="Times New Roman"/>
          <w:sz w:val="24"/>
          <w:szCs w:val="24"/>
          <w:lang w:val="en-US"/>
        </w:rPr>
        <w:t>16 years</w:t>
      </w:r>
      <w:r w:rsidRPr="000011EF">
        <w:rPr>
          <w:rFonts w:ascii="Times New Roman" w:hAnsi="Times New Roman" w:cs="Times New Roman"/>
          <w:sz w:val="24"/>
          <w:szCs w:val="24"/>
          <w:lang w:val="en-US"/>
        </w:rPr>
        <w:t xml:space="preserve"> who were</w:t>
      </w:r>
      <w:r w:rsidR="00595E45" w:rsidRPr="000011EF">
        <w:rPr>
          <w:rFonts w:ascii="Times New Roman" w:hAnsi="Times New Roman" w:cs="Times New Roman"/>
          <w:sz w:val="24"/>
          <w:szCs w:val="24"/>
          <w:lang w:val="en-US"/>
        </w:rPr>
        <w:t xml:space="preserve"> unemployed (</w:t>
      </w:r>
      <w:r w:rsidR="00CE4D0E" w:rsidRPr="000011EF">
        <w:rPr>
          <w:rFonts w:ascii="Times New Roman" w:hAnsi="Times New Roman" w:cs="Times New Roman"/>
          <w:sz w:val="24"/>
          <w:szCs w:val="24"/>
          <w:lang w:val="en-US"/>
        </w:rPr>
        <w:t>S2301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3FB5AAEC" w14:textId="09978D50" w:rsidR="002C6FE9" w:rsidRPr="002D3D8C" w:rsidRDefault="00A2545F" w:rsidP="002D3D8C">
      <w:pPr>
        <w:spacing w:line="480" w:lineRule="auto"/>
        <w:rPr>
          <w:rFonts w:ascii="Times New Roman" w:hAnsi="Times New Roman" w:cs="Times New Roman"/>
          <w:sz w:val="24"/>
          <w:szCs w:val="24"/>
          <w:lang w:val="en-US"/>
        </w:rPr>
      </w:pPr>
      <w:r w:rsidRPr="002D3D8C">
        <w:rPr>
          <w:rFonts w:ascii="Times New Roman" w:hAnsi="Times New Roman" w:cs="Times New Roman"/>
          <w:sz w:val="24"/>
          <w:szCs w:val="24"/>
          <w:lang w:val="en-US"/>
        </w:rPr>
        <w:t>We obtained r</w:t>
      </w:r>
      <w:r w:rsidR="002C6FE9" w:rsidRPr="002D3D8C">
        <w:rPr>
          <w:rFonts w:ascii="Times New Roman" w:hAnsi="Times New Roman" w:cs="Times New Roman"/>
          <w:sz w:val="24"/>
          <w:szCs w:val="24"/>
          <w:lang w:val="en-US"/>
        </w:rPr>
        <w:t xml:space="preserve">ural-urban commuting area (RUCA) codes for 2010 from the </w:t>
      </w:r>
      <w:r w:rsidR="006D0FD5">
        <w:rPr>
          <w:rFonts w:ascii="Times New Roman" w:hAnsi="Times New Roman" w:cs="Times New Roman"/>
          <w:sz w:val="24"/>
          <w:szCs w:val="24"/>
          <w:lang w:val="en-US"/>
        </w:rPr>
        <w:t>US</w:t>
      </w:r>
      <w:r w:rsidR="002C6FE9" w:rsidRPr="002D3D8C">
        <w:rPr>
          <w:rFonts w:ascii="Times New Roman" w:hAnsi="Times New Roman" w:cs="Times New Roman"/>
          <w:sz w:val="24"/>
          <w:szCs w:val="24"/>
          <w:lang w:val="en-US"/>
        </w:rPr>
        <w:t xml:space="preserve"> Department of Agriculture </w:t>
      </w:r>
      <w:r w:rsidR="003A68E1" w:rsidRPr="002D3D8C">
        <w:rPr>
          <w:rFonts w:ascii="Times New Roman" w:hAnsi="Times New Roman" w:cs="Times New Roman"/>
          <w:sz w:val="24"/>
          <w:szCs w:val="24"/>
          <w:lang w:val="en-US"/>
        </w:rPr>
        <w:fldChar w:fldCharType="begin"/>
      </w:r>
      <w:r w:rsidR="00BD2827" w:rsidRPr="002D3D8C">
        <w:rPr>
          <w:rFonts w:ascii="Times New Roman" w:hAnsi="Times New Roman" w:cs="Times New Roman"/>
          <w:sz w:val="24"/>
          <w:szCs w:val="24"/>
          <w:lang w:val="en-US"/>
        </w:rPr>
        <w:instrText xml:space="preserve"> ADDIN ZOTERO_ITEM CSL_CITATION {"citationID":"a10961v6a0q","properties":{"formattedCitation":"(U.S. Department of Agriculture 2013)","plainCitation":"(U.S. Department of Agriculture 2013)","noteIndex":0},"citationItems":[{"id":1175,"uris":["http://zotero.org/users/2002443/items/CCQVZUU7"],"uri":["http://zotero.org/users/2002443/items/CCQVZUU7"],"itemData":{"id":1175,"type":"webpage","title":"2010 Rural-Urban Commuting Area Codes","URL":"https://www.ers.usda.gov/data-products/rural-urban-commuting-area-codes/","author":[{"family":"U.S. Department of Agriculture","given":""}],"issued":{"date-parts":[["2013",12,31]]},"accessed":{"date-parts":[["2017",9,20]]}}}],"schema":"https://github.com/citation-style-language/schema/raw/master/csl-citation.json"} </w:instrText>
      </w:r>
      <w:r w:rsidR="003A68E1" w:rsidRPr="002D3D8C">
        <w:rPr>
          <w:rFonts w:ascii="Times New Roman" w:hAnsi="Times New Roman" w:cs="Times New Roman"/>
          <w:sz w:val="24"/>
          <w:szCs w:val="24"/>
          <w:lang w:val="en-US"/>
        </w:rPr>
        <w:fldChar w:fldCharType="separate"/>
      </w:r>
      <w:r w:rsidR="00E92160" w:rsidRPr="002D3D8C">
        <w:rPr>
          <w:rFonts w:ascii="Times New Roman" w:hAnsi="Times New Roman" w:cs="Times New Roman"/>
          <w:sz w:val="24"/>
          <w:lang w:val="en-US"/>
        </w:rPr>
        <w:t>(</w:t>
      </w:r>
      <w:r w:rsidR="006D0FD5">
        <w:rPr>
          <w:rFonts w:ascii="Times New Roman" w:hAnsi="Times New Roman" w:cs="Times New Roman"/>
          <w:sz w:val="24"/>
          <w:lang w:val="en-US"/>
        </w:rPr>
        <w:t>US</w:t>
      </w:r>
      <w:r w:rsidR="00E92160" w:rsidRPr="002D3D8C">
        <w:rPr>
          <w:rFonts w:ascii="Times New Roman" w:hAnsi="Times New Roman" w:cs="Times New Roman"/>
          <w:sz w:val="24"/>
          <w:lang w:val="en-US"/>
        </w:rPr>
        <w:t xml:space="preserve"> Department of Agriculture 2013)</w:t>
      </w:r>
      <w:r w:rsidR="003A68E1" w:rsidRPr="002D3D8C">
        <w:rPr>
          <w:rFonts w:ascii="Times New Roman" w:hAnsi="Times New Roman" w:cs="Times New Roman"/>
          <w:sz w:val="24"/>
          <w:szCs w:val="24"/>
          <w:lang w:val="en-US"/>
        </w:rPr>
        <w:fldChar w:fldCharType="end"/>
      </w:r>
      <w:r w:rsidR="002D3D8C" w:rsidRPr="002D3D8C">
        <w:rPr>
          <w:rFonts w:ascii="Times New Roman" w:hAnsi="Times New Roman" w:cs="Times New Roman"/>
          <w:sz w:val="24"/>
          <w:szCs w:val="24"/>
          <w:lang w:val="en-US"/>
        </w:rPr>
        <w:t xml:space="preserve"> </w:t>
      </w:r>
      <w:r w:rsidR="00B00CB6">
        <w:rPr>
          <w:rFonts w:ascii="Times New Roman" w:hAnsi="Times New Roman" w:cs="Times New Roman"/>
          <w:sz w:val="24"/>
          <w:szCs w:val="24"/>
          <w:lang w:val="en-US"/>
        </w:rPr>
        <w:t xml:space="preserve">to determine the urbanicity of census tracts </w:t>
      </w:r>
      <w:r w:rsidR="002D3D8C" w:rsidRPr="002D3D8C">
        <w:rPr>
          <w:rFonts w:ascii="Times New Roman" w:hAnsi="Times New Roman" w:cs="Times New Roman"/>
          <w:sz w:val="24"/>
          <w:szCs w:val="24"/>
          <w:lang w:val="en-US"/>
        </w:rPr>
        <w:t>(Table A1)</w:t>
      </w:r>
      <w:r w:rsidR="002C6FE9" w:rsidRPr="002D3D8C">
        <w:rPr>
          <w:rFonts w:ascii="Times New Roman" w:hAnsi="Times New Roman" w:cs="Times New Roman"/>
          <w:sz w:val="24"/>
          <w:szCs w:val="24"/>
          <w:lang w:val="en-US"/>
        </w:rPr>
        <w:t>.</w:t>
      </w:r>
      <w:r w:rsidR="00036A20" w:rsidRPr="002D3D8C">
        <w:rPr>
          <w:rFonts w:ascii="Times New Roman" w:hAnsi="Times New Roman" w:cs="Times New Roman"/>
          <w:sz w:val="24"/>
          <w:szCs w:val="24"/>
          <w:lang w:val="en-US"/>
        </w:rPr>
        <w:t xml:space="preserve">  </w:t>
      </w:r>
      <w:r w:rsidRPr="002D3D8C">
        <w:rPr>
          <w:rFonts w:ascii="Times New Roman" w:hAnsi="Times New Roman" w:cs="Times New Roman"/>
          <w:sz w:val="24"/>
          <w:szCs w:val="24"/>
          <w:lang w:val="en-US"/>
        </w:rPr>
        <w:t>We obtained g</w:t>
      </w:r>
      <w:r w:rsidR="00C7052B" w:rsidRPr="002D3D8C">
        <w:rPr>
          <w:rFonts w:ascii="Times New Roman" w:hAnsi="Times New Roman" w:cs="Times New Roman"/>
          <w:sz w:val="24"/>
          <w:szCs w:val="24"/>
          <w:lang w:val="en-US"/>
        </w:rPr>
        <w:t xml:space="preserve">eographic region classifications of Northeast, Midwest, South, and West by state from the </w:t>
      </w:r>
      <w:r w:rsidR="006D0FD5">
        <w:rPr>
          <w:rFonts w:ascii="Times New Roman" w:hAnsi="Times New Roman" w:cs="Times New Roman"/>
          <w:sz w:val="24"/>
          <w:szCs w:val="24"/>
          <w:lang w:val="en-US"/>
        </w:rPr>
        <w:t>US</w:t>
      </w:r>
      <w:r w:rsidR="00C7052B" w:rsidRPr="002D3D8C">
        <w:rPr>
          <w:rFonts w:ascii="Times New Roman" w:hAnsi="Times New Roman" w:cs="Times New Roman"/>
          <w:sz w:val="24"/>
          <w:szCs w:val="24"/>
          <w:lang w:val="en-US"/>
        </w:rPr>
        <w:t xml:space="preserve"> Census </w:t>
      </w:r>
      <w:r w:rsidR="00C7052B" w:rsidRPr="002D3D8C">
        <w:rPr>
          <w:rFonts w:ascii="Times New Roman" w:hAnsi="Times New Roman" w:cs="Times New Roman"/>
          <w:sz w:val="24"/>
          <w:szCs w:val="24"/>
          <w:lang w:val="en-US"/>
        </w:rPr>
        <w:fldChar w:fldCharType="begin"/>
      </w:r>
      <w:r w:rsidR="00BD2827" w:rsidRPr="002D3D8C">
        <w:rPr>
          <w:rFonts w:ascii="Times New Roman" w:hAnsi="Times New Roman" w:cs="Times New Roman"/>
          <w:sz w:val="24"/>
          <w:szCs w:val="24"/>
          <w:lang w:val="en-US"/>
        </w:rPr>
        <w:instrText xml:space="preserve"> ADDIN ZOTERO_ITEM CSL_CITATION {"citationID":"a29oc1c5vqr","properties":{"formattedCitation":"(U.S. Census Bureau 2015)","plainCitation":"(U.S. Census Bureau 2015)","noteIndex":0},"citationItems":[{"id":1256,"uris":["http://zotero.org/users/2002443/items/2F2PV8J3"],"uri":["http://zotero.org/users/2002443/items/2F2PV8J3"],"itemData":{"id":1256,"type":"webpage","title":"2010 Geographic Terms and Concepts - Census Divisions and Census Regions","abstract":"Definitions and descriptions of Geographic Terms and Concepts from the 2010 Census - Census Divisions and Census Regions.","URL":"https://www.census.gov/geo/reference/gtc/gtc_census_divreg.html","language":"EN-US","author":[{"family":"U.S. Census Bureau","given":""}],"issued":{"date-parts":[["2015"]]},"accessed":{"date-parts":[["2017",10,31]]}}}],"schema":"https://github.com/citation-style-language/schema/raw/master/csl-citation.json"} </w:instrText>
      </w:r>
      <w:r w:rsidR="00C7052B" w:rsidRPr="002D3D8C">
        <w:rPr>
          <w:rFonts w:ascii="Times New Roman" w:hAnsi="Times New Roman" w:cs="Times New Roman"/>
          <w:sz w:val="24"/>
          <w:szCs w:val="24"/>
          <w:lang w:val="en-US"/>
        </w:rPr>
        <w:fldChar w:fldCharType="separate"/>
      </w:r>
      <w:r w:rsidR="00C7052B" w:rsidRPr="002D3D8C">
        <w:rPr>
          <w:rFonts w:ascii="Times New Roman" w:hAnsi="Times New Roman" w:cs="Times New Roman"/>
          <w:sz w:val="24"/>
          <w:lang w:val="en-US"/>
        </w:rPr>
        <w:t>(</w:t>
      </w:r>
      <w:r w:rsidR="006D0FD5">
        <w:rPr>
          <w:rFonts w:ascii="Times New Roman" w:hAnsi="Times New Roman" w:cs="Times New Roman"/>
          <w:sz w:val="24"/>
          <w:lang w:val="en-US"/>
        </w:rPr>
        <w:t>US</w:t>
      </w:r>
      <w:r w:rsidR="00C7052B" w:rsidRPr="002D3D8C">
        <w:rPr>
          <w:rFonts w:ascii="Times New Roman" w:hAnsi="Times New Roman" w:cs="Times New Roman"/>
          <w:sz w:val="24"/>
          <w:lang w:val="en-US"/>
        </w:rPr>
        <w:t xml:space="preserve"> Census Bureau 2015)</w:t>
      </w:r>
      <w:r w:rsidR="00C7052B" w:rsidRPr="002D3D8C">
        <w:rPr>
          <w:rFonts w:ascii="Times New Roman" w:hAnsi="Times New Roman" w:cs="Times New Roman"/>
          <w:sz w:val="24"/>
          <w:szCs w:val="24"/>
          <w:lang w:val="en-US"/>
        </w:rPr>
        <w:fldChar w:fldCharType="end"/>
      </w:r>
      <w:r w:rsidR="00943163" w:rsidRPr="002D3D8C">
        <w:rPr>
          <w:rFonts w:ascii="Times New Roman" w:hAnsi="Times New Roman" w:cs="Times New Roman"/>
          <w:sz w:val="24"/>
          <w:szCs w:val="24"/>
          <w:lang w:val="en-US"/>
        </w:rPr>
        <w:t xml:space="preserve"> (Table A1).</w:t>
      </w:r>
    </w:p>
    <w:p w14:paraId="1BBD6611" w14:textId="045B7A5A" w:rsidR="007D326F" w:rsidRPr="004549A1" w:rsidRDefault="00A2545F" w:rsidP="007D326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estimated r</w:t>
      </w:r>
      <w:commentRangeStart w:id="13"/>
      <w:commentRangeStart w:id="14"/>
      <w:r w:rsidR="007D326F" w:rsidRPr="004549A1">
        <w:rPr>
          <w:rFonts w:ascii="Times New Roman" w:hAnsi="Times New Roman" w:cs="Times New Roman"/>
          <w:sz w:val="24"/>
          <w:szCs w:val="24"/>
          <w:lang w:val="en-US"/>
        </w:rPr>
        <w:t xml:space="preserve">acial residential segregation </w:t>
      </w:r>
      <w:commentRangeEnd w:id="13"/>
      <w:r w:rsidR="007D326F" w:rsidRPr="004549A1">
        <w:rPr>
          <w:rStyle w:val="CommentReference"/>
          <w:rFonts w:ascii="Times New Roman" w:hAnsi="Times New Roman" w:cs="Times New Roman"/>
        </w:rPr>
        <w:commentReference w:id="13"/>
      </w:r>
      <w:commentRangeEnd w:id="14"/>
      <w:r w:rsidR="00AC225C">
        <w:rPr>
          <w:rStyle w:val="CommentReference"/>
        </w:rPr>
        <w:commentReference w:id="14"/>
      </w:r>
      <w:r w:rsidR="007D326F" w:rsidRPr="004549A1">
        <w:rPr>
          <w:rFonts w:ascii="Times New Roman" w:hAnsi="Times New Roman" w:cs="Times New Roman"/>
          <w:sz w:val="24"/>
          <w:szCs w:val="24"/>
          <w:lang w:val="en-US"/>
        </w:rPr>
        <w:t xml:space="preserve"> by census tract using the spatial racial isolation index (RI) developed by Anthopolos et al. </w:t>
      </w:r>
      <w:r w:rsidR="007D326F"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{"citationID":"a239ktkldkf","properties":{"formattedCitation":"(Anthopolos et al. 2011)","plainCitation":"(Anthopolos et al. 2011)","noteIndex":0},"citationItems":[{"id":63,"uris":["http://zotero.org/users/2002443/items/7G8KU2WE"],"uri":["http://zotero.org/users/2002443/items/7G8KU2WE"],"itemData":{"id":63,"type":"article-journal","title":"A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Lynn"}],"issued":{"date-parts":[["2011",12]]}}}],"schema":"https://github.com/citation-style-language/schema/raw/master/csl-citation.json"} </w:instrText>
      </w:r>
      <w:r w:rsidR="007D326F" w:rsidRPr="004549A1">
        <w:rPr>
          <w:rFonts w:ascii="Times New Roman" w:hAnsi="Times New Roman" w:cs="Times New Roman"/>
          <w:sz w:val="24"/>
          <w:szCs w:val="24"/>
          <w:lang w:val="en-US"/>
        </w:rPr>
        <w:fldChar w:fldCharType="separate"/>
      </w:r>
      <w:r w:rsidR="007D326F" w:rsidRPr="00E92160">
        <w:rPr>
          <w:rFonts w:ascii="Times New Roman" w:hAnsi="Times New Roman" w:cs="Times New Roman"/>
          <w:sz w:val="24"/>
          <w:lang w:val="en-US"/>
        </w:rPr>
        <w:t>(Anthopolos et al. 2011)</w:t>
      </w:r>
      <w:r w:rsidR="007D326F" w:rsidRPr="004549A1">
        <w:rPr>
          <w:rFonts w:ascii="Times New Roman" w:hAnsi="Times New Roman" w:cs="Times New Roman"/>
          <w:sz w:val="24"/>
          <w:szCs w:val="24"/>
          <w:lang w:val="en-US"/>
        </w:rPr>
        <w:fldChar w:fldCharType="end"/>
      </w:r>
      <w:r w:rsidR="007D326F">
        <w:rPr>
          <w:rFonts w:ascii="Times New Roman" w:hAnsi="Times New Roman" w:cs="Times New Roman"/>
          <w:sz w:val="24"/>
          <w:szCs w:val="24"/>
          <w:lang w:val="en-US"/>
        </w:rPr>
        <w:t xml:space="preserve">.  Isolation/exposure indices like the spatial isolation index measure the probability that a person will encounter, within their own neighborhood, someone of their own race/ethnicity (isolation) or someone of another race/ethnicity (exposure), whereas the more common dissimilarity indices measure evenness, or how similar the proportions of racial/ethnic groups in a neighborhood are to those of a larger containing region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{"citationID":"amm640looo","properties":{"formattedCitation":"(Massey and Denton 1988)","plainCitation":"(Massey and Denton 1988)","noteIndex":0},"citationItems":[{"id":161,"uris":["http://zotero.org/users/2002443/items/IG9ETZ2I"],"uri":["http://zotero.org/users/2002443/items/IG9ETZ2I"],"itemData":{"id":161,"type":"article-journal","title":"The Dimensions of Residential Segregation","container-title":"Social Forces","page":"281-315","volume":"67","issue":"2","source":"sf.oxfordjournals.org","abstract":"This paper conceives of residential segregation as a multidimensional phenomenon varying along five distinct axes of measurement: evenness, exposure, concentration, centralization, and clustering. Twenty indices of segregation are surveyed and related conceptually to one of the five dimensions. Using data from a large set of U.S. metropolitan areas, the indices are intercorrelated and factor analyzed. Orthogonal and oblique rotations produce pattern matrices consistent with the postulated dimensional structure. Based on the factor analyses and other information, one index was chosen to represent each of the five dimensions, and these selections were confirmed with a principal components analysis. The paper recommends adopting these indices as standard indicators in future studies of segregation.","URL":"http://sf.oxfordjournals.org/content/67/2/281","DOI":"10.1093/sf/67.2.281","ISSN":"0037-7732, 1534-7605","journalAbbreviation":"Social Forces","language":"en","author":[{"family":"Massey","given":"Douglas S."},{"family":"Denton","given":"Nancy A."}],"issued":{"date-parts":[["1988",12,1]]},"accessed":{"date-parts":[["2016",3,17]]}}}],"schema":"https://github.com/citation-style-language/schema/raw/master/csl-citation.json"}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B11A62">
        <w:rPr>
          <w:rFonts w:ascii="Times New Roman" w:hAnsi="Times New Roman" w:cs="Times New Roman"/>
          <w:sz w:val="24"/>
          <w:lang w:val="en-US"/>
        </w:rPr>
        <w:t>(Massey and Denton 1988)</w:t>
      </w:r>
      <w:r w:rsidR="007D326F">
        <w:rPr>
          <w:rFonts w:ascii="Times New Roman" w:hAnsi="Times New Roman" w:cs="Times New Roman"/>
          <w:sz w:val="24"/>
          <w:szCs w:val="24"/>
          <w:lang w:val="en-US"/>
        </w:rPr>
        <w:fldChar w:fldCharType="end"/>
      </w:r>
      <w:r w:rsidR="00236A23">
        <w:rPr>
          <w:rFonts w:ascii="Times New Roman" w:hAnsi="Times New Roman" w:cs="Times New Roman"/>
          <w:sz w:val="24"/>
          <w:szCs w:val="24"/>
          <w:lang w:val="en-US"/>
        </w:rPr>
        <w:t>.</w:t>
      </w:r>
      <w:r w:rsidR="007D326F">
        <w:rPr>
          <w:rFonts w:ascii="Times New Roman" w:hAnsi="Times New Roman" w:cs="Times New Roman"/>
          <w:sz w:val="24"/>
          <w:szCs w:val="24"/>
          <w:lang w:val="en-US"/>
        </w:rPr>
        <w:t xml:space="preserve"> </w:t>
      </w:r>
      <w:r w:rsidR="00F835CC">
        <w:rPr>
          <w:rFonts w:ascii="Times New Roman" w:hAnsi="Times New Roman" w:cs="Times New Roman"/>
          <w:sz w:val="24"/>
          <w:szCs w:val="24"/>
          <w:lang w:val="en-US"/>
        </w:rPr>
        <w:t>We chose an</w:t>
      </w:r>
      <w:r w:rsidR="007D326F">
        <w:rPr>
          <w:rFonts w:ascii="Times New Roman" w:hAnsi="Times New Roman" w:cs="Times New Roman"/>
          <w:sz w:val="24"/>
          <w:szCs w:val="24"/>
          <w:lang w:val="en-US"/>
        </w:rPr>
        <w:t xml:space="preserve"> isolation/exposure </w:t>
      </w:r>
      <w:r w:rsidR="00F835CC">
        <w:rPr>
          <w:rFonts w:ascii="Times New Roman" w:hAnsi="Times New Roman" w:cs="Times New Roman"/>
          <w:sz w:val="24"/>
          <w:szCs w:val="24"/>
          <w:lang w:val="en-US"/>
        </w:rPr>
        <w:t>index because such indices show</w:t>
      </w:r>
      <w:r w:rsidR="007D326F">
        <w:rPr>
          <w:rFonts w:ascii="Times New Roman" w:hAnsi="Times New Roman" w:cs="Times New Roman"/>
          <w:sz w:val="24"/>
          <w:szCs w:val="24"/>
          <w:lang w:val="en-US"/>
        </w:rPr>
        <w:t xml:space="preserve"> more consistent associations with adverse health outcomes than dissimilarity indices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{"citationID":"ajt9vbfa4v","properties":{"formattedCitation":"(Mehra et al. 2017)","plainCitation":"(Mehra et al. 2017)","noteIndex":0},"citationItems":[{"id":1237,"uris":["http://zotero.org/users/2002443/items/X36XF2C3"],"uri":["http://zotero.org/users/2002443/items/X36XF2C3"],"itemData":{"id":1237,"type":"article-journal","title":"Racial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7E3AC2">
        <w:rPr>
          <w:rFonts w:ascii="Times New Roman" w:hAnsi="Times New Roman" w:cs="Times New Roman"/>
          <w:sz w:val="24"/>
          <w:lang w:val="en-US"/>
        </w:rPr>
        <w:t>(Mehra et al. 2017)</w:t>
      </w:r>
      <w:r w:rsidR="007D326F">
        <w:rPr>
          <w:rFonts w:ascii="Times New Roman" w:hAnsi="Times New Roman" w:cs="Times New Roman"/>
          <w:sz w:val="24"/>
          <w:szCs w:val="24"/>
          <w:lang w:val="en-US"/>
        </w:rPr>
        <w:fldChar w:fldCharType="end"/>
      </w:r>
      <w:r w:rsidR="007D326F">
        <w:rPr>
          <w:rFonts w:ascii="Times New Roman" w:hAnsi="Times New Roman" w:cs="Times New Roman"/>
          <w:sz w:val="24"/>
          <w:szCs w:val="24"/>
          <w:lang w:val="en-US"/>
        </w:rPr>
        <w:t xml:space="preserve">.  </w:t>
      </w:r>
      <w:r w:rsidR="005F31E8">
        <w:rPr>
          <w:rFonts w:ascii="Times New Roman" w:hAnsi="Times New Roman" w:cs="Times New Roman"/>
          <w:sz w:val="24"/>
          <w:szCs w:val="24"/>
          <w:lang w:val="en-US"/>
        </w:rPr>
        <w:t>We calculated the index</w:t>
      </w:r>
      <w:r w:rsidR="007D326F">
        <w:rPr>
          <w:rFonts w:ascii="Times New Roman" w:hAnsi="Times New Roman" w:cs="Times New Roman"/>
          <w:sz w:val="24"/>
          <w:szCs w:val="24"/>
          <w:lang w:val="en-US"/>
        </w:rPr>
        <w:t xml:space="preserve"> using</w:t>
      </w:r>
      <w:r w:rsidR="007D326F" w:rsidRPr="004549A1">
        <w:rPr>
          <w:rFonts w:ascii="Times New Roman" w:hAnsi="Times New Roman" w:cs="Times New Roman"/>
          <w:sz w:val="24"/>
          <w:szCs w:val="24"/>
          <w:lang w:val="en-US"/>
        </w:rPr>
        <w:t xml:space="preserve"> </w:t>
      </w:r>
      <w:r w:rsidR="006D0FD5">
        <w:rPr>
          <w:rFonts w:ascii="Times New Roman" w:hAnsi="Times New Roman" w:cs="Times New Roman"/>
          <w:sz w:val="24"/>
          <w:szCs w:val="24"/>
          <w:lang w:val="en-US"/>
        </w:rPr>
        <w:t>US</w:t>
      </w:r>
      <w:r w:rsidR="007D326F" w:rsidRPr="004549A1">
        <w:rPr>
          <w:rFonts w:ascii="Times New Roman" w:hAnsi="Times New Roman" w:cs="Times New Roman"/>
          <w:sz w:val="24"/>
          <w:szCs w:val="24"/>
          <w:lang w:val="en-US"/>
        </w:rPr>
        <w:t xml:space="preserve"> Census data for the total population and the population identifying as Black or African American alone</w:t>
      </w:r>
      <w:r w:rsidR="00ED1280">
        <w:rPr>
          <w:rFonts w:ascii="Times New Roman" w:hAnsi="Times New Roman" w:cs="Times New Roman"/>
          <w:sz w:val="24"/>
          <w:szCs w:val="24"/>
          <w:lang w:val="en-US"/>
        </w:rPr>
        <w:t>, not Hispanic or Latino</w:t>
      </w:r>
      <w:r w:rsidR="007D326F">
        <w:rPr>
          <w:rFonts w:ascii="Times New Roman" w:hAnsi="Times New Roman" w:cs="Times New Roman"/>
          <w:sz w:val="24"/>
          <w:szCs w:val="24"/>
          <w:lang w:val="en-US"/>
        </w:rPr>
        <w:t xml:space="preserve">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{"citationID":"a6minvhfps","properties":{"formattedCitation":"(U.S. Census Bureau 2011)","plainCitation":"(U.S. Census Bureau 2011)","noteIndex":0},"citationItems":[{"id":1173,"uris":["http://zotero.org/users/2002443/items/GWS8EEAU"],"uri":["http://zotero.org/users/2002443/items/GWS8EEAU"],"itemData":{"id":1173,"type":"webpage","title":"2010 Census of Population and Housing","URL":"https://www.census.gov/2010census/data/","author":[{"family":"U.S. Census Bureau","given":""}],"issued":{"date-parts":[["2011"]]},"accessed":{"date-parts":[["2017",8,18]]}}}],"schema":"https://github.com/citation-style-language/schema/raw/master/csl-citation.json"}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BB641E">
        <w:rPr>
          <w:rFonts w:ascii="Times New Roman" w:hAnsi="Times New Roman" w:cs="Times New Roman"/>
          <w:sz w:val="24"/>
          <w:lang w:val="en-US"/>
        </w:rPr>
        <w:t>(</w:t>
      </w:r>
      <w:r w:rsidR="006D0FD5">
        <w:rPr>
          <w:rFonts w:ascii="Times New Roman" w:hAnsi="Times New Roman" w:cs="Times New Roman"/>
          <w:sz w:val="24"/>
          <w:lang w:val="en-US"/>
        </w:rPr>
        <w:t>US</w:t>
      </w:r>
      <w:r w:rsidR="007D326F" w:rsidRPr="00BB641E">
        <w:rPr>
          <w:rFonts w:ascii="Times New Roman" w:hAnsi="Times New Roman" w:cs="Times New Roman"/>
          <w:sz w:val="24"/>
          <w:lang w:val="en-US"/>
        </w:rPr>
        <w:t xml:space="preserve"> Census Bureau 2011)</w:t>
      </w:r>
      <w:r w:rsidR="007D326F">
        <w:rPr>
          <w:rFonts w:ascii="Times New Roman" w:hAnsi="Times New Roman" w:cs="Times New Roman"/>
          <w:sz w:val="24"/>
          <w:szCs w:val="24"/>
          <w:lang w:val="en-US"/>
        </w:rPr>
        <w:fldChar w:fldCharType="end"/>
      </w:r>
      <w:r w:rsidR="007D326F" w:rsidRPr="004549A1">
        <w:rPr>
          <w:rFonts w:ascii="Times New Roman" w:hAnsi="Times New Roman" w:cs="Times New Roman"/>
          <w:sz w:val="24"/>
          <w:szCs w:val="24"/>
          <w:lang w:val="en-US"/>
        </w:rPr>
        <w:t>:</w:t>
      </w:r>
    </w:p>
    <w:commentRangeStart w:id="15"/>
    <w:p w14:paraId="4C0156DE" w14:textId="77777777" w:rsidR="007D326F" w:rsidRPr="007E3AC2" w:rsidRDefault="006D0FD5" w:rsidP="007D326F">
      <w:pPr>
        <w:spacing w:line="480" w:lineRule="auto"/>
        <w:rPr>
          <w:rFonts w:ascii="Times New Roman" w:eastAsiaTheme="minorEastAsia" w:hAnsi="Times New Roman" w:cs="Times New Roman"/>
          <w:iCs/>
          <w:sz w:val="24"/>
          <w:szCs w:val="24"/>
          <w:lang w:val="en-US"/>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sup>
          </m:sSubSup>
          <m:r>
            <m:rPr>
              <m:sty m:val="p"/>
            </m:rP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rPr>
              </m:ctrlPr>
            </m:fPr>
            <m:num>
              <m:nary>
                <m:naryPr>
                  <m:chr m:val="∑"/>
                  <m:supHide m:val="1"/>
                  <m:ctrlPr>
                    <w:rPr>
                      <w:rFonts w:ascii="Cambria Math" w:eastAsiaTheme="minorEastAsia" w:hAnsi="Cambria Math" w:cs="Times New Roman"/>
                      <w:i/>
                      <w:iCs/>
                      <w:sz w:val="24"/>
                      <w:szCs w:val="24"/>
                    </w:rPr>
                  </m:ctrlPr>
                </m:naryPr>
                <m: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b>
                <m:sup/>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Sub>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p>
                  </m:sSubSup>
                  <m:r>
                    <w:rPr>
                      <w:rFonts w:ascii="Cambria Math" w:eastAsiaTheme="minorEastAsia" w:hAnsi="Cambria Math" w:cs="Times New Roman"/>
                      <w:sz w:val="24"/>
                      <w:szCs w:val="24"/>
                      <w:lang w:val="en-US"/>
                    </w:rPr>
                    <m:t>)</m:t>
                  </m:r>
                </m:e>
              </m:nary>
            </m:num>
            <m:den>
              <m:nary>
                <m:naryPr>
                  <m:chr m:val="∑"/>
                  <m:limLoc m:val="undOvr"/>
                  <m:supHide m:val="1"/>
                  <m:ctrlPr>
                    <w:rPr>
                      <w:rFonts w:ascii="Cambria Math" w:eastAsiaTheme="minorEastAsia" w:hAnsi="Cambria Math" w:cs="Times New Roman"/>
                      <w:i/>
                      <w:iCs/>
                      <w:sz w:val="24"/>
                      <w:szCs w:val="24"/>
                    </w:rPr>
                  </m:ctrlPr>
                </m:naryPr>
                <m: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b>
                <m:sup/>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Sub>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lang w:val="en-US"/>
                            </w:rPr>
                            <m:t>T</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p>
                      </m:sSup>
                    </m:e>
                  </m:d>
                </m:e>
              </m:nary>
            </m:den>
          </m:f>
          <w:commentRangeEnd w:id="15"/>
          <m:r>
            <m:rPr>
              <m:sty m:val="p"/>
            </m:rPr>
            <w:rPr>
              <w:rStyle w:val="CommentReference"/>
              <w:rFonts w:ascii="Cambria Math" w:hAnsi="Cambria Math" w:cs="Times New Roman"/>
            </w:rPr>
            <w:commentReference w:id="15"/>
          </m:r>
        </m:oMath>
      </m:oMathPara>
    </w:p>
    <w:p w14:paraId="6A6E616E" w14:textId="77777777" w:rsidR="007D326F" w:rsidRPr="004549A1" w:rsidRDefault="007D326F" w:rsidP="00D3379F">
      <w:pPr>
        <w:spacing w:line="480" w:lineRule="auto"/>
        <w:ind w:left="1428" w:hanging="720"/>
        <w:rPr>
          <w:rFonts w:ascii="Times New Roman" w:eastAsiaTheme="minorEastAsia" w:hAnsi="Times New Roman" w:cs="Times New Roman"/>
          <w:sz w:val="24"/>
          <w:szCs w:val="24"/>
          <w:lang w:val="en-US"/>
        </w:rPr>
      </w:pPr>
      <w:r w:rsidRPr="004549A1">
        <w:rPr>
          <w:rFonts w:ascii="Times New Roman" w:eastAsiaTheme="minorEastAsia" w:hAnsi="Times New Roman" w:cs="Times New Roman"/>
          <w:i/>
          <w:sz w:val="24"/>
          <w:szCs w:val="24"/>
          <w:lang w:val="en-US"/>
        </w:rPr>
        <w:t>b</w:t>
      </w:r>
      <w:r w:rsidRPr="004549A1">
        <w:rPr>
          <w:rFonts w:ascii="Times New Roman" w:eastAsiaTheme="minorEastAsia" w:hAnsi="Times New Roman" w:cs="Times New Roman"/>
          <w:sz w:val="24"/>
          <w:szCs w:val="24"/>
          <w:lang w:val="en-US"/>
        </w:rPr>
        <w:t xml:space="preserve">: </w:t>
      </w:r>
      <w:r w:rsidRPr="004549A1">
        <w:rPr>
          <w:rFonts w:ascii="Times New Roman" w:eastAsiaTheme="minorEastAsia" w:hAnsi="Times New Roman" w:cs="Times New Roman"/>
          <w:sz w:val="24"/>
          <w:szCs w:val="24"/>
          <w:lang w:val="en-US"/>
        </w:rPr>
        <w:tab/>
        <w:t>African American (Black) population.</w:t>
      </w:r>
    </w:p>
    <w:p w14:paraId="279CB08C" w14:textId="77777777" w:rsidR="007D326F" w:rsidRPr="004549A1" w:rsidRDefault="007D326F" w:rsidP="00D3379F">
      <w:pPr>
        <w:spacing w:line="480" w:lineRule="auto"/>
        <w:ind w:left="708"/>
        <w:rPr>
          <w:rFonts w:ascii="Times New Roman" w:eastAsiaTheme="minorEastAsia" w:hAnsi="Times New Roman" w:cs="Times New Roman"/>
          <w:sz w:val="24"/>
          <w:szCs w:val="24"/>
          <w:lang w:val="en-US"/>
        </w:rPr>
      </w:pPr>
      <w:proofErr w:type="spellStart"/>
      <w:proofErr w:type="gramStart"/>
      <w:r w:rsidRPr="004549A1">
        <w:rPr>
          <w:rFonts w:ascii="Times New Roman" w:eastAsiaTheme="minorEastAsia" w:hAnsi="Times New Roman" w:cs="Times New Roman"/>
          <w:i/>
          <w:iCs/>
          <w:sz w:val="24"/>
          <w:szCs w:val="24"/>
          <w:lang w:val="en-US"/>
        </w:rPr>
        <w:t>i,j</w:t>
      </w:r>
      <w:proofErr w:type="spellEnd"/>
      <w:proofErr w:type="gramEnd"/>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Indices of census tracts </w:t>
      </w:r>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sz w:val="24"/>
          <w:szCs w:val="24"/>
          <w:lang w:val="en-US"/>
        </w:rPr>
        <w:t xml:space="preserve"> in a containing region </w:t>
      </w:r>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sz w:val="24"/>
          <w:szCs w:val="24"/>
          <w:lang w:val="en-US"/>
        </w:rPr>
        <w:t>.</w:t>
      </w:r>
    </w:p>
    <w:p w14:paraId="412DC0CD" w14:textId="77777777" w:rsidR="007D326F" w:rsidRPr="004549A1" w:rsidRDefault="007D326F" w:rsidP="00D3379F">
      <w:pPr>
        <w:spacing w:line="480" w:lineRule="auto"/>
        <w:ind w:left="708"/>
        <w:rPr>
          <w:rFonts w:ascii="Times New Roman" w:eastAsiaTheme="minorEastAsia" w:hAnsi="Times New Roman" w:cs="Times New Roman"/>
          <w:sz w:val="24"/>
          <w:szCs w:val="24"/>
          <w:lang w:val="en-US"/>
        </w:rPr>
      </w:pP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sz w:val="24"/>
          <w:szCs w:val="24"/>
          <w:vertAlign w:val="subscript"/>
          <w:lang w:val="en-US"/>
        </w:rPr>
        <w:t>j</w:t>
      </w:r>
      <w:proofErr w:type="spellEnd"/>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Census tract </w:t>
      </w:r>
      <w:r w:rsidRPr="004549A1">
        <w:rPr>
          <w:rFonts w:ascii="Times New Roman" w:eastAsiaTheme="minorEastAsia" w:hAnsi="Times New Roman" w:cs="Times New Roman"/>
          <w:i/>
          <w:sz w:val="24"/>
          <w:szCs w:val="24"/>
          <w:lang w:val="en-US"/>
        </w:rPr>
        <w:t>j</w:t>
      </w:r>
      <w:r w:rsidRPr="004549A1">
        <w:rPr>
          <w:rFonts w:ascii="Times New Roman" w:eastAsiaTheme="minorEastAsia" w:hAnsi="Times New Roman" w:cs="Times New Roman"/>
          <w:sz w:val="24"/>
          <w:szCs w:val="24"/>
          <w:lang w:val="en-US"/>
        </w:rPr>
        <w:t>.</w:t>
      </w:r>
    </w:p>
    <w:p w14:paraId="134A5F6D" w14:textId="77777777" w:rsidR="007D326F" w:rsidRPr="004549A1" w:rsidRDefault="006D0FD5" w:rsidP="00D3379F">
      <w:pPr>
        <w:spacing w:line="480" w:lineRule="auto"/>
        <w:ind w:left="708"/>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sup>
        </m:sSubSup>
      </m:oMath>
      <w:r w:rsidR="007D326F" w:rsidRPr="004549A1">
        <w:rPr>
          <w:rFonts w:ascii="Times New Roman" w:eastAsiaTheme="minorEastAsia" w:hAnsi="Times New Roman" w:cs="Times New Roman"/>
          <w:sz w:val="24"/>
          <w:szCs w:val="24"/>
          <w:lang w:val="en-US"/>
        </w:rPr>
        <w:t>:</w:t>
      </w:r>
      <w:r w:rsidR="007D326F" w:rsidRPr="004549A1">
        <w:rPr>
          <w:rFonts w:ascii="Times New Roman" w:eastAsiaTheme="minorEastAsia" w:hAnsi="Times New Roman" w:cs="Times New Roman"/>
          <w:sz w:val="24"/>
          <w:szCs w:val="24"/>
          <w:lang w:val="en-US"/>
        </w:rPr>
        <w:tab/>
        <w:t xml:space="preserve">Measure of the spatial isolation of Black population b in census tract </w:t>
      </w:r>
      <w:proofErr w:type="spellStart"/>
      <w:r w:rsidR="007D326F" w:rsidRPr="004549A1">
        <w:rPr>
          <w:rFonts w:ascii="Times New Roman" w:eastAsia="Times New Roman" w:hAnsi="Times New Roman" w:cs="Times New Roman"/>
          <w:i/>
          <w:iCs/>
          <w:color w:val="000000"/>
          <w:kern w:val="24"/>
          <w:sz w:val="24"/>
          <w:szCs w:val="24"/>
          <w:lang w:val="en-US"/>
        </w:rPr>
        <w:t>r</w:t>
      </w:r>
      <w:r w:rsidR="007D326F" w:rsidRPr="004549A1">
        <w:rPr>
          <w:rFonts w:ascii="Times New Roman" w:eastAsia="Times New Roman" w:hAnsi="Times New Roman" w:cs="Times New Roman"/>
          <w:i/>
          <w:iCs/>
          <w:color w:val="000000"/>
          <w:kern w:val="24"/>
          <w:sz w:val="24"/>
          <w:szCs w:val="24"/>
          <w:vertAlign w:val="subscript"/>
          <w:lang w:val="en-US"/>
        </w:rPr>
        <w:t>i</w:t>
      </w:r>
      <w:proofErr w:type="spellEnd"/>
      <w:r w:rsidR="007D326F" w:rsidRPr="004549A1">
        <w:rPr>
          <w:rFonts w:ascii="Times New Roman" w:eastAsia="Times New Roman" w:hAnsi="Times New Roman" w:cs="Times New Roman"/>
          <w:color w:val="000000"/>
          <w:kern w:val="24"/>
          <w:sz w:val="24"/>
          <w:szCs w:val="24"/>
          <w:lang w:val="en-US"/>
        </w:rPr>
        <w:t>.</w:t>
      </w:r>
    </w:p>
    <w:p w14:paraId="273BA21B" w14:textId="77777777" w:rsidR="007D326F" w:rsidRPr="004549A1" w:rsidRDefault="006D0FD5" w:rsidP="00D3379F">
      <w:pPr>
        <w:pStyle w:val="NormalWeb"/>
        <w:spacing w:before="0" w:beforeAutospacing="0" w:after="120" w:afterAutospacing="0" w:line="480" w:lineRule="auto"/>
        <w:ind w:left="1428" w:hanging="720"/>
        <w:rPr>
          <w:lang w:val="en-US"/>
        </w:rPr>
      </w:pPr>
      <m:oMath>
        <m:sSup>
          <m:sSupPr>
            <m:ctrlPr>
              <w:rPr>
                <w:rFonts w:ascii="Cambria Math" w:eastAsia="Cambria Math" w:hAnsi="Cambria Math"/>
                <w:i/>
                <w:iCs/>
                <w:color w:val="000000"/>
                <w:kern w:val="24"/>
              </w:rPr>
            </m:ctrlPr>
          </m:sSupPr>
          <m:e>
            <m:r>
              <w:rPr>
                <w:rFonts w:ascii="Cambria Math" w:eastAsia="Cambria Math" w:hAnsi="Cambria Math"/>
                <w:color w:val="000000"/>
                <w:kern w:val="24"/>
                <w:lang w:val="en-US"/>
              </w:rPr>
              <m:t>T</m:t>
            </m:r>
          </m:e>
          <m:sup>
            <m:sSub>
              <m:sSubPr>
                <m:ctrlPr>
                  <w:rPr>
                    <w:rFonts w:ascii="Cambria Math" w:eastAsia="Cambria Math" w:hAnsi="Cambria Math"/>
                    <w:i/>
                    <w:iCs/>
                    <w:color w:val="000000"/>
                    <w:kern w:val="24"/>
                  </w:rPr>
                </m:ctrlPr>
              </m:sSubPr>
              <m:e>
                <m:r>
                  <w:rPr>
                    <w:rFonts w:ascii="Cambria Math" w:eastAsia="Cambria Math" w:hAnsi="Cambria Math"/>
                    <w:color w:val="000000"/>
                    <w:kern w:val="24"/>
                    <w:lang w:val="en-US"/>
                  </w:rPr>
                  <m:t>r</m:t>
                </m:r>
              </m:e>
              <m:sub>
                <m:r>
                  <w:rPr>
                    <w:rFonts w:ascii="Cambria Math" w:eastAsia="Cambria Math" w:hAnsi="Cambria Math"/>
                    <w:color w:val="000000"/>
                    <w:kern w:val="24"/>
                    <w:lang w:val="en-US"/>
                  </w:rPr>
                  <m:t>j</m:t>
                </m:r>
              </m:sub>
            </m:sSub>
          </m:sup>
        </m:sSup>
      </m:oMath>
      <w:r w:rsidR="007D326F" w:rsidRPr="004549A1">
        <w:rPr>
          <w:rFonts w:eastAsia="Times New Roman"/>
          <w:color w:val="000000"/>
          <w:kern w:val="24"/>
          <w:lang w:val="en-US"/>
        </w:rPr>
        <w:t>:</w:t>
      </w:r>
      <w:r w:rsidR="007D326F" w:rsidRPr="004549A1">
        <w:rPr>
          <w:rFonts w:eastAsia="Times New Roman"/>
          <w:color w:val="000000"/>
          <w:kern w:val="24"/>
          <w:lang w:val="en-US"/>
        </w:rPr>
        <w:tab/>
        <w:t xml:space="preserve">Total population of census tract </w:t>
      </w:r>
      <w:proofErr w:type="spellStart"/>
      <w:r w:rsidR="007D326F" w:rsidRPr="004549A1">
        <w:rPr>
          <w:rFonts w:eastAsia="Times New Roman"/>
          <w:i/>
          <w:iCs/>
          <w:color w:val="000000"/>
          <w:kern w:val="24"/>
          <w:lang w:val="en-US"/>
        </w:rPr>
        <w:t>r</w:t>
      </w:r>
      <w:r w:rsidR="007D326F" w:rsidRPr="004549A1">
        <w:rPr>
          <w:rFonts w:eastAsia="Times New Roman"/>
          <w:i/>
          <w:iCs/>
          <w:color w:val="000000"/>
          <w:kern w:val="24"/>
          <w:vertAlign w:val="subscript"/>
          <w:lang w:val="en-US"/>
        </w:rPr>
        <w:t>j</w:t>
      </w:r>
      <w:proofErr w:type="spellEnd"/>
      <w:r w:rsidR="007D326F" w:rsidRPr="004549A1">
        <w:rPr>
          <w:rFonts w:eastAsia="Times New Roman"/>
          <w:color w:val="000000"/>
          <w:kern w:val="24"/>
          <w:lang w:val="en-US"/>
        </w:rPr>
        <w:t>.</w:t>
      </w:r>
    </w:p>
    <w:p w14:paraId="35C6A08E" w14:textId="77777777" w:rsidR="007D326F" w:rsidRPr="004549A1" w:rsidRDefault="006D0FD5" w:rsidP="00D3379F">
      <w:pPr>
        <w:pStyle w:val="NormalWeb"/>
        <w:spacing w:before="0" w:beforeAutospacing="0" w:after="120" w:afterAutospacing="0" w:line="480" w:lineRule="auto"/>
        <w:ind w:left="1428" w:hanging="720"/>
        <w:rPr>
          <w:lang w:val="en-US"/>
        </w:rPr>
      </w:pPr>
      <m:oMath>
        <m:sSubSup>
          <m:sSubSupPr>
            <m:ctrlPr>
              <w:rPr>
                <w:rFonts w:ascii="Cambria Math" w:eastAsia="Cambria Math" w:hAnsi="Cambria Math"/>
                <w:i/>
                <w:iCs/>
                <w:color w:val="000000"/>
                <w:kern w:val="24"/>
              </w:rPr>
            </m:ctrlPr>
          </m:sSubSupPr>
          <m:e>
            <m:r>
              <w:rPr>
                <w:rFonts w:ascii="Cambria Math" w:eastAsia="Cambria Math" w:hAnsi="Cambria Math"/>
                <w:color w:val="000000"/>
                <w:kern w:val="24"/>
                <w:lang w:val="en-US"/>
              </w:rPr>
              <m:t>T</m:t>
            </m:r>
          </m:e>
          <m:sub>
            <m:r>
              <w:rPr>
                <w:rFonts w:ascii="Cambria Math" w:eastAsia="Cambria Math" w:hAnsi="Cambria Math"/>
                <w:color w:val="000000"/>
                <w:kern w:val="24"/>
                <w:lang w:val="en-US"/>
              </w:rPr>
              <m:t>b</m:t>
            </m:r>
          </m:sub>
          <m:sup>
            <m:sSub>
              <m:sSubPr>
                <m:ctrlPr>
                  <w:rPr>
                    <w:rFonts w:ascii="Cambria Math" w:eastAsia="Cambria Math" w:hAnsi="Cambria Math"/>
                    <w:i/>
                    <w:iCs/>
                    <w:color w:val="000000"/>
                    <w:kern w:val="24"/>
                  </w:rPr>
                </m:ctrlPr>
              </m:sSubPr>
              <m:e>
                <m:r>
                  <w:rPr>
                    <w:rFonts w:ascii="Cambria Math" w:eastAsia="Cambria Math" w:hAnsi="Cambria Math"/>
                    <w:color w:val="000000"/>
                    <w:kern w:val="24"/>
                    <w:lang w:val="en-US"/>
                  </w:rPr>
                  <m:t>r</m:t>
                </m:r>
              </m:e>
              <m:sub>
                <m:r>
                  <w:rPr>
                    <w:rFonts w:ascii="Cambria Math" w:eastAsia="Cambria Math" w:hAnsi="Cambria Math"/>
                    <w:color w:val="000000"/>
                    <w:kern w:val="24"/>
                    <w:lang w:val="en-US"/>
                  </w:rPr>
                  <m:t>j</m:t>
                </m:r>
              </m:sub>
            </m:sSub>
          </m:sup>
        </m:sSubSup>
      </m:oMath>
      <w:r w:rsidR="007D326F" w:rsidRPr="004549A1">
        <w:rPr>
          <w:rFonts w:eastAsia="Times New Roman"/>
          <w:color w:val="000000"/>
          <w:kern w:val="24"/>
          <w:lang w:val="en-US"/>
        </w:rPr>
        <w:t xml:space="preserve">: </w:t>
      </w:r>
      <w:r w:rsidR="007D326F" w:rsidRPr="004549A1">
        <w:rPr>
          <w:rFonts w:eastAsia="Times New Roman"/>
          <w:color w:val="000000"/>
          <w:kern w:val="24"/>
          <w:lang w:val="en-US"/>
        </w:rPr>
        <w:tab/>
        <w:t xml:space="preserve">Total Black population </w:t>
      </w:r>
      <w:r w:rsidR="007D326F" w:rsidRPr="004549A1">
        <w:rPr>
          <w:rFonts w:eastAsia="Times New Roman"/>
          <w:i/>
          <w:iCs/>
          <w:color w:val="000000"/>
          <w:kern w:val="24"/>
          <w:lang w:val="en-US"/>
        </w:rPr>
        <w:t>b</w:t>
      </w:r>
      <w:r w:rsidR="007D326F" w:rsidRPr="004549A1">
        <w:rPr>
          <w:rFonts w:eastAsia="Times New Roman"/>
          <w:color w:val="000000"/>
          <w:kern w:val="24"/>
          <w:lang w:val="en-US"/>
        </w:rPr>
        <w:t xml:space="preserve"> of census tract </w:t>
      </w:r>
      <w:proofErr w:type="spellStart"/>
      <w:r w:rsidR="007D326F" w:rsidRPr="004549A1">
        <w:rPr>
          <w:rFonts w:eastAsia="Times New Roman"/>
          <w:i/>
          <w:iCs/>
          <w:color w:val="000000"/>
          <w:kern w:val="24"/>
          <w:lang w:val="en-US"/>
        </w:rPr>
        <w:t>r</w:t>
      </w:r>
      <w:r w:rsidR="007D326F" w:rsidRPr="004549A1">
        <w:rPr>
          <w:rFonts w:eastAsia="Times New Roman"/>
          <w:i/>
          <w:iCs/>
          <w:color w:val="000000"/>
          <w:kern w:val="24"/>
          <w:vertAlign w:val="subscript"/>
          <w:lang w:val="en-US"/>
        </w:rPr>
        <w:t>j</w:t>
      </w:r>
      <w:proofErr w:type="spellEnd"/>
      <w:r w:rsidR="007D326F" w:rsidRPr="004549A1">
        <w:rPr>
          <w:rFonts w:eastAsia="Times New Roman"/>
          <w:color w:val="000000"/>
          <w:kern w:val="24"/>
          <w:lang w:val="en-US"/>
        </w:rPr>
        <w:t>.</w:t>
      </w:r>
    </w:p>
    <w:p w14:paraId="200A2AA6" w14:textId="0CA11228" w:rsidR="007D326F" w:rsidRDefault="007D326F" w:rsidP="00D3379F">
      <w:pPr>
        <w:spacing w:line="480" w:lineRule="auto"/>
        <w:ind w:left="708"/>
        <w:rPr>
          <w:rFonts w:ascii="Times New Roman" w:eastAsiaTheme="minorEastAsia" w:hAnsi="Times New Roman" w:cs="Times New Roman"/>
          <w:sz w:val="24"/>
          <w:szCs w:val="24"/>
          <w:lang w:val="en-US"/>
        </w:rPr>
      </w:pPr>
      <w:r w:rsidRPr="004549A1">
        <w:rPr>
          <w:rFonts w:ascii="Cambria Math" w:eastAsiaTheme="minorEastAsia" w:hAnsi="Cambria Math" w:cs="Cambria Math"/>
          <w:sz w:val="24"/>
          <w:szCs w:val="24"/>
          <w:lang w:val="en-US"/>
        </w:rPr>
        <w:t>𝛾</w:t>
      </w:r>
      <w:r w:rsidRPr="004549A1">
        <w:rPr>
          <w:rFonts w:ascii="Cambria Math" w:eastAsiaTheme="minorEastAsia" w:hAnsi="Cambria Math" w:cs="Cambria Math"/>
          <w:sz w:val="24"/>
          <w:szCs w:val="24"/>
          <w:vertAlign w:val="subscript"/>
          <w:lang w:val="en-US"/>
        </w:rPr>
        <w:t>𝑖𝑗</w:t>
      </w:r>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Adjacency term (1 if census tracts </w:t>
      </w: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iCs/>
          <w:sz w:val="24"/>
          <w:szCs w:val="24"/>
          <w:vertAlign w:val="subscript"/>
          <w:lang w:val="en-US"/>
        </w:rPr>
        <w:t>i</w:t>
      </w:r>
      <w:proofErr w:type="spellEnd"/>
      <w:r w:rsidRPr="004549A1">
        <w:rPr>
          <w:rFonts w:ascii="Times New Roman" w:eastAsiaTheme="minorEastAsia" w:hAnsi="Times New Roman" w:cs="Times New Roman"/>
          <w:sz w:val="24"/>
          <w:szCs w:val="24"/>
          <w:lang w:val="en-US"/>
        </w:rPr>
        <w:t xml:space="preserve"> and </w:t>
      </w: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iCs/>
          <w:sz w:val="24"/>
          <w:szCs w:val="24"/>
          <w:vertAlign w:val="subscript"/>
          <w:lang w:val="en-US"/>
        </w:rPr>
        <w:t>j</w:t>
      </w:r>
      <w:proofErr w:type="spellEnd"/>
      <w:r w:rsidRPr="004549A1">
        <w:rPr>
          <w:rFonts w:ascii="Times New Roman" w:eastAsiaTheme="minorEastAsia" w:hAnsi="Times New Roman" w:cs="Times New Roman"/>
          <w:sz w:val="24"/>
          <w:szCs w:val="24"/>
          <w:lang w:val="en-US"/>
        </w:rPr>
        <w:t xml:space="preserve"> share a border, 0 otherwise).</w:t>
      </w:r>
    </w:p>
    <w:p w14:paraId="1A424261" w14:textId="3F2D5DFA" w:rsidR="00236A23" w:rsidRDefault="00236A23" w:rsidP="00236A2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See Figure 3.  </w:t>
      </w:r>
      <w:commentRangeStart w:id="16"/>
      <w:r>
        <w:rPr>
          <w:rFonts w:ascii="Times New Roman" w:eastAsiaTheme="minorEastAsia" w:hAnsi="Times New Roman" w:cs="Times New Roman"/>
          <w:sz w:val="24"/>
          <w:szCs w:val="24"/>
          <w:lang w:val="en-US"/>
        </w:rPr>
        <w:t>We then broke the RI into quintiles among all urban census tracts in the US for the analyses.</w:t>
      </w:r>
      <w:commentRangeEnd w:id="16"/>
      <w:r w:rsidR="00084BCE">
        <w:rPr>
          <w:rStyle w:val="CommentReference"/>
        </w:rPr>
        <w:commentReference w:id="16"/>
      </w:r>
    </w:p>
    <w:p w14:paraId="6D262DD2" w14:textId="68369D5A" w:rsidR="0089751E" w:rsidRPr="004549A1" w:rsidRDefault="005D74CC" w:rsidP="0089751E">
      <w:pPr>
        <w:spacing w:line="480" w:lineRule="auto"/>
        <w:rPr>
          <w:rFonts w:ascii="Times New Roman" w:hAnsi="Times New Roman" w:cs="Times New Roman"/>
          <w:sz w:val="24"/>
          <w:szCs w:val="24"/>
          <w:lang w:val="en-US"/>
        </w:rPr>
      </w:pPr>
      <w:commentRangeStart w:id="17"/>
      <w:r w:rsidRPr="004549A1">
        <w:rPr>
          <w:rFonts w:ascii="Times New Roman" w:hAnsi="Times New Roman" w:cs="Times New Roman"/>
          <w:i/>
          <w:sz w:val="24"/>
          <w:szCs w:val="24"/>
          <w:lang w:val="en-US"/>
        </w:rPr>
        <w:t xml:space="preserve">Statistical </w:t>
      </w:r>
      <w:r w:rsidR="00066A5F" w:rsidRPr="004549A1">
        <w:rPr>
          <w:rFonts w:ascii="Times New Roman" w:hAnsi="Times New Roman" w:cs="Times New Roman"/>
          <w:i/>
          <w:sz w:val="24"/>
          <w:szCs w:val="24"/>
          <w:lang w:val="en-US"/>
        </w:rPr>
        <w:t>a</w:t>
      </w:r>
      <w:r w:rsidR="0089751E" w:rsidRPr="004549A1">
        <w:rPr>
          <w:rFonts w:ascii="Times New Roman" w:hAnsi="Times New Roman" w:cs="Times New Roman"/>
          <w:i/>
          <w:sz w:val="24"/>
          <w:szCs w:val="24"/>
          <w:lang w:val="en-US"/>
        </w:rPr>
        <w:t>nalyses</w:t>
      </w:r>
      <w:commentRangeEnd w:id="17"/>
      <w:r w:rsidR="00E46A4E">
        <w:rPr>
          <w:rStyle w:val="CommentReference"/>
        </w:rPr>
        <w:commentReference w:id="17"/>
      </w:r>
    </w:p>
    <w:p w14:paraId="26BA1FE6" w14:textId="6EA6FFA7" w:rsidR="003A68E1" w:rsidRPr="004549A1" w:rsidRDefault="00BF4CE0" w:rsidP="003A68E1">
      <w:pPr>
        <w:spacing w:line="480" w:lineRule="auto"/>
        <w:ind w:firstLine="708"/>
        <w:rPr>
          <w:rFonts w:ascii="Times New Roman" w:hAnsi="Times New Roman" w:cs="Times New Roman"/>
          <w:sz w:val="24"/>
          <w:szCs w:val="24"/>
          <w:lang w:val="en-US"/>
        </w:rPr>
      </w:pPr>
      <w:commentRangeStart w:id="18"/>
      <w:r>
        <w:rPr>
          <w:rFonts w:ascii="Times New Roman" w:hAnsi="Times New Roman" w:cs="Times New Roman"/>
          <w:sz w:val="24"/>
          <w:szCs w:val="24"/>
          <w:lang w:val="en-US"/>
        </w:rPr>
        <w:t>We included tracts</w:t>
      </w:r>
      <w:r w:rsidR="003A68E1" w:rsidRPr="004549A1">
        <w:rPr>
          <w:rFonts w:ascii="Times New Roman" w:hAnsi="Times New Roman" w:cs="Times New Roman"/>
          <w:sz w:val="24"/>
          <w:szCs w:val="24"/>
          <w:lang w:val="en-US"/>
        </w:rPr>
        <w:t xml:space="preserve"> in the analysis </w:t>
      </w:r>
      <w:r w:rsidR="008F0560">
        <w:rPr>
          <w:rFonts w:ascii="Times New Roman" w:hAnsi="Times New Roman" w:cs="Times New Roman"/>
          <w:sz w:val="24"/>
          <w:szCs w:val="24"/>
          <w:lang w:val="en-US"/>
        </w:rPr>
        <w:t xml:space="preserve">for a given pollutant </w:t>
      </w:r>
      <w:r w:rsidR="003A68E1" w:rsidRPr="004549A1">
        <w:rPr>
          <w:rFonts w:ascii="Times New Roman" w:hAnsi="Times New Roman" w:cs="Times New Roman"/>
          <w:sz w:val="24"/>
          <w:szCs w:val="24"/>
          <w:lang w:val="en-US"/>
        </w:rPr>
        <w:t xml:space="preserve">if they were within an urbanized area or the surrounding commuting area as defined by </w:t>
      </w:r>
      <w:commentRangeStart w:id="19"/>
      <w:r w:rsidR="003A68E1" w:rsidRPr="004549A1">
        <w:rPr>
          <w:rFonts w:ascii="Times New Roman" w:hAnsi="Times New Roman" w:cs="Times New Roman"/>
          <w:sz w:val="24"/>
          <w:szCs w:val="24"/>
          <w:lang w:val="en-US"/>
        </w:rPr>
        <w:t>2010 RUCA codes</w:t>
      </w:r>
      <w:r w:rsidR="005B3BFF">
        <w:rPr>
          <w:rFonts w:ascii="Times New Roman" w:hAnsi="Times New Roman" w:cs="Times New Roman"/>
          <w:sz w:val="24"/>
          <w:szCs w:val="24"/>
          <w:lang w:val="en-US"/>
        </w:rPr>
        <w:t xml:space="preserve"> </w:t>
      </w:r>
      <w:r w:rsidR="005B3BF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{"citationID":"a1bhvua1orl","properties":{"formattedCitation":"(U.S. Department of Agriculture 2013)","plainCitation":"(U.S. Department of Agriculture 2013)","noteIndex":0},"citationItems":[{"id":1175,"uris":["http://zotero.org/users/2002443/items/CCQVZUU7"],"uri":["http://zotero.org/users/2002443/items/CCQVZUU7"],"itemData":{"id":1175,"type":"webpage","title":"2010 Rural-Urban Commuting Area Codes","URL":"https://www.ers.usda.gov/data-products/rural-urban-commuting-area-codes/","author":[{"family":"U.S. Department of Agriculture","given":""}],"issued":{"date-parts":[["2013",12,31]]},"accessed":{"date-parts":[["2017",9,20]]}}}],"schema":"https://github.com/citation-style-language/schema/raw/master/csl-citation.json"} </w:instrText>
      </w:r>
      <w:r w:rsidR="005B3BFF">
        <w:rPr>
          <w:rFonts w:ascii="Times New Roman" w:hAnsi="Times New Roman" w:cs="Times New Roman"/>
          <w:sz w:val="24"/>
          <w:szCs w:val="24"/>
          <w:lang w:val="en-US"/>
        </w:rPr>
        <w:fldChar w:fldCharType="separate"/>
      </w:r>
      <w:r w:rsidR="005B3BFF" w:rsidRPr="005B3BFF">
        <w:rPr>
          <w:rFonts w:ascii="Times New Roman" w:hAnsi="Times New Roman" w:cs="Times New Roman"/>
          <w:sz w:val="24"/>
          <w:lang w:val="en-US"/>
        </w:rPr>
        <w:t>(</w:t>
      </w:r>
      <w:r w:rsidR="006D0FD5">
        <w:rPr>
          <w:rFonts w:ascii="Times New Roman" w:hAnsi="Times New Roman" w:cs="Times New Roman"/>
          <w:sz w:val="24"/>
          <w:lang w:val="en-US"/>
        </w:rPr>
        <w:t>US</w:t>
      </w:r>
      <w:r w:rsidR="005B3BFF" w:rsidRPr="005B3BFF">
        <w:rPr>
          <w:rFonts w:ascii="Times New Roman" w:hAnsi="Times New Roman" w:cs="Times New Roman"/>
          <w:sz w:val="24"/>
          <w:lang w:val="en-US"/>
        </w:rPr>
        <w:t xml:space="preserve"> Department of Agriculture 2013)</w:t>
      </w:r>
      <w:r w:rsidR="005B3BFF">
        <w:rPr>
          <w:rFonts w:ascii="Times New Roman" w:hAnsi="Times New Roman" w:cs="Times New Roman"/>
          <w:sz w:val="24"/>
          <w:szCs w:val="24"/>
          <w:lang w:val="en-US"/>
        </w:rPr>
        <w:fldChar w:fldCharType="end"/>
      </w:r>
      <w:commentRangeEnd w:id="19"/>
      <w:r w:rsidR="005B3BFF">
        <w:rPr>
          <w:rStyle w:val="CommentReference"/>
        </w:rPr>
        <w:commentReference w:id="19"/>
      </w:r>
      <w:r w:rsidR="00943163" w:rsidRPr="00943163">
        <w:rPr>
          <w:rFonts w:ascii="Times New Roman" w:hAnsi="Times New Roman" w:cs="Times New Roman"/>
          <w:sz w:val="24"/>
          <w:szCs w:val="24"/>
          <w:lang w:val="en-US"/>
        </w:rPr>
        <w:t xml:space="preserve"> </w:t>
      </w:r>
      <w:r w:rsidR="00943163">
        <w:rPr>
          <w:rFonts w:ascii="Times New Roman" w:hAnsi="Times New Roman" w:cs="Times New Roman"/>
          <w:sz w:val="24"/>
          <w:szCs w:val="24"/>
          <w:lang w:val="en-US"/>
        </w:rPr>
        <w:t>(Table A1),</w:t>
      </w:r>
      <w:r w:rsidR="003A68E1" w:rsidRPr="004549A1">
        <w:rPr>
          <w:rFonts w:ascii="Times New Roman" w:hAnsi="Times New Roman" w:cs="Times New Roman"/>
          <w:sz w:val="24"/>
          <w:szCs w:val="24"/>
          <w:lang w:val="en-US"/>
        </w:rPr>
        <w:t xml:space="preserve"> contained at least 100 persons in the 2010 </w:t>
      </w:r>
      <w:r w:rsidR="006D0FD5">
        <w:rPr>
          <w:rFonts w:ascii="Times New Roman" w:hAnsi="Times New Roman" w:cs="Times New Roman"/>
          <w:sz w:val="24"/>
          <w:szCs w:val="24"/>
          <w:lang w:val="en-US"/>
        </w:rPr>
        <w:t>US</w:t>
      </w:r>
      <w:r w:rsidR="003A68E1" w:rsidRPr="004549A1">
        <w:rPr>
          <w:rFonts w:ascii="Times New Roman" w:hAnsi="Times New Roman" w:cs="Times New Roman"/>
          <w:sz w:val="24"/>
          <w:szCs w:val="24"/>
          <w:lang w:val="en-US"/>
        </w:rPr>
        <w:t xml:space="preserve"> Census, and had at least one monitor with data for total PM</w:t>
      </w:r>
      <w:r w:rsidR="003A68E1" w:rsidRPr="004549A1">
        <w:rPr>
          <w:rFonts w:ascii="Times New Roman" w:hAnsi="Times New Roman" w:cs="Times New Roman"/>
          <w:sz w:val="24"/>
          <w:szCs w:val="24"/>
          <w:vertAlign w:val="subscript"/>
          <w:lang w:val="en-US"/>
        </w:rPr>
        <w:t>2.5</w:t>
      </w:r>
      <w:r w:rsidR="003A68E1" w:rsidRPr="004549A1">
        <w:rPr>
          <w:rFonts w:ascii="Times New Roman" w:hAnsi="Times New Roman" w:cs="Times New Roman"/>
          <w:sz w:val="24"/>
          <w:szCs w:val="24"/>
          <w:lang w:val="en-US"/>
        </w:rPr>
        <w:t xml:space="preserve"> and/or at least one comp</w:t>
      </w:r>
      <w:r w:rsidR="007D326F">
        <w:rPr>
          <w:rFonts w:ascii="Times New Roman" w:hAnsi="Times New Roman" w:cs="Times New Roman"/>
          <w:sz w:val="24"/>
          <w:szCs w:val="24"/>
          <w:lang w:val="en-US"/>
        </w:rPr>
        <w:t>onent of interest available for</w:t>
      </w:r>
      <w:r w:rsidR="00B11A62" w:rsidRPr="004549A1">
        <w:rPr>
          <w:rFonts w:ascii="Times New Roman" w:hAnsi="Times New Roman" w:cs="Times New Roman"/>
          <w:sz w:val="24"/>
          <w:szCs w:val="24"/>
          <w:lang w:val="en-US"/>
        </w:rPr>
        <w:t xml:space="preserve"> ≥ 3 years with ≥ 180 days of observations </w:t>
      </w:r>
      <w:r w:rsidR="003A68E1" w:rsidRPr="004549A1">
        <w:rPr>
          <w:rFonts w:ascii="Times New Roman" w:hAnsi="Times New Roman" w:cs="Times New Roman"/>
          <w:sz w:val="24"/>
          <w:szCs w:val="24"/>
          <w:lang w:val="en-US"/>
        </w:rPr>
        <w:t xml:space="preserve">between 2005 and 2015 </w:t>
      </w:r>
      <w:r w:rsidR="005B04C7" w:rsidRPr="004549A1">
        <w:rPr>
          <w:rFonts w:ascii="Times New Roman" w:hAnsi="Times New Roman" w:cs="Times New Roman"/>
          <w:sz w:val="24"/>
          <w:szCs w:val="24"/>
          <w:lang w:val="en-US"/>
        </w:rPr>
        <w:t>(</w:t>
      </w:r>
      <w:r w:rsidR="00517FCE" w:rsidRPr="004549A1">
        <w:rPr>
          <w:rFonts w:ascii="Times New Roman" w:hAnsi="Times New Roman" w:cs="Times New Roman"/>
          <w:sz w:val="24"/>
          <w:szCs w:val="24"/>
          <w:lang w:val="en-US"/>
        </w:rPr>
        <w:t>Table 1</w:t>
      </w:r>
      <w:r w:rsidR="005B04C7" w:rsidRPr="004549A1">
        <w:rPr>
          <w:rFonts w:ascii="Times New Roman" w:hAnsi="Times New Roman" w:cs="Times New Roman"/>
          <w:sz w:val="24"/>
          <w:szCs w:val="24"/>
          <w:lang w:val="en-US"/>
        </w:rPr>
        <w:t>).</w:t>
      </w:r>
      <w:commentRangeEnd w:id="18"/>
      <w:r w:rsidR="00084BCE">
        <w:rPr>
          <w:rStyle w:val="CommentReference"/>
        </w:rPr>
        <w:commentReference w:id="18"/>
      </w:r>
      <w:r w:rsidR="005B04C7" w:rsidRPr="004549A1">
        <w:rPr>
          <w:rFonts w:ascii="Times New Roman" w:hAnsi="Times New Roman" w:cs="Times New Roman"/>
          <w:sz w:val="24"/>
          <w:szCs w:val="24"/>
          <w:lang w:val="en-US"/>
        </w:rPr>
        <w:t xml:space="preserve">  </w:t>
      </w:r>
      <w:commentRangeStart w:id="20"/>
      <w:r>
        <w:rPr>
          <w:rFonts w:ascii="Times New Roman" w:hAnsi="Times New Roman" w:cs="Times New Roman"/>
          <w:sz w:val="24"/>
          <w:szCs w:val="24"/>
          <w:lang w:val="en-US"/>
        </w:rPr>
        <w:t>We calculated m</w:t>
      </w:r>
      <w:r w:rsidR="003A68E1" w:rsidRPr="004549A1">
        <w:rPr>
          <w:rFonts w:ascii="Times New Roman" w:hAnsi="Times New Roman" w:cs="Times New Roman"/>
          <w:sz w:val="24"/>
          <w:szCs w:val="24"/>
          <w:lang w:val="en-US"/>
        </w:rPr>
        <w:t>onthly means for total PM</w:t>
      </w:r>
      <w:r w:rsidR="003A68E1" w:rsidRPr="004549A1">
        <w:rPr>
          <w:rFonts w:ascii="Times New Roman" w:hAnsi="Times New Roman" w:cs="Times New Roman"/>
          <w:sz w:val="24"/>
          <w:szCs w:val="24"/>
          <w:vertAlign w:val="subscript"/>
          <w:lang w:val="en-US"/>
        </w:rPr>
        <w:t>2.5</w:t>
      </w:r>
      <w:r w:rsidR="003A68E1" w:rsidRPr="004549A1">
        <w:rPr>
          <w:rFonts w:ascii="Times New Roman" w:hAnsi="Times New Roman" w:cs="Times New Roman"/>
          <w:sz w:val="24"/>
          <w:szCs w:val="24"/>
          <w:lang w:val="en-US"/>
        </w:rPr>
        <w:t xml:space="preserve"> and individual component levels for each census tract, which </w:t>
      </w:r>
      <w:r w:rsidR="00943163">
        <w:rPr>
          <w:rFonts w:ascii="Times New Roman" w:hAnsi="Times New Roman" w:cs="Times New Roman"/>
          <w:sz w:val="24"/>
          <w:szCs w:val="24"/>
          <w:lang w:val="en-US"/>
        </w:rPr>
        <w:t>we</w:t>
      </w:r>
      <w:r w:rsidR="003A68E1" w:rsidRPr="004549A1">
        <w:rPr>
          <w:rFonts w:ascii="Times New Roman" w:hAnsi="Times New Roman" w:cs="Times New Roman"/>
          <w:sz w:val="24"/>
          <w:szCs w:val="24"/>
          <w:lang w:val="en-US"/>
        </w:rPr>
        <w:t xml:space="preserve"> then averaged to generate a single estimate of the mean level of each pollutant for each census tract during the study period.</w:t>
      </w:r>
      <w:commentRangeEnd w:id="20"/>
      <w:r w:rsidR="00C13D6B">
        <w:rPr>
          <w:rStyle w:val="CommentReference"/>
        </w:rPr>
        <w:commentReference w:id="20"/>
      </w:r>
    </w:p>
    <w:p w14:paraId="46B284E0" w14:textId="3B78B850" w:rsidR="005D74CC" w:rsidRDefault="00236A23" w:rsidP="005D74C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then conducted a</w:t>
      </w:r>
      <w:r w:rsidR="00411B7C" w:rsidRPr="00411B7C">
        <w:rPr>
          <w:rFonts w:ascii="Times New Roman" w:hAnsi="Times New Roman" w:cs="Times New Roman"/>
          <w:sz w:val="24"/>
          <w:szCs w:val="24"/>
          <w:lang w:val="en-US"/>
        </w:rPr>
        <w:t>nalysis of variance</w:t>
      </w:r>
      <w:r w:rsidR="0000551C" w:rsidRPr="004549A1">
        <w:rPr>
          <w:rFonts w:ascii="Times New Roman" w:hAnsi="Times New Roman" w:cs="Times New Roman"/>
          <w:sz w:val="24"/>
          <w:szCs w:val="24"/>
          <w:lang w:val="en-US"/>
        </w:rPr>
        <w:t xml:space="preserve"> (</w:t>
      </w:r>
      <w:r w:rsidR="00411B7C" w:rsidRPr="00411B7C">
        <w:rPr>
          <w:rFonts w:ascii="Times New Roman" w:hAnsi="Times New Roman" w:cs="Times New Roman"/>
          <w:sz w:val="24"/>
          <w:szCs w:val="24"/>
          <w:lang w:val="en-US"/>
        </w:rPr>
        <w:t>analysis of variance</w:t>
      </w:r>
      <w:r w:rsidR="0000551C" w:rsidRPr="004549A1">
        <w:rPr>
          <w:rFonts w:ascii="Times New Roman" w:hAnsi="Times New Roman" w:cs="Times New Roman"/>
          <w:sz w:val="24"/>
          <w:szCs w:val="24"/>
          <w:lang w:val="en-US"/>
        </w:rPr>
        <w:t>) to determine if levels of total PM</w:t>
      </w:r>
      <w:r w:rsidR="0000551C" w:rsidRPr="004549A1">
        <w:rPr>
          <w:rFonts w:ascii="Times New Roman" w:hAnsi="Times New Roman" w:cs="Times New Roman"/>
          <w:sz w:val="24"/>
          <w:szCs w:val="24"/>
          <w:vertAlign w:val="subscript"/>
          <w:lang w:val="en-US"/>
        </w:rPr>
        <w:t>2.5</w:t>
      </w:r>
      <w:r w:rsidR="0000551C" w:rsidRPr="004549A1">
        <w:rPr>
          <w:rFonts w:ascii="Times New Roman" w:hAnsi="Times New Roman" w:cs="Times New Roman"/>
          <w:sz w:val="24"/>
          <w:szCs w:val="24"/>
          <w:lang w:val="en-US"/>
        </w:rPr>
        <w:t xml:space="preserve"> and each individual component differed by RI quintile. </w:t>
      </w:r>
      <w:r>
        <w:rPr>
          <w:rFonts w:ascii="Times New Roman" w:hAnsi="Times New Roman" w:cs="Times New Roman"/>
          <w:sz w:val="24"/>
          <w:szCs w:val="24"/>
          <w:lang w:val="en-US"/>
        </w:rPr>
        <w:t xml:space="preserve"> We applied </w:t>
      </w:r>
      <w:r w:rsidR="0000551C" w:rsidRPr="004549A1">
        <w:rPr>
          <w:rFonts w:ascii="Times New Roman" w:hAnsi="Times New Roman" w:cs="Times New Roman"/>
          <w:sz w:val="24"/>
          <w:szCs w:val="24"/>
          <w:lang w:val="en-US"/>
        </w:rPr>
        <w:t>Welch’s correction in cases of non-homogenous variances</w:t>
      </w:r>
      <w:r>
        <w:rPr>
          <w:rFonts w:ascii="Times New Roman" w:hAnsi="Times New Roman" w:cs="Times New Roman"/>
          <w:sz w:val="24"/>
          <w:szCs w:val="24"/>
          <w:lang w:val="en-US"/>
        </w:rPr>
        <w:t xml:space="preserve"> found using Levene’s test</w:t>
      </w:r>
      <w:r w:rsidR="0000551C" w:rsidRPr="004549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0551C" w:rsidRPr="004549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then used </w:t>
      </w:r>
      <w:r>
        <w:rPr>
          <w:rFonts w:ascii="Times New Roman" w:hAnsi="Times New Roman" w:cs="Times New Roman"/>
          <w:sz w:val="24"/>
          <w:szCs w:val="24"/>
          <w:lang w:val="en-US"/>
        </w:rPr>
        <w:lastRenderedPageBreak/>
        <w:t>linear regression models t</w:t>
      </w:r>
      <w:r w:rsidR="0000551C" w:rsidRPr="004549A1">
        <w:rPr>
          <w:rFonts w:ascii="Times New Roman" w:hAnsi="Times New Roman" w:cs="Times New Roman"/>
          <w:sz w:val="24"/>
          <w:szCs w:val="24"/>
          <w:lang w:val="en-US"/>
        </w:rPr>
        <w:t>o evaluate associations between total PM</w:t>
      </w:r>
      <w:r w:rsidR="0000551C" w:rsidRPr="004549A1">
        <w:rPr>
          <w:rFonts w:ascii="Times New Roman" w:hAnsi="Times New Roman" w:cs="Times New Roman"/>
          <w:sz w:val="24"/>
          <w:szCs w:val="24"/>
          <w:vertAlign w:val="subscript"/>
          <w:lang w:val="en-US"/>
        </w:rPr>
        <w:t>2.5</w:t>
      </w:r>
      <w:r w:rsidR="0000551C" w:rsidRPr="004549A1">
        <w:rPr>
          <w:rFonts w:ascii="Times New Roman" w:hAnsi="Times New Roman" w:cs="Times New Roman"/>
          <w:sz w:val="24"/>
          <w:szCs w:val="24"/>
          <w:lang w:val="en-US"/>
        </w:rPr>
        <w:t xml:space="preserve"> and </w:t>
      </w:r>
      <w:r>
        <w:rPr>
          <w:rFonts w:ascii="Times New Roman" w:hAnsi="Times New Roman" w:cs="Times New Roman"/>
          <w:sz w:val="24"/>
          <w:szCs w:val="24"/>
          <w:lang w:val="en-US"/>
        </w:rPr>
        <w:t>each component separately</w:t>
      </w:r>
      <w:r w:rsidR="0000551C" w:rsidRPr="004549A1">
        <w:rPr>
          <w:rFonts w:ascii="Times New Roman" w:hAnsi="Times New Roman" w:cs="Times New Roman"/>
          <w:sz w:val="24"/>
          <w:szCs w:val="24"/>
          <w:lang w:val="en-US"/>
        </w:rPr>
        <w:t xml:space="preserve"> and RI, controlling for demographic variables including percentage with less than a high school education, percent in poverty, </w:t>
      </w:r>
      <w:r>
        <w:rPr>
          <w:rFonts w:ascii="Times New Roman" w:hAnsi="Times New Roman" w:cs="Times New Roman"/>
          <w:sz w:val="24"/>
          <w:szCs w:val="24"/>
          <w:lang w:val="en-US"/>
        </w:rPr>
        <w:t>race/ethnicity (percent Black or African American</w:t>
      </w:r>
      <w:r w:rsidR="000528B5">
        <w:rPr>
          <w:rFonts w:ascii="Times New Roman" w:hAnsi="Times New Roman" w:cs="Times New Roman"/>
          <w:sz w:val="24"/>
          <w:szCs w:val="24"/>
          <w:lang w:val="en-US"/>
        </w:rPr>
        <w:t>;</w:t>
      </w:r>
      <w:r>
        <w:rPr>
          <w:rFonts w:ascii="Times New Roman" w:hAnsi="Times New Roman" w:cs="Times New Roman"/>
          <w:sz w:val="24"/>
          <w:szCs w:val="24"/>
          <w:lang w:val="en-US"/>
        </w:rPr>
        <w:t xml:space="preserve"> percent </w:t>
      </w:r>
      <w:r w:rsidR="000528B5">
        <w:rPr>
          <w:rFonts w:ascii="Times New Roman" w:hAnsi="Times New Roman" w:cs="Times New Roman"/>
          <w:sz w:val="24"/>
          <w:szCs w:val="24"/>
          <w:lang w:val="en-US"/>
        </w:rPr>
        <w:t xml:space="preserve">American Indian, Alaska Native, Native Hawaiian, or Pacific Islander; percent Asian; and percent Hispanic or Latino), </w:t>
      </w:r>
      <w:proofErr w:type="spellStart"/>
      <w:r w:rsidR="000528B5">
        <w:rPr>
          <w:rFonts w:ascii="Times New Roman" w:hAnsi="Times New Roman" w:cs="Times New Roman"/>
          <w:sz w:val="24"/>
          <w:szCs w:val="24"/>
          <w:lang w:val="en-US"/>
        </w:rPr>
        <w:t>percent age</w:t>
      </w:r>
      <w:proofErr w:type="spellEnd"/>
      <w:r w:rsidR="000528B5">
        <w:rPr>
          <w:rFonts w:ascii="Times New Roman" w:hAnsi="Times New Roman" w:cs="Times New Roman"/>
          <w:sz w:val="24"/>
          <w:szCs w:val="24"/>
          <w:lang w:val="en-US"/>
        </w:rPr>
        <w:t xml:space="preserve"> 0–19, percent age 65 and older,</w:t>
      </w:r>
      <w:r w:rsidR="00C7052B">
        <w:rPr>
          <w:rFonts w:ascii="Times New Roman" w:hAnsi="Times New Roman" w:cs="Times New Roman"/>
          <w:sz w:val="24"/>
          <w:szCs w:val="24"/>
          <w:lang w:val="en-US"/>
        </w:rPr>
        <w:t xml:space="preserve"> as well as geographic region. </w:t>
      </w:r>
      <w:r w:rsidR="0000551C" w:rsidRPr="004549A1">
        <w:rPr>
          <w:rFonts w:ascii="Times New Roman" w:hAnsi="Times New Roman" w:cs="Times New Roman"/>
          <w:sz w:val="24"/>
          <w:szCs w:val="24"/>
          <w:lang w:val="en-US"/>
        </w:rPr>
        <w:t xml:space="preserve"> </w:t>
      </w:r>
      <w:r w:rsidR="00063DFE" w:rsidRPr="004549A1">
        <w:rPr>
          <w:rFonts w:ascii="Times New Roman" w:hAnsi="Times New Roman" w:cs="Times New Roman"/>
          <w:sz w:val="24"/>
          <w:szCs w:val="24"/>
          <w:lang w:val="en-US"/>
        </w:rPr>
        <w:t>We then fit</w:t>
      </w:r>
      <w:r w:rsidR="000528B5">
        <w:rPr>
          <w:rFonts w:ascii="Times New Roman" w:hAnsi="Times New Roman" w:cs="Times New Roman"/>
          <w:sz w:val="24"/>
          <w:szCs w:val="24"/>
          <w:lang w:val="en-US"/>
        </w:rPr>
        <w:t xml:space="preserve"> individual multivariable linear</w:t>
      </w:r>
      <w:r w:rsidR="00063DFE" w:rsidRPr="004549A1">
        <w:rPr>
          <w:rFonts w:ascii="Times New Roman" w:hAnsi="Times New Roman" w:cs="Times New Roman"/>
          <w:sz w:val="24"/>
          <w:szCs w:val="24"/>
          <w:lang w:val="en-US"/>
        </w:rPr>
        <w:t xml:space="preserve"> model</w:t>
      </w:r>
      <w:r w:rsidR="000528B5">
        <w:rPr>
          <w:rFonts w:ascii="Times New Roman" w:hAnsi="Times New Roman" w:cs="Times New Roman"/>
          <w:sz w:val="24"/>
          <w:szCs w:val="24"/>
          <w:lang w:val="en-US"/>
        </w:rPr>
        <w:t>s by</w:t>
      </w:r>
      <w:r w:rsidR="00063DFE" w:rsidRPr="004549A1">
        <w:rPr>
          <w:rFonts w:ascii="Times New Roman" w:hAnsi="Times New Roman" w:cs="Times New Roman"/>
          <w:sz w:val="24"/>
          <w:szCs w:val="24"/>
          <w:lang w:val="en-US"/>
        </w:rPr>
        <w:t xml:space="preserve"> total PM</w:t>
      </w:r>
      <w:r w:rsidR="00C26DC1" w:rsidRPr="004549A1">
        <w:rPr>
          <w:rFonts w:ascii="Times New Roman" w:hAnsi="Times New Roman" w:cs="Times New Roman"/>
          <w:sz w:val="24"/>
          <w:szCs w:val="24"/>
          <w:vertAlign w:val="subscript"/>
          <w:lang w:val="en-US"/>
        </w:rPr>
        <w:t>2.5</w:t>
      </w:r>
      <w:r w:rsidR="00063DFE" w:rsidRPr="004549A1">
        <w:rPr>
          <w:rFonts w:ascii="Times New Roman" w:hAnsi="Times New Roman" w:cs="Times New Roman"/>
          <w:sz w:val="24"/>
          <w:szCs w:val="24"/>
          <w:lang w:val="en-US"/>
        </w:rPr>
        <w:t xml:space="preserve"> and each PM</w:t>
      </w:r>
      <w:r w:rsidR="00C26DC1" w:rsidRPr="004549A1">
        <w:rPr>
          <w:rFonts w:ascii="Times New Roman" w:hAnsi="Times New Roman" w:cs="Times New Roman"/>
          <w:sz w:val="24"/>
          <w:szCs w:val="24"/>
          <w:vertAlign w:val="subscript"/>
          <w:lang w:val="en-US"/>
        </w:rPr>
        <w:t>2.5</w:t>
      </w:r>
      <w:r w:rsidR="00063DFE" w:rsidRPr="004549A1">
        <w:rPr>
          <w:rFonts w:ascii="Times New Roman" w:hAnsi="Times New Roman" w:cs="Times New Roman"/>
          <w:sz w:val="24"/>
          <w:szCs w:val="24"/>
          <w:lang w:val="en-US"/>
        </w:rPr>
        <w:t xml:space="preserve"> component </w:t>
      </w:r>
      <w:r w:rsidR="000528B5">
        <w:rPr>
          <w:rFonts w:ascii="Times New Roman" w:hAnsi="Times New Roman" w:cs="Times New Roman"/>
          <w:sz w:val="24"/>
          <w:szCs w:val="24"/>
          <w:lang w:val="en-US"/>
        </w:rPr>
        <w:t xml:space="preserve">to estimate the associations of each </w:t>
      </w:r>
      <w:r w:rsidR="00063DFE" w:rsidRPr="004549A1">
        <w:rPr>
          <w:rFonts w:ascii="Times New Roman" w:hAnsi="Times New Roman" w:cs="Times New Roman"/>
          <w:sz w:val="24"/>
          <w:szCs w:val="24"/>
          <w:lang w:val="en-US"/>
        </w:rPr>
        <w:t xml:space="preserve">with RI.  </w:t>
      </w:r>
      <w:commentRangeStart w:id="21"/>
      <w:r w:rsidR="005D74CC" w:rsidRPr="004549A1">
        <w:rPr>
          <w:rFonts w:ascii="Times New Roman" w:hAnsi="Times New Roman" w:cs="Times New Roman"/>
          <w:sz w:val="24"/>
          <w:szCs w:val="24"/>
          <w:lang w:val="en-US"/>
        </w:rPr>
        <w:t>All statistical analyses were run in R version 3.</w:t>
      </w:r>
      <w:r w:rsidR="003A68E1" w:rsidRPr="004549A1">
        <w:rPr>
          <w:rFonts w:ascii="Times New Roman" w:hAnsi="Times New Roman" w:cs="Times New Roman"/>
          <w:sz w:val="24"/>
          <w:szCs w:val="24"/>
          <w:lang w:val="en-US"/>
        </w:rPr>
        <w:t>4.1</w:t>
      </w:r>
      <w:r w:rsidR="005D74CC" w:rsidRPr="004549A1">
        <w:rPr>
          <w:rFonts w:ascii="Times New Roman" w:hAnsi="Times New Roman" w:cs="Times New Roman"/>
          <w:sz w:val="24"/>
          <w:szCs w:val="24"/>
          <w:lang w:val="en-US"/>
        </w:rPr>
        <w:t xml:space="preserve"> (R Core Team, 2017). All P-values are from two-sided 95% confidence intervals.</w:t>
      </w:r>
      <w:commentRangeEnd w:id="21"/>
      <w:r w:rsidR="000528B5">
        <w:rPr>
          <w:rStyle w:val="CommentReference"/>
        </w:rPr>
        <w:commentReference w:id="21"/>
      </w:r>
    </w:p>
    <w:p w14:paraId="0B17F980" w14:textId="77777777" w:rsidR="00777669" w:rsidRDefault="00777669">
      <w:pPr>
        <w:rPr>
          <w:rFonts w:ascii="Times New Roman" w:hAnsi="Times New Roman" w:cs="Times New Roman"/>
          <w:i/>
          <w:sz w:val="24"/>
          <w:szCs w:val="24"/>
          <w:lang w:val="en-US"/>
        </w:rPr>
      </w:pPr>
      <w:r>
        <w:rPr>
          <w:rFonts w:ascii="Times New Roman" w:hAnsi="Times New Roman" w:cs="Times New Roman"/>
          <w:i/>
          <w:sz w:val="24"/>
          <w:szCs w:val="24"/>
          <w:lang w:val="en-US"/>
        </w:rPr>
        <w:br w:type="page"/>
      </w:r>
    </w:p>
    <w:p w14:paraId="69D32C55" w14:textId="0BD5CC0D" w:rsidR="004F0955" w:rsidRPr="00CD0D9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lastRenderedPageBreak/>
        <w:t>Results</w:t>
      </w:r>
    </w:p>
    <w:p w14:paraId="48603F9A" w14:textId="29EC6FB8" w:rsidR="0034474D" w:rsidRDefault="00A97E80" w:rsidP="003447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study, PM</w:t>
      </w:r>
      <w:r w:rsidRPr="00A97E80">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concentrations showed a consistent increasing association with RI quintile (Figure 4).  </w:t>
      </w:r>
      <w:r w:rsidR="00CA4750">
        <w:rPr>
          <w:rFonts w:ascii="Times New Roman" w:hAnsi="Times New Roman" w:cs="Times New Roman"/>
          <w:sz w:val="24"/>
          <w:szCs w:val="24"/>
          <w:lang w:val="en-US"/>
        </w:rPr>
        <w:t xml:space="preserve">Tracts in the highest quintile of RI compared to those in the lowest </w:t>
      </w:r>
      <w:r w:rsidR="007E4F8D">
        <w:rPr>
          <w:rFonts w:ascii="Times New Roman" w:hAnsi="Times New Roman" w:cs="Times New Roman"/>
          <w:sz w:val="24"/>
          <w:szCs w:val="24"/>
          <w:lang w:val="en-US"/>
        </w:rPr>
        <w:t>(Tables 4 and 5</w:t>
      </w:r>
      <w:r w:rsidR="0020374D">
        <w:rPr>
          <w:rFonts w:ascii="Times New Roman" w:hAnsi="Times New Roman" w:cs="Times New Roman"/>
          <w:sz w:val="24"/>
          <w:szCs w:val="24"/>
          <w:lang w:val="en-US"/>
        </w:rPr>
        <w:t>, Figures 4 and 5</w:t>
      </w:r>
      <w:r w:rsidR="007E4F8D">
        <w:rPr>
          <w:rFonts w:ascii="Times New Roman" w:hAnsi="Times New Roman" w:cs="Times New Roman"/>
          <w:sz w:val="24"/>
          <w:szCs w:val="24"/>
          <w:lang w:val="en-US"/>
        </w:rPr>
        <w:t xml:space="preserve">) </w:t>
      </w:r>
      <w:r w:rsidR="00CA4750">
        <w:rPr>
          <w:rFonts w:ascii="Times New Roman" w:hAnsi="Times New Roman" w:cs="Times New Roman"/>
          <w:sz w:val="24"/>
          <w:szCs w:val="24"/>
          <w:lang w:val="en-US"/>
        </w:rPr>
        <w:t>had higher mean concentrations of PM</w:t>
      </w:r>
      <w:r w:rsidR="00CA4750" w:rsidRPr="00CA4750">
        <w:rPr>
          <w:rFonts w:ascii="Times New Roman" w:hAnsi="Times New Roman" w:cs="Times New Roman"/>
          <w:sz w:val="24"/>
          <w:szCs w:val="24"/>
          <w:vertAlign w:val="subscript"/>
          <w:lang w:val="en-US"/>
        </w:rPr>
        <w:t>2.5</w:t>
      </w:r>
      <w:r w:rsidR="00CA4750">
        <w:rPr>
          <w:rFonts w:ascii="Times New Roman" w:hAnsi="Times New Roman" w:cs="Times New Roman"/>
          <w:sz w:val="24"/>
          <w:szCs w:val="24"/>
          <w:lang w:val="en-US"/>
        </w:rPr>
        <w:t xml:space="preserve"> (mean difference (MD) 2.67 µg/m</w:t>
      </w:r>
      <w:r w:rsidR="00CA4750">
        <w:rPr>
          <w:rFonts w:ascii="Times New Roman" w:hAnsi="Times New Roman" w:cs="Times New Roman"/>
          <w:sz w:val="24"/>
          <w:szCs w:val="24"/>
          <w:vertAlign w:val="superscript"/>
          <w:lang w:val="en-US"/>
        </w:rPr>
        <w:t>3</w:t>
      </w:r>
      <w:r w:rsidR="00CA4750">
        <w:rPr>
          <w:rFonts w:ascii="Times New Roman" w:hAnsi="Times New Roman" w:cs="Times New Roman"/>
          <w:sz w:val="24"/>
          <w:szCs w:val="24"/>
          <w:lang w:val="en-US"/>
        </w:rPr>
        <w:t>, 95% CI: 2.04</w:t>
      </w:r>
      <w:r w:rsidR="0034474D">
        <w:rPr>
          <w:rFonts w:ascii="Times New Roman" w:hAnsi="Times New Roman" w:cs="Times New Roman"/>
          <w:sz w:val="24"/>
          <w:szCs w:val="24"/>
          <w:lang w:val="en-US"/>
        </w:rPr>
        <w:t xml:space="preserve">, </w:t>
      </w:r>
      <w:r w:rsidR="00CA4750">
        <w:rPr>
          <w:rFonts w:ascii="Times New Roman" w:hAnsi="Times New Roman" w:cs="Times New Roman"/>
          <w:sz w:val="24"/>
          <w:szCs w:val="24"/>
          <w:lang w:val="en-US"/>
        </w:rPr>
        <w:t xml:space="preserve">3.29) </w:t>
      </w:r>
      <w:r w:rsidR="00FC32B1">
        <w:rPr>
          <w:rFonts w:ascii="Times New Roman" w:hAnsi="Times New Roman" w:cs="Times New Roman"/>
          <w:sz w:val="24"/>
          <w:szCs w:val="24"/>
          <w:lang w:val="en-US"/>
        </w:rPr>
        <w:t xml:space="preserve">(Figure 4) </w:t>
      </w:r>
      <w:r w:rsidR="00CA4750">
        <w:rPr>
          <w:rFonts w:ascii="Times New Roman" w:hAnsi="Times New Roman" w:cs="Times New Roman"/>
          <w:sz w:val="24"/>
          <w:szCs w:val="24"/>
          <w:lang w:val="en-US"/>
        </w:rPr>
        <w:t>as well as the components</w:t>
      </w:r>
    </w:p>
    <w:p w14:paraId="41E6CF5E" w14:textId="2A70600D" w:rsidR="0034474D" w:rsidRDefault="00CA4750"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As (MD </w:t>
      </w:r>
      <w:r w:rsidR="006E2EFE">
        <w:rPr>
          <w:rFonts w:ascii="Times New Roman" w:hAnsi="Times New Roman" w:cs="Times New Roman"/>
          <w:sz w:val="24"/>
          <w:szCs w:val="24"/>
          <w:lang w:val="en-US"/>
        </w:rPr>
        <w:t>0.000</w:t>
      </w:r>
      <w:r w:rsidRPr="0034474D">
        <w:rPr>
          <w:rFonts w:ascii="Times New Roman" w:hAnsi="Times New Roman" w:cs="Times New Roman"/>
          <w:sz w:val="24"/>
          <w:szCs w:val="24"/>
          <w:lang w:val="en-US"/>
        </w:rPr>
        <w:t>456</w:t>
      </w:r>
      <w:r w:rsidR="0034474D" w:rsidRPr="0034474D">
        <w:rPr>
          <w:rFonts w:ascii="Times New Roman" w:hAnsi="Times New Roman" w:cs="Times New Roman"/>
          <w:sz w:val="24"/>
          <w:szCs w:val="24"/>
          <w:lang w:val="en-US"/>
        </w:rPr>
        <w:t xml:space="preserve"> µg/m</w:t>
      </w:r>
      <w:r w:rsidR="0034474D" w:rsidRPr="0034474D">
        <w:rPr>
          <w:rFonts w:ascii="Times New Roman" w:hAnsi="Times New Roman" w:cs="Times New Roman"/>
          <w:sz w:val="24"/>
          <w:szCs w:val="24"/>
          <w:vertAlign w:val="superscript"/>
          <w:lang w:val="en-US"/>
        </w:rPr>
        <w:t>3</w:t>
      </w:r>
      <w:r w:rsidR="0034474D" w:rsidRPr="0034474D">
        <w:rPr>
          <w:rFonts w:ascii="Times New Roman" w:hAnsi="Times New Roman" w:cs="Times New Roman"/>
          <w:sz w:val="24"/>
          <w:szCs w:val="24"/>
          <w:lang w:val="en-US"/>
        </w:rPr>
        <w:t xml:space="preserve">, </w:t>
      </w:r>
      <w:r w:rsidRPr="0034474D">
        <w:rPr>
          <w:rFonts w:ascii="Times New Roman" w:hAnsi="Times New Roman" w:cs="Times New Roman"/>
          <w:sz w:val="24"/>
          <w:szCs w:val="24"/>
          <w:lang w:val="en-US"/>
        </w:rPr>
        <w:t xml:space="preserve">95% CI: </w:t>
      </w:r>
      <w:r w:rsidR="006E2EFE">
        <w:rPr>
          <w:rFonts w:ascii="Times New Roman" w:hAnsi="Times New Roman" w:cs="Times New Roman"/>
          <w:sz w:val="24"/>
          <w:szCs w:val="24"/>
          <w:lang w:val="en-US"/>
        </w:rPr>
        <w:t>0.000</w:t>
      </w:r>
      <w:r w:rsidR="0034474D" w:rsidRPr="0034474D">
        <w:rPr>
          <w:rFonts w:ascii="Times New Roman" w:hAnsi="Times New Roman" w:cs="Times New Roman"/>
          <w:sz w:val="24"/>
          <w:szCs w:val="24"/>
          <w:lang w:val="en-US"/>
        </w:rPr>
        <w:t xml:space="preserve">304, </w:t>
      </w:r>
      <w:r w:rsidR="006E2EFE">
        <w:rPr>
          <w:rFonts w:ascii="Times New Roman" w:hAnsi="Times New Roman" w:cs="Times New Roman"/>
          <w:sz w:val="24"/>
          <w:szCs w:val="24"/>
          <w:lang w:val="en-US"/>
        </w:rPr>
        <w:t>0.000</w:t>
      </w:r>
      <w:r w:rsidR="0034474D" w:rsidRPr="0034474D">
        <w:rPr>
          <w:rFonts w:ascii="Times New Roman" w:hAnsi="Times New Roman" w:cs="Times New Roman"/>
          <w:sz w:val="24"/>
          <w:szCs w:val="24"/>
          <w:lang w:val="en-US"/>
        </w:rPr>
        <w:t>608)</w:t>
      </w:r>
    </w:p>
    <w:p w14:paraId="4850A52D" w14:textId="1CEA2B07"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Br (MD </w:t>
      </w:r>
      <w:r w:rsidR="00F72634" w:rsidRPr="00F72634">
        <w:rPr>
          <w:rFonts w:ascii="Times New Roman" w:hAnsi="Times New Roman" w:cs="Times New Roman"/>
          <w:sz w:val="24"/>
          <w:szCs w:val="24"/>
          <w:lang w:val="en-US"/>
        </w:rPr>
        <w:t>0.00117</w:t>
      </w:r>
      <w:r w:rsidR="00F72634">
        <w:rPr>
          <w:rFonts w:ascii="Times New Roman" w:hAnsi="Times New Roman" w:cs="Times New Roman"/>
          <w:sz w:val="24"/>
          <w:szCs w:val="24"/>
          <w:lang w:val="en-US"/>
        </w:rPr>
        <w:t xml:space="preserve">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Pr>
          <w:rFonts w:ascii="Times New Roman" w:hAnsi="Times New Roman" w:cs="Times New Roman"/>
          <w:sz w:val="24"/>
          <w:szCs w:val="24"/>
          <w:lang w:val="en-US"/>
        </w:rPr>
        <w:t>0.000</w:t>
      </w:r>
      <w:r w:rsidR="00F72634" w:rsidRPr="00F72634">
        <w:rPr>
          <w:rFonts w:ascii="Times New Roman" w:hAnsi="Times New Roman" w:cs="Times New Roman"/>
          <w:sz w:val="24"/>
          <w:szCs w:val="24"/>
          <w:lang w:val="en-US"/>
        </w:rPr>
        <w:t>556</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0.00179</w:t>
      </w:r>
      <w:r w:rsidRPr="0034474D">
        <w:rPr>
          <w:rFonts w:ascii="Times New Roman" w:hAnsi="Times New Roman" w:cs="Times New Roman"/>
          <w:sz w:val="24"/>
          <w:szCs w:val="24"/>
          <w:lang w:val="en-US"/>
        </w:rPr>
        <w:t>)</w:t>
      </w:r>
    </w:p>
    <w:p w14:paraId="5E50E729" w14:textId="657129DD"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Cu (MD</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0.00220</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Pr>
          <w:rFonts w:ascii="Times New Roman" w:hAnsi="Times New Roman" w:cs="Times New Roman"/>
          <w:sz w:val="24"/>
          <w:szCs w:val="24"/>
          <w:lang w:val="en-US"/>
        </w:rPr>
        <w:t>0.000654, 0.00375</w:t>
      </w:r>
      <w:r w:rsidRPr="0034474D">
        <w:rPr>
          <w:rFonts w:ascii="Times New Roman" w:hAnsi="Times New Roman" w:cs="Times New Roman"/>
          <w:sz w:val="24"/>
          <w:szCs w:val="24"/>
          <w:lang w:val="en-US"/>
        </w:rPr>
        <w:t>)</w:t>
      </w:r>
    </w:p>
    <w:p w14:paraId="42393A0B" w14:textId="0B962DE6"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Fe (MD </w:t>
      </w:r>
      <w:r w:rsidR="00F72634">
        <w:rPr>
          <w:rFonts w:ascii="Times New Roman" w:hAnsi="Times New Roman" w:cs="Times New Roman"/>
          <w:sz w:val="24"/>
          <w:szCs w:val="24"/>
          <w:lang w:val="en-US"/>
        </w:rPr>
        <w:t xml:space="preserve">0.0415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sidRPr="00F72634">
        <w:rPr>
          <w:rFonts w:ascii="Times New Roman" w:hAnsi="Times New Roman" w:cs="Times New Roman"/>
          <w:sz w:val="24"/>
          <w:szCs w:val="24"/>
          <w:lang w:val="en-US"/>
        </w:rPr>
        <w:t>0.0121</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0.070</w:t>
      </w:r>
      <w:r w:rsidR="00F72634">
        <w:rPr>
          <w:rFonts w:ascii="Times New Roman" w:hAnsi="Times New Roman" w:cs="Times New Roman"/>
          <w:sz w:val="24"/>
          <w:szCs w:val="24"/>
          <w:lang w:val="en-US"/>
        </w:rPr>
        <w:t>9</w:t>
      </w:r>
      <w:r w:rsidRPr="0034474D">
        <w:rPr>
          <w:rFonts w:ascii="Times New Roman" w:hAnsi="Times New Roman" w:cs="Times New Roman"/>
          <w:sz w:val="24"/>
          <w:szCs w:val="24"/>
          <w:lang w:val="en-US"/>
        </w:rPr>
        <w:t>)</w:t>
      </w:r>
    </w:p>
    <w:p w14:paraId="1237EFAD" w14:textId="387DC6D5"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Pb (MD</w:t>
      </w:r>
      <w:r w:rsidR="006E2EFE">
        <w:rPr>
          <w:rFonts w:ascii="Times New Roman" w:hAnsi="Times New Roman" w:cs="Times New Roman"/>
          <w:sz w:val="24"/>
          <w:szCs w:val="24"/>
          <w:lang w:val="en-US"/>
        </w:rPr>
        <w:t xml:space="preserve"> 0.00129</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0.000173, 0.00240</w:t>
      </w:r>
      <w:r w:rsidRPr="0034474D">
        <w:rPr>
          <w:rFonts w:ascii="Times New Roman" w:hAnsi="Times New Roman" w:cs="Times New Roman"/>
          <w:sz w:val="24"/>
          <w:szCs w:val="24"/>
          <w:lang w:val="en-US"/>
        </w:rPr>
        <w:t>)</w:t>
      </w:r>
    </w:p>
    <w:p w14:paraId="2D4C9109" w14:textId="2FC66323"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Ni (MD </w:t>
      </w:r>
      <w:r w:rsidR="006E2EFE">
        <w:rPr>
          <w:rFonts w:ascii="Times New Roman" w:hAnsi="Times New Roman" w:cs="Times New Roman"/>
          <w:sz w:val="24"/>
          <w:szCs w:val="24"/>
          <w:lang w:val="en-US"/>
        </w:rPr>
        <w:t xml:space="preserve">0.000856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0.000423, 0.00129</w:t>
      </w:r>
      <w:r w:rsidRPr="0034474D">
        <w:rPr>
          <w:rFonts w:ascii="Times New Roman" w:hAnsi="Times New Roman" w:cs="Times New Roman"/>
          <w:sz w:val="24"/>
          <w:szCs w:val="24"/>
          <w:lang w:val="en-US"/>
        </w:rPr>
        <w:t>)</w:t>
      </w:r>
    </w:p>
    <w:p w14:paraId="7E756816" w14:textId="414CFDC8"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V (MD</w:t>
      </w:r>
      <w:r w:rsidR="006E2EFE">
        <w:rPr>
          <w:rFonts w:ascii="Times New Roman" w:hAnsi="Times New Roman" w:cs="Times New Roman"/>
          <w:sz w:val="24"/>
          <w:szCs w:val="24"/>
          <w:lang w:val="en-US"/>
        </w:rPr>
        <w:t xml:space="preserve"> 0.000728</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0.000297, 0.00116</w:t>
      </w:r>
      <w:r w:rsidRPr="0034474D">
        <w:rPr>
          <w:rFonts w:ascii="Times New Roman" w:hAnsi="Times New Roman" w:cs="Times New Roman"/>
          <w:sz w:val="24"/>
          <w:szCs w:val="24"/>
          <w:lang w:val="en-US"/>
        </w:rPr>
        <w:t>)</w:t>
      </w:r>
    </w:p>
    <w:p w14:paraId="7B8B7734" w14:textId="6D1ECD12"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Zn (MD </w:t>
      </w:r>
      <w:r w:rsidR="006E2EFE">
        <w:rPr>
          <w:rFonts w:ascii="Times New Roman" w:hAnsi="Times New Roman" w:cs="Times New Roman"/>
          <w:sz w:val="24"/>
          <w:szCs w:val="24"/>
          <w:lang w:val="en-US"/>
        </w:rPr>
        <w:t xml:space="preserve">0.0074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0.0024, 0.0125</w:t>
      </w:r>
      <w:r w:rsidRPr="0034474D">
        <w:rPr>
          <w:rFonts w:ascii="Times New Roman" w:hAnsi="Times New Roman" w:cs="Times New Roman"/>
          <w:sz w:val="24"/>
          <w:szCs w:val="24"/>
          <w:lang w:val="en-US"/>
        </w:rPr>
        <w:t>)</w:t>
      </w:r>
    </w:p>
    <w:p w14:paraId="612E0904" w14:textId="5C875B41"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NH</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(MD </w:t>
      </w:r>
      <w:r w:rsidR="006E2EFE">
        <w:rPr>
          <w:rFonts w:ascii="Times New Roman" w:hAnsi="Times New Roman" w:cs="Times New Roman"/>
          <w:sz w:val="24"/>
          <w:szCs w:val="24"/>
          <w:lang w:val="en-US"/>
        </w:rPr>
        <w:t xml:space="preserve">0.347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95% CI</w:t>
      </w:r>
      <w:r w:rsidR="006E2EFE">
        <w:rPr>
          <w:rFonts w:ascii="Times New Roman" w:hAnsi="Times New Roman" w:cs="Times New Roman"/>
          <w:sz w:val="24"/>
          <w:szCs w:val="24"/>
          <w:lang w:val="en-US"/>
        </w:rPr>
        <w:t>: 0.085, 0.609</w:t>
      </w:r>
      <w:r w:rsidRPr="0034474D">
        <w:rPr>
          <w:rFonts w:ascii="Times New Roman" w:hAnsi="Times New Roman" w:cs="Times New Roman"/>
          <w:sz w:val="24"/>
          <w:szCs w:val="24"/>
          <w:lang w:val="en-US"/>
        </w:rPr>
        <w:t>)</w:t>
      </w:r>
    </w:p>
    <w:p w14:paraId="7299304E" w14:textId="10623061" w:rsidR="0034474D" w:rsidRPr="006E2EFE" w:rsidRDefault="0034474D" w:rsidP="006E2EFE">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NO</w:t>
      </w:r>
      <w:r w:rsidRPr="0034474D">
        <w:rPr>
          <w:rFonts w:ascii="Times New Roman" w:hAnsi="Times New Roman" w:cs="Times New Roman"/>
          <w:sz w:val="24"/>
          <w:szCs w:val="24"/>
          <w:vertAlign w:val="subscript"/>
          <w:lang w:val="en-US"/>
        </w:rPr>
        <w:t>3</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6E2EFE" w:rsidRPr="0034474D">
        <w:rPr>
          <w:rFonts w:ascii="Times New Roman" w:hAnsi="Times New Roman" w:cs="Times New Roman"/>
          <w:sz w:val="24"/>
          <w:szCs w:val="24"/>
          <w:lang w:val="en-US"/>
        </w:rPr>
        <w:t xml:space="preserve">(MD </w:t>
      </w:r>
      <w:r w:rsidR="006E2EFE">
        <w:rPr>
          <w:rFonts w:ascii="Times New Roman" w:hAnsi="Times New Roman" w:cs="Times New Roman"/>
          <w:sz w:val="24"/>
          <w:szCs w:val="24"/>
          <w:lang w:val="en-US"/>
        </w:rPr>
        <w:t xml:space="preserve">0.497 </w:t>
      </w:r>
      <w:r w:rsidR="006E2EFE" w:rsidRPr="0034474D">
        <w:rPr>
          <w:rFonts w:ascii="Times New Roman" w:hAnsi="Times New Roman" w:cs="Times New Roman"/>
          <w:sz w:val="24"/>
          <w:szCs w:val="24"/>
          <w:lang w:val="en-US"/>
        </w:rPr>
        <w:t>µg/m</w:t>
      </w:r>
      <w:r w:rsidR="006E2EFE" w:rsidRPr="0034474D">
        <w:rPr>
          <w:rFonts w:ascii="Times New Roman" w:hAnsi="Times New Roman" w:cs="Times New Roman"/>
          <w:sz w:val="24"/>
          <w:szCs w:val="24"/>
          <w:vertAlign w:val="superscript"/>
          <w:lang w:val="en-US"/>
        </w:rPr>
        <w:t>3</w:t>
      </w:r>
      <w:r w:rsidR="006E2EFE"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0.179, 0.815</w:t>
      </w:r>
      <w:r w:rsidR="006E2EFE" w:rsidRPr="0034474D">
        <w:rPr>
          <w:rFonts w:ascii="Times New Roman" w:hAnsi="Times New Roman" w:cs="Times New Roman"/>
          <w:sz w:val="24"/>
          <w:szCs w:val="24"/>
          <w:lang w:val="en-US"/>
        </w:rPr>
        <w:t>)</w:t>
      </w:r>
    </w:p>
    <w:p w14:paraId="1B2B9C8D" w14:textId="079A629F"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SO</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2-</w:t>
      </w:r>
      <w:r w:rsidRPr="0034474D">
        <w:rPr>
          <w:rFonts w:ascii="Times New Roman" w:hAnsi="Times New Roman" w:cs="Times New Roman"/>
          <w:sz w:val="24"/>
          <w:szCs w:val="24"/>
          <w:lang w:val="en-US"/>
        </w:rPr>
        <w:t xml:space="preserve"> (MD </w:t>
      </w:r>
      <w:r w:rsidR="006E2EFE">
        <w:rPr>
          <w:rFonts w:ascii="Times New Roman" w:hAnsi="Times New Roman" w:cs="Times New Roman"/>
          <w:sz w:val="24"/>
          <w:szCs w:val="24"/>
          <w:lang w:val="en-US"/>
        </w:rPr>
        <w:t xml:space="preserve">1.469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1.096, 1.843</w:t>
      </w:r>
      <w:r w:rsidRPr="0034474D">
        <w:rPr>
          <w:rFonts w:ascii="Times New Roman" w:hAnsi="Times New Roman" w:cs="Times New Roman"/>
          <w:sz w:val="24"/>
          <w:szCs w:val="24"/>
          <w:lang w:val="en-US"/>
        </w:rPr>
        <w:t>)</w:t>
      </w:r>
    </w:p>
    <w:p w14:paraId="53C59B87" w14:textId="606D44F3" w:rsidR="00F72634" w:rsidRDefault="000C3D26" w:rsidP="00F726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(See Table</w:t>
      </w:r>
      <w:r w:rsidR="0020374D">
        <w:rPr>
          <w:rFonts w:ascii="Times New Roman" w:hAnsi="Times New Roman" w:cs="Times New Roman"/>
          <w:sz w:val="24"/>
          <w:szCs w:val="24"/>
          <w:lang w:val="en-US"/>
        </w:rPr>
        <w:t>s</w:t>
      </w:r>
      <w:r>
        <w:rPr>
          <w:rFonts w:ascii="Times New Roman" w:hAnsi="Times New Roman" w:cs="Times New Roman"/>
          <w:sz w:val="24"/>
          <w:szCs w:val="24"/>
          <w:lang w:val="en-US"/>
        </w:rPr>
        <w:t xml:space="preserve"> 4</w:t>
      </w:r>
      <w:r w:rsidR="006E2EFE">
        <w:rPr>
          <w:rFonts w:ascii="Times New Roman" w:hAnsi="Times New Roman" w:cs="Times New Roman"/>
          <w:sz w:val="24"/>
          <w:szCs w:val="24"/>
          <w:lang w:val="en-US"/>
        </w:rPr>
        <w:t xml:space="preserve"> </w:t>
      </w:r>
      <w:r w:rsidR="0020374D">
        <w:rPr>
          <w:rFonts w:ascii="Times New Roman" w:hAnsi="Times New Roman" w:cs="Times New Roman"/>
          <w:sz w:val="24"/>
          <w:szCs w:val="24"/>
          <w:lang w:val="en-US"/>
        </w:rPr>
        <w:t xml:space="preserve">and 5 </w:t>
      </w:r>
      <w:r w:rsidR="009B0939">
        <w:rPr>
          <w:rFonts w:ascii="Times New Roman" w:hAnsi="Times New Roman" w:cs="Times New Roman"/>
          <w:sz w:val="24"/>
          <w:szCs w:val="24"/>
          <w:lang w:val="en-US"/>
        </w:rPr>
        <w:t xml:space="preserve">and Figures 4 and 5 </w:t>
      </w:r>
      <w:r w:rsidR="006E2EFE">
        <w:rPr>
          <w:rFonts w:ascii="Times New Roman" w:hAnsi="Times New Roman" w:cs="Times New Roman"/>
          <w:sz w:val="24"/>
          <w:szCs w:val="24"/>
          <w:lang w:val="en-US"/>
        </w:rPr>
        <w:t>for results compared among all quintiles for all components</w:t>
      </w:r>
      <w:r>
        <w:rPr>
          <w:rFonts w:ascii="Times New Roman" w:hAnsi="Times New Roman" w:cs="Times New Roman"/>
          <w:sz w:val="24"/>
          <w:szCs w:val="24"/>
          <w:lang w:val="en-US"/>
        </w:rPr>
        <w:t xml:space="preserve">.)  </w:t>
      </w:r>
      <w:r w:rsidR="00F02ED9">
        <w:rPr>
          <w:rFonts w:ascii="Times New Roman" w:hAnsi="Times New Roman" w:cs="Times New Roman"/>
          <w:sz w:val="24"/>
          <w:szCs w:val="24"/>
          <w:lang w:val="en-US"/>
        </w:rPr>
        <w:t>We found lower mean concentrations of e</w:t>
      </w:r>
      <w:r w:rsidR="00F72634">
        <w:rPr>
          <w:rFonts w:ascii="Times New Roman" w:hAnsi="Times New Roman" w:cs="Times New Roman"/>
          <w:sz w:val="24"/>
          <w:szCs w:val="24"/>
          <w:lang w:val="en-US"/>
        </w:rPr>
        <w:t xml:space="preserve">lemental carbon </w:t>
      </w:r>
      <w:r w:rsidR="00F02ED9">
        <w:rPr>
          <w:rFonts w:ascii="Times New Roman" w:hAnsi="Times New Roman" w:cs="Times New Roman"/>
          <w:sz w:val="24"/>
          <w:szCs w:val="24"/>
          <w:lang w:val="en-US"/>
        </w:rPr>
        <w:t>in</w:t>
      </w:r>
      <w:r w:rsidR="00F72634">
        <w:rPr>
          <w:rFonts w:ascii="Times New Roman" w:hAnsi="Times New Roman" w:cs="Times New Roman"/>
          <w:sz w:val="24"/>
          <w:szCs w:val="24"/>
          <w:lang w:val="en-US"/>
        </w:rPr>
        <w:t xml:space="preserve"> 1</w:t>
      </w:r>
      <w:r w:rsidR="00F72634" w:rsidRPr="00F72634">
        <w:rPr>
          <w:rFonts w:ascii="Times New Roman" w:hAnsi="Times New Roman" w:cs="Times New Roman"/>
          <w:sz w:val="24"/>
          <w:szCs w:val="24"/>
          <w:vertAlign w:val="superscript"/>
          <w:lang w:val="en-US"/>
        </w:rPr>
        <w:t>st</w:t>
      </w:r>
      <w:r w:rsidR="00F72634">
        <w:rPr>
          <w:rFonts w:ascii="Times New Roman" w:hAnsi="Times New Roman" w:cs="Times New Roman"/>
          <w:sz w:val="24"/>
          <w:szCs w:val="24"/>
          <w:lang w:val="en-US"/>
        </w:rPr>
        <w:t xml:space="preserve"> RI quintile </w:t>
      </w:r>
      <w:r w:rsidR="00F02ED9">
        <w:rPr>
          <w:rFonts w:ascii="Times New Roman" w:hAnsi="Times New Roman" w:cs="Times New Roman"/>
          <w:sz w:val="24"/>
          <w:szCs w:val="24"/>
          <w:lang w:val="en-US"/>
        </w:rPr>
        <w:t xml:space="preserve">compared to the </w:t>
      </w:r>
      <w:r w:rsidR="00F72634">
        <w:rPr>
          <w:rFonts w:ascii="Times New Roman" w:hAnsi="Times New Roman" w:cs="Times New Roman"/>
          <w:sz w:val="24"/>
          <w:szCs w:val="24"/>
          <w:lang w:val="en-US"/>
        </w:rPr>
        <w:t>2</w:t>
      </w:r>
      <w:r w:rsidR="00F02ED9" w:rsidRPr="00F02ED9">
        <w:rPr>
          <w:rFonts w:ascii="Times New Roman" w:hAnsi="Times New Roman" w:cs="Times New Roman"/>
          <w:sz w:val="24"/>
          <w:szCs w:val="24"/>
          <w:vertAlign w:val="superscript"/>
          <w:lang w:val="en-US"/>
        </w:rPr>
        <w:t>nd</w:t>
      </w:r>
      <w:r w:rsidR="00F72634">
        <w:rPr>
          <w:rFonts w:ascii="Times New Roman" w:hAnsi="Times New Roman" w:cs="Times New Roman"/>
          <w:sz w:val="24"/>
          <w:szCs w:val="24"/>
          <w:lang w:val="en-US"/>
        </w:rPr>
        <w:t>, 3</w:t>
      </w:r>
      <w:r w:rsidR="00F72634" w:rsidRPr="00F72634">
        <w:rPr>
          <w:rFonts w:ascii="Times New Roman" w:hAnsi="Times New Roman" w:cs="Times New Roman"/>
          <w:sz w:val="24"/>
          <w:szCs w:val="24"/>
          <w:vertAlign w:val="superscript"/>
          <w:lang w:val="en-US"/>
        </w:rPr>
        <w:t>rd</w:t>
      </w:r>
      <w:r w:rsidR="00F72634">
        <w:rPr>
          <w:rFonts w:ascii="Times New Roman" w:hAnsi="Times New Roman" w:cs="Times New Roman"/>
          <w:sz w:val="24"/>
          <w:szCs w:val="24"/>
          <w:lang w:val="en-US"/>
        </w:rPr>
        <w:t>, and 4</w:t>
      </w:r>
      <w:r w:rsidR="00F72634" w:rsidRPr="00F72634">
        <w:rPr>
          <w:rFonts w:ascii="Times New Roman" w:hAnsi="Times New Roman" w:cs="Times New Roman"/>
          <w:sz w:val="24"/>
          <w:szCs w:val="24"/>
          <w:vertAlign w:val="superscript"/>
          <w:lang w:val="en-US"/>
        </w:rPr>
        <w:t>th</w:t>
      </w:r>
      <w:r w:rsidR="00F72634">
        <w:rPr>
          <w:rFonts w:ascii="Times New Roman" w:hAnsi="Times New Roman" w:cs="Times New Roman"/>
          <w:sz w:val="24"/>
          <w:szCs w:val="24"/>
          <w:lang w:val="en-US"/>
        </w:rPr>
        <w:t xml:space="preserve"> quintiles, but not the </w:t>
      </w:r>
      <w:r w:rsidR="00F02ED9">
        <w:rPr>
          <w:rFonts w:ascii="Times New Roman" w:hAnsi="Times New Roman" w:cs="Times New Roman"/>
          <w:sz w:val="24"/>
          <w:szCs w:val="24"/>
          <w:lang w:val="en-US"/>
        </w:rPr>
        <w:t>5</w:t>
      </w:r>
      <w:r w:rsidR="00F02ED9" w:rsidRPr="00F02ED9">
        <w:rPr>
          <w:rFonts w:ascii="Times New Roman" w:hAnsi="Times New Roman" w:cs="Times New Roman"/>
          <w:sz w:val="24"/>
          <w:szCs w:val="24"/>
          <w:vertAlign w:val="superscript"/>
          <w:lang w:val="en-US"/>
        </w:rPr>
        <w:t>th</w:t>
      </w:r>
      <w:r w:rsidR="00F02ED9">
        <w:rPr>
          <w:rFonts w:ascii="Times New Roman" w:hAnsi="Times New Roman" w:cs="Times New Roman"/>
          <w:sz w:val="24"/>
          <w:szCs w:val="24"/>
          <w:lang w:val="en-US"/>
        </w:rPr>
        <w:t xml:space="preserve">.  We did not find any significant differences in mean concentrations of </w:t>
      </w:r>
      <w:r w:rsidR="00D25D6A">
        <w:rPr>
          <w:rFonts w:ascii="Times New Roman" w:hAnsi="Times New Roman" w:cs="Times New Roman"/>
          <w:sz w:val="24"/>
          <w:szCs w:val="24"/>
          <w:lang w:val="en-US"/>
        </w:rPr>
        <w:t xml:space="preserve">Al, </w:t>
      </w:r>
      <w:r w:rsidR="00F02ED9">
        <w:rPr>
          <w:rFonts w:ascii="Times New Roman" w:hAnsi="Times New Roman" w:cs="Times New Roman"/>
          <w:sz w:val="24"/>
          <w:szCs w:val="24"/>
          <w:lang w:val="en-US"/>
        </w:rPr>
        <w:t xml:space="preserve">Cd, Ca, Cl, Hg, Si, Na, </w:t>
      </w:r>
      <w:proofErr w:type="spellStart"/>
      <w:r w:rsidR="00F02ED9">
        <w:rPr>
          <w:rFonts w:ascii="Times New Roman" w:hAnsi="Times New Roman" w:cs="Times New Roman"/>
          <w:sz w:val="24"/>
          <w:szCs w:val="24"/>
          <w:lang w:val="en-US"/>
        </w:rPr>
        <w:t>Ti</w:t>
      </w:r>
      <w:proofErr w:type="spellEnd"/>
      <w:r w:rsidR="00F02ED9">
        <w:rPr>
          <w:rFonts w:ascii="Times New Roman" w:hAnsi="Times New Roman" w:cs="Times New Roman"/>
          <w:sz w:val="24"/>
          <w:szCs w:val="24"/>
          <w:lang w:val="en-US"/>
        </w:rPr>
        <w:t>, Na</w:t>
      </w:r>
      <w:r w:rsidR="00F02ED9">
        <w:rPr>
          <w:rFonts w:ascii="Times New Roman" w:hAnsi="Times New Roman" w:cs="Times New Roman"/>
          <w:sz w:val="24"/>
          <w:szCs w:val="24"/>
          <w:vertAlign w:val="superscript"/>
          <w:lang w:val="en-US"/>
        </w:rPr>
        <w:t>+</w:t>
      </w:r>
      <w:r w:rsidR="007206E5">
        <w:rPr>
          <w:rFonts w:ascii="Times New Roman" w:hAnsi="Times New Roman" w:cs="Times New Roman"/>
          <w:sz w:val="24"/>
          <w:szCs w:val="24"/>
          <w:lang w:val="en-US"/>
        </w:rPr>
        <w:t xml:space="preserve">, or EC </w:t>
      </w:r>
      <w:r w:rsidR="00F02ED9">
        <w:rPr>
          <w:rFonts w:ascii="Times New Roman" w:hAnsi="Times New Roman" w:cs="Times New Roman"/>
          <w:sz w:val="24"/>
          <w:szCs w:val="24"/>
          <w:lang w:val="en-US"/>
        </w:rPr>
        <w:t>by RI quintile.</w:t>
      </w:r>
    </w:p>
    <w:p w14:paraId="748E307B" w14:textId="7E4C89AB" w:rsidR="00765F5B" w:rsidRDefault="00244280" w:rsidP="0024428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Preliminary regression results </w:t>
      </w:r>
      <w:r w:rsidRPr="00777669">
        <w:rPr>
          <w:rFonts w:ascii="Times New Roman" w:hAnsi="Times New Roman" w:cs="Times New Roman"/>
          <w:sz w:val="24"/>
          <w:szCs w:val="24"/>
          <w:lang w:val="en-US"/>
        </w:rPr>
        <w:t xml:space="preserve">showed that </w:t>
      </w:r>
      <w:r>
        <w:rPr>
          <w:rFonts w:ascii="Times New Roman" w:hAnsi="Times New Roman" w:cs="Times New Roman"/>
          <w:sz w:val="24"/>
          <w:szCs w:val="24"/>
          <w:lang w:val="en-US"/>
        </w:rPr>
        <w:t>a one-quintile increase in RI</w:t>
      </w:r>
      <w:r w:rsidRPr="00777669">
        <w:rPr>
          <w:rFonts w:ascii="Times New Roman" w:hAnsi="Times New Roman" w:cs="Times New Roman"/>
          <w:sz w:val="24"/>
          <w:szCs w:val="24"/>
          <w:lang w:val="en-US"/>
        </w:rPr>
        <w:t xml:space="preserve"> remained a significant predictor of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w:t>
      </w:r>
      <w:r>
        <w:rPr>
          <w:rFonts w:ascii="Times New Roman" w:hAnsi="Times New Roman" w:cs="Times New Roman"/>
          <w:sz w:val="24"/>
          <w:szCs w:val="24"/>
          <w:lang w:val="en-US"/>
        </w:rPr>
        <w:t>concentrations (</w:t>
      </w:r>
      <w:r w:rsidRPr="00EF04D1">
        <w:rPr>
          <w:rFonts w:ascii="Times New Roman" w:hAnsi="Times New Roman" w:cs="Times New Roman"/>
          <w:i/>
          <w:sz w:val="24"/>
          <w:szCs w:val="24"/>
          <w:lang w:val="en-US"/>
        </w:rPr>
        <w:t>β</w:t>
      </w:r>
      <w:r>
        <w:rPr>
          <w:rFonts w:ascii="Times New Roman" w:hAnsi="Times New Roman" w:cs="Times New Roman"/>
          <w:sz w:val="24"/>
          <w:szCs w:val="24"/>
          <w:lang w:val="en-US"/>
        </w:rPr>
        <w:t xml:space="preserve"> = 0.</w:t>
      </w:r>
      <w:r w:rsidRPr="00EF04D1">
        <w:rPr>
          <w:rFonts w:ascii="Times New Roman" w:hAnsi="Times New Roman" w:cs="Times New Roman"/>
          <w:sz w:val="24"/>
          <w:szCs w:val="24"/>
          <w:lang w:val="en-US"/>
        </w:rPr>
        <w:t>383</w:t>
      </w:r>
      <w:r>
        <w:rPr>
          <w:rFonts w:ascii="Times New Roman" w:hAnsi="Times New Roman" w:cs="Times New Roman"/>
          <w:sz w:val="24"/>
          <w:szCs w:val="24"/>
          <w:lang w:val="en-US"/>
        </w:rPr>
        <w:t xml:space="preserve"> µg/m</w:t>
      </w:r>
      <w:r>
        <w:rPr>
          <w:rFonts w:ascii="Times New Roman" w:hAnsi="Times New Roman" w:cs="Times New Roman"/>
          <w:sz w:val="24"/>
          <w:szCs w:val="24"/>
          <w:vertAlign w:val="superscript"/>
          <w:lang w:val="en-US"/>
        </w:rPr>
        <w:t>3</w:t>
      </w:r>
      <w:r w:rsidRPr="00EF04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95% CI: </w:t>
      </w:r>
      <w:r w:rsidRPr="00EF04D1">
        <w:rPr>
          <w:rFonts w:ascii="Times New Roman" w:hAnsi="Times New Roman" w:cs="Times New Roman"/>
          <w:sz w:val="24"/>
          <w:szCs w:val="24"/>
          <w:lang w:val="en-US"/>
        </w:rPr>
        <w:t>0.223 – 0.543)</w:t>
      </w:r>
      <w:r w:rsidRPr="00777669">
        <w:rPr>
          <w:rFonts w:ascii="Times New Roman" w:hAnsi="Times New Roman" w:cs="Times New Roman"/>
          <w:sz w:val="24"/>
          <w:szCs w:val="24"/>
          <w:lang w:val="en-US"/>
        </w:rPr>
        <w:t xml:space="preserve"> in a census tract after controlling for </w:t>
      </w:r>
      <w:r>
        <w:rPr>
          <w:rFonts w:ascii="Times New Roman" w:hAnsi="Times New Roman" w:cs="Times New Roman"/>
          <w:sz w:val="24"/>
          <w:szCs w:val="24"/>
          <w:lang w:val="en-US"/>
        </w:rPr>
        <w:t xml:space="preserve">region, racial and ethnic composition, poverty, education </w:t>
      </w:r>
      <w:r>
        <w:rPr>
          <w:rFonts w:ascii="Times New Roman" w:hAnsi="Times New Roman" w:cs="Times New Roman"/>
          <w:sz w:val="24"/>
          <w:szCs w:val="24"/>
          <w:lang w:val="en-US"/>
        </w:rPr>
        <w:lastRenderedPageBreak/>
        <w:t xml:space="preserve">less than high school, unemployment, percent of tract population ages 19 or less, and percent of tract population ages 65 or older.  </w:t>
      </w:r>
      <w:r w:rsidR="00914745">
        <w:rPr>
          <w:rFonts w:ascii="Times New Roman" w:hAnsi="Times New Roman" w:cs="Times New Roman"/>
          <w:sz w:val="24"/>
          <w:szCs w:val="24"/>
          <w:lang w:val="en-US"/>
        </w:rPr>
        <w:t>We also found a one-quantile increase in RI</w:t>
      </w:r>
      <w:r>
        <w:rPr>
          <w:rFonts w:ascii="Times New Roman" w:hAnsi="Times New Roman" w:cs="Times New Roman"/>
          <w:sz w:val="24"/>
          <w:szCs w:val="24"/>
          <w:lang w:val="en-US"/>
        </w:rPr>
        <w:t xml:space="preserve"> </w:t>
      </w:r>
      <w:r w:rsidR="00914745">
        <w:rPr>
          <w:rFonts w:ascii="Times New Roman" w:hAnsi="Times New Roman" w:cs="Times New Roman"/>
          <w:sz w:val="24"/>
          <w:szCs w:val="24"/>
          <w:lang w:val="en-US"/>
        </w:rPr>
        <w:t>positively associated with</w:t>
      </w:r>
      <w:r>
        <w:rPr>
          <w:rFonts w:ascii="Times New Roman" w:hAnsi="Times New Roman" w:cs="Times New Roman"/>
          <w:sz w:val="24"/>
          <w:szCs w:val="24"/>
          <w:lang w:val="en-US"/>
        </w:rPr>
        <w:t xml:space="preserve"> </w:t>
      </w:r>
    </w:p>
    <w:p w14:paraId="3AC6F556" w14:textId="3FA491B6" w:rsidR="00765F5B" w:rsidRDefault="00244280"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hAnsi="Times New Roman" w:cs="Times New Roman"/>
          <w:sz w:val="24"/>
          <w:szCs w:val="24"/>
          <w:lang w:val="en-US"/>
        </w:rPr>
        <w:t>As (</w:t>
      </w:r>
      <m:oMath>
        <m:r>
          <w:rPr>
            <w:rFonts w:ascii="Cambria Math" w:hAnsi="Cambria Math" w:cs="Times New Roman"/>
            <w:sz w:val="24"/>
            <w:szCs w:val="24"/>
            <w:lang w:val="en-US"/>
          </w:rPr>
          <m:t>β</m:t>
        </m:r>
      </m:oMath>
      <w:r w:rsidRPr="00765F5B">
        <w:rPr>
          <w:rFonts w:ascii="Times New Roman" w:eastAsiaTheme="minorEastAsia" w:hAnsi="Times New Roman" w:cs="Times New Roman"/>
          <w:sz w:val="24"/>
          <w:szCs w:val="24"/>
          <w:lang w:val="en-US"/>
        </w:rPr>
        <w:t xml:space="preserve"> = 0.000</w:t>
      </w:r>
      <w:r w:rsidR="00692E70">
        <w:rPr>
          <w:rFonts w:ascii="Times New Roman" w:eastAsiaTheme="minorEastAsia" w:hAnsi="Times New Roman" w:cs="Times New Roman"/>
          <w:sz w:val="24"/>
          <w:szCs w:val="24"/>
          <w:lang w:val="en-US"/>
        </w:rPr>
        <w:t>07</w:t>
      </w:r>
      <w:r w:rsidR="00B66BF7">
        <w:rPr>
          <w:rFonts w:ascii="Times New Roman" w:eastAsiaTheme="minorEastAsia" w:hAnsi="Times New Roman" w:cs="Times New Roman"/>
          <w:sz w:val="24"/>
          <w:szCs w:val="24"/>
          <w:lang w:val="en-US"/>
        </w:rPr>
        <w:t>35</w:t>
      </w:r>
      <w:r w:rsidR="00A25B52">
        <w:rPr>
          <w:rFonts w:ascii="Times New Roman" w:eastAsiaTheme="minorEastAsia"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Pr="00765F5B">
        <w:rPr>
          <w:rFonts w:ascii="Times New Roman" w:eastAsiaTheme="minorEastAsia" w:hAnsi="Times New Roman" w:cs="Times New Roman"/>
          <w:sz w:val="24"/>
          <w:szCs w:val="24"/>
          <w:lang w:val="en-US"/>
        </w:rPr>
        <w:t>, 95% CI: 0.0000</w:t>
      </w:r>
      <w:r w:rsidR="00692E70">
        <w:rPr>
          <w:rFonts w:ascii="Times New Roman" w:eastAsiaTheme="minorEastAsia" w:hAnsi="Times New Roman" w:cs="Times New Roman"/>
          <w:sz w:val="24"/>
          <w:szCs w:val="24"/>
          <w:lang w:val="en-US"/>
        </w:rPr>
        <w:t>1</w:t>
      </w:r>
      <w:r w:rsidR="00B66BF7">
        <w:rPr>
          <w:rFonts w:ascii="Times New Roman" w:eastAsiaTheme="minorEastAsia" w:hAnsi="Times New Roman" w:cs="Times New Roman"/>
          <w:sz w:val="24"/>
          <w:szCs w:val="24"/>
          <w:lang w:val="en-US"/>
        </w:rPr>
        <w:t>5</w:t>
      </w:r>
      <w:r w:rsidR="002F7666">
        <w:rPr>
          <w:rFonts w:ascii="Times New Roman" w:eastAsiaTheme="minorEastAsia" w:hAnsi="Times New Roman" w:cs="Times New Roman"/>
          <w:sz w:val="24"/>
          <w:szCs w:val="24"/>
          <w:lang w:val="en-US"/>
        </w:rPr>
        <w:t>6</w:t>
      </w:r>
      <w:r w:rsidRPr="00765F5B">
        <w:rPr>
          <w:rFonts w:ascii="Times New Roman" w:eastAsiaTheme="minorEastAsia" w:hAnsi="Times New Roman" w:cs="Times New Roman"/>
          <w:sz w:val="24"/>
          <w:szCs w:val="24"/>
          <w:lang w:val="en-US"/>
        </w:rPr>
        <w:t>, 0.00013</w:t>
      </w:r>
      <w:r w:rsidR="00B66BF7">
        <w:rPr>
          <w:rFonts w:ascii="Times New Roman" w:eastAsiaTheme="minorEastAsia" w:hAnsi="Times New Roman" w:cs="Times New Roman"/>
          <w:sz w:val="24"/>
          <w:szCs w:val="24"/>
          <w:lang w:val="en-US"/>
        </w:rPr>
        <w:t>14</w:t>
      </w:r>
      <w:r w:rsidRPr="00765F5B">
        <w:rPr>
          <w:rFonts w:ascii="Times New Roman" w:eastAsiaTheme="minorEastAsia" w:hAnsi="Times New Roman" w:cs="Times New Roman"/>
          <w:sz w:val="24"/>
          <w:szCs w:val="24"/>
          <w:lang w:val="en-US"/>
        </w:rPr>
        <w:t xml:space="preserve">) </w:t>
      </w:r>
    </w:p>
    <w:p w14:paraId="169DDF30" w14:textId="16C794FE" w:rsidR="00765F5B" w:rsidRDefault="00244280"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eastAsiaTheme="minorEastAsia" w:hAnsi="Times New Roman" w:cs="Times New Roman"/>
          <w:sz w:val="24"/>
          <w:szCs w:val="24"/>
          <w:lang w:val="en-US"/>
        </w:rPr>
        <w:t xml:space="preserve">Ni </w:t>
      </w:r>
      <w:r w:rsidR="00A25B52">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i/>
          <w:sz w:val="24"/>
          <w:szCs w:val="24"/>
          <w:lang w:val="en-US"/>
        </w:rPr>
        <w:t>β</w:t>
      </w:r>
      <w:r w:rsidR="00A25B52">
        <w:rPr>
          <w:rFonts w:ascii="Times New Roman" w:eastAsiaTheme="minorEastAsia" w:hAnsi="Times New Roman" w:cs="Times New Roman"/>
          <w:sz w:val="24"/>
          <w:szCs w:val="24"/>
          <w:lang w:val="en-US"/>
        </w:rPr>
        <w:t xml:space="preserve"> = 0</w:t>
      </w:r>
      <w:r w:rsidR="00A25B52" w:rsidRPr="00A25B52">
        <w:rPr>
          <w:rFonts w:ascii="Times New Roman" w:eastAsiaTheme="minorEastAsia" w:hAnsi="Times New Roman" w:cs="Times New Roman"/>
          <w:sz w:val="24"/>
          <w:szCs w:val="24"/>
          <w:lang w:val="en-US"/>
        </w:rPr>
        <w:t>.0001</w:t>
      </w:r>
      <w:r w:rsidR="00B66BF7">
        <w:rPr>
          <w:rFonts w:ascii="Times New Roman" w:eastAsiaTheme="minorEastAsia" w:hAnsi="Times New Roman" w:cs="Times New Roman"/>
          <w:sz w:val="24"/>
          <w:szCs w:val="24"/>
          <w:lang w:val="en-US"/>
        </w:rPr>
        <w:t>90</w:t>
      </w:r>
      <w:r w:rsidR="00A25B52" w:rsidRPr="00A25B52">
        <w:rPr>
          <w:rFonts w:ascii="Times New Roman"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00A25B52">
        <w:rPr>
          <w:rFonts w:ascii="Times New Roman" w:eastAsiaTheme="minorEastAsia" w:hAnsi="Times New Roman" w:cs="Times New Roman"/>
          <w:sz w:val="24"/>
          <w:szCs w:val="24"/>
          <w:lang w:val="en-US"/>
        </w:rPr>
        <w:t xml:space="preserve">, </w:t>
      </w:r>
      <w:r w:rsidR="00A25B52" w:rsidRPr="00765F5B">
        <w:rPr>
          <w:rFonts w:ascii="Times New Roman" w:eastAsiaTheme="minorEastAsia" w:hAnsi="Times New Roman" w:cs="Times New Roman"/>
          <w:sz w:val="24"/>
          <w:szCs w:val="24"/>
          <w:lang w:val="en-US"/>
        </w:rPr>
        <w:t>95% CI:</w:t>
      </w:r>
      <w:r w:rsidR="00A25B52">
        <w:rPr>
          <w:rFonts w:ascii="Times New Roman" w:eastAsiaTheme="minorEastAsia" w:hAnsi="Times New Roman" w:cs="Times New Roman"/>
          <w:sz w:val="24"/>
          <w:szCs w:val="24"/>
          <w:lang w:val="en-US"/>
        </w:rPr>
        <w:t xml:space="preserve"> </w:t>
      </w:r>
      <w:r w:rsidR="00A25B52" w:rsidRPr="00A25B52">
        <w:rPr>
          <w:rFonts w:ascii="Times New Roman" w:eastAsiaTheme="minorEastAsia" w:hAnsi="Times New Roman" w:cs="Times New Roman"/>
          <w:sz w:val="24"/>
          <w:szCs w:val="24"/>
          <w:lang w:val="en-US"/>
        </w:rPr>
        <w:t>0.00006</w:t>
      </w:r>
      <w:r w:rsidR="00B66BF7">
        <w:rPr>
          <w:rFonts w:ascii="Times New Roman" w:eastAsiaTheme="minorEastAsia" w:hAnsi="Times New Roman" w:cs="Times New Roman"/>
          <w:sz w:val="24"/>
          <w:szCs w:val="24"/>
          <w:lang w:val="en-US"/>
        </w:rPr>
        <w:t>1</w:t>
      </w:r>
      <w:r w:rsidR="00557395">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sz w:val="24"/>
          <w:szCs w:val="24"/>
          <w:lang w:val="en-US"/>
        </w:rPr>
        <w:t xml:space="preserve"> 0.00031</w:t>
      </w:r>
      <w:r w:rsidR="00B66BF7">
        <w:rPr>
          <w:rFonts w:ascii="Times New Roman" w:eastAsiaTheme="minorEastAsia" w:hAnsi="Times New Roman" w:cs="Times New Roman"/>
          <w:sz w:val="24"/>
          <w:szCs w:val="24"/>
          <w:lang w:val="en-US"/>
        </w:rPr>
        <w:t>8</w:t>
      </w:r>
      <w:r w:rsidR="00A25B52">
        <w:rPr>
          <w:rFonts w:ascii="Times New Roman" w:eastAsiaTheme="minorEastAsia" w:hAnsi="Times New Roman" w:cs="Times New Roman"/>
          <w:sz w:val="24"/>
          <w:szCs w:val="24"/>
          <w:lang w:val="en-US"/>
        </w:rPr>
        <w:t>)</w:t>
      </w:r>
    </w:p>
    <w:p w14:paraId="11647BF9" w14:textId="5536BA76" w:rsidR="00765F5B" w:rsidRDefault="00765F5B"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eastAsiaTheme="minorEastAsia" w:hAnsi="Times New Roman" w:cs="Times New Roman"/>
          <w:sz w:val="24"/>
          <w:szCs w:val="24"/>
          <w:lang w:val="en-US"/>
        </w:rPr>
        <w:t>V</w:t>
      </w:r>
      <w:r w:rsidR="00A25B52">
        <w:rPr>
          <w:rFonts w:ascii="Times New Roman" w:eastAsiaTheme="minorEastAsia" w:hAnsi="Times New Roman" w:cs="Times New Roman"/>
          <w:sz w:val="24"/>
          <w:szCs w:val="24"/>
          <w:lang w:val="en-US"/>
        </w:rPr>
        <w:t xml:space="preserve"> (</w:t>
      </w:r>
      <w:r w:rsidR="00A25B52" w:rsidRPr="00A25B52">
        <w:rPr>
          <w:rFonts w:ascii="Times New Roman" w:eastAsiaTheme="minorEastAsia" w:hAnsi="Times New Roman" w:cs="Times New Roman"/>
          <w:i/>
          <w:sz w:val="24"/>
          <w:szCs w:val="24"/>
          <w:lang w:val="en-US"/>
        </w:rPr>
        <w:t>β</w:t>
      </w:r>
      <w:r w:rsidR="00A25B52">
        <w:rPr>
          <w:rFonts w:ascii="Times New Roman" w:eastAsiaTheme="minorEastAsia" w:hAnsi="Times New Roman" w:cs="Times New Roman"/>
          <w:sz w:val="24"/>
          <w:szCs w:val="24"/>
          <w:lang w:val="en-US"/>
        </w:rPr>
        <w:t xml:space="preserve"> = </w:t>
      </w:r>
      <w:r w:rsidR="00692E70">
        <w:rPr>
          <w:rFonts w:ascii="Times New Roman" w:eastAsiaTheme="minorEastAsia" w:hAnsi="Times New Roman" w:cs="Times New Roman"/>
          <w:sz w:val="24"/>
          <w:szCs w:val="24"/>
          <w:lang w:val="en-US"/>
        </w:rPr>
        <w:t>0.00015</w:t>
      </w:r>
      <w:r w:rsidR="00A00A63">
        <w:rPr>
          <w:rFonts w:ascii="Times New Roman" w:eastAsiaTheme="minorEastAsia" w:hAnsi="Times New Roman" w:cs="Times New Roman"/>
          <w:sz w:val="24"/>
          <w:szCs w:val="24"/>
          <w:lang w:val="en-US"/>
        </w:rPr>
        <w:t>8</w:t>
      </w:r>
      <w:r w:rsidR="00692E70">
        <w:rPr>
          <w:rFonts w:ascii="Times New Roman" w:eastAsiaTheme="minorEastAsia"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00A25B52">
        <w:rPr>
          <w:rFonts w:ascii="Times New Roman" w:eastAsiaTheme="minorEastAsia" w:hAnsi="Times New Roman" w:cs="Times New Roman"/>
          <w:sz w:val="24"/>
          <w:szCs w:val="24"/>
          <w:lang w:val="en-US"/>
        </w:rPr>
        <w:t xml:space="preserve">, </w:t>
      </w:r>
      <w:r w:rsidR="00A25B52" w:rsidRPr="00765F5B">
        <w:rPr>
          <w:rFonts w:ascii="Times New Roman" w:eastAsiaTheme="minorEastAsia" w:hAnsi="Times New Roman" w:cs="Times New Roman"/>
          <w:sz w:val="24"/>
          <w:szCs w:val="24"/>
          <w:lang w:val="en-US"/>
        </w:rPr>
        <w:t>95% CI:</w:t>
      </w:r>
      <w:r w:rsidR="00A25B52">
        <w:rPr>
          <w:rFonts w:ascii="Times New Roman" w:eastAsiaTheme="minorEastAsia" w:hAnsi="Times New Roman" w:cs="Times New Roman"/>
          <w:sz w:val="24"/>
          <w:szCs w:val="24"/>
          <w:lang w:val="en-US"/>
        </w:rPr>
        <w:t xml:space="preserve"> </w:t>
      </w:r>
      <w:r w:rsidR="00692E70">
        <w:rPr>
          <w:rFonts w:ascii="Times New Roman" w:eastAsiaTheme="minorEastAsia" w:hAnsi="Times New Roman" w:cs="Times New Roman"/>
          <w:sz w:val="24"/>
          <w:szCs w:val="24"/>
          <w:lang w:val="en-US"/>
        </w:rPr>
        <w:t>0.00003</w:t>
      </w:r>
      <w:r w:rsidR="00A00A63">
        <w:rPr>
          <w:rFonts w:ascii="Times New Roman" w:eastAsiaTheme="minorEastAsia" w:hAnsi="Times New Roman" w:cs="Times New Roman"/>
          <w:sz w:val="24"/>
          <w:szCs w:val="24"/>
          <w:lang w:val="en-US"/>
        </w:rPr>
        <w:t>5</w:t>
      </w:r>
      <w:r w:rsidR="00557395">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sz w:val="24"/>
          <w:szCs w:val="24"/>
          <w:lang w:val="en-US"/>
        </w:rPr>
        <w:t xml:space="preserve"> </w:t>
      </w:r>
      <w:r w:rsidR="00692E70">
        <w:rPr>
          <w:rFonts w:ascii="Times New Roman" w:eastAsiaTheme="minorEastAsia" w:hAnsi="Times New Roman" w:cs="Times New Roman"/>
          <w:sz w:val="24"/>
          <w:szCs w:val="24"/>
          <w:lang w:val="en-US"/>
        </w:rPr>
        <w:t>0.0002</w:t>
      </w:r>
      <w:r w:rsidR="00A00A63">
        <w:rPr>
          <w:rFonts w:ascii="Times New Roman" w:eastAsiaTheme="minorEastAsia" w:hAnsi="Times New Roman" w:cs="Times New Roman"/>
          <w:sz w:val="24"/>
          <w:szCs w:val="24"/>
          <w:lang w:val="en-US"/>
        </w:rPr>
        <w:t>81</w:t>
      </w:r>
      <w:r w:rsidR="00A25B52">
        <w:rPr>
          <w:rFonts w:ascii="Times New Roman" w:eastAsiaTheme="minorEastAsia" w:hAnsi="Times New Roman" w:cs="Times New Roman"/>
          <w:sz w:val="24"/>
          <w:szCs w:val="24"/>
          <w:lang w:val="en-US"/>
        </w:rPr>
        <w:t>)</w:t>
      </w:r>
    </w:p>
    <w:p w14:paraId="56F4A751" w14:textId="02E4D007" w:rsidR="00765F5B"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NH</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9F4529" w:rsidRPr="00A25B52">
        <w:rPr>
          <w:rFonts w:ascii="Times New Roman" w:eastAsiaTheme="minorEastAsia" w:hAnsi="Times New Roman" w:cs="Times New Roman"/>
          <w:i/>
          <w:sz w:val="24"/>
          <w:szCs w:val="24"/>
          <w:lang w:val="en-US"/>
        </w:rPr>
        <w:t>β</w:t>
      </w:r>
      <w:r w:rsidR="009F4529">
        <w:rPr>
          <w:rFonts w:ascii="Times New Roman" w:eastAsiaTheme="minorEastAsia" w:hAnsi="Times New Roman" w:cs="Times New Roman"/>
          <w:sz w:val="24"/>
          <w:szCs w:val="24"/>
          <w:lang w:val="en-US"/>
        </w:rPr>
        <w:t xml:space="preserve"> = </w:t>
      </w:r>
      <w:r w:rsidR="009F4529"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770</w:t>
      </w:r>
      <w:r w:rsidR="009F4529">
        <w:rPr>
          <w:rFonts w:ascii="Times New Roman" w:hAnsi="Times New Roman" w:cs="Times New Roman"/>
          <w:sz w:val="24"/>
          <w:szCs w:val="24"/>
          <w:lang w:val="en-US"/>
        </w:rPr>
        <w:t xml:space="preserve"> </w:t>
      </w:r>
      <w:r w:rsidR="009F4529" w:rsidRPr="0034474D">
        <w:rPr>
          <w:rFonts w:ascii="Times New Roman" w:hAnsi="Times New Roman" w:cs="Times New Roman"/>
          <w:sz w:val="24"/>
          <w:szCs w:val="24"/>
          <w:lang w:val="en-US"/>
        </w:rPr>
        <w:t>µg/m</w:t>
      </w:r>
      <w:r w:rsidR="009F4529" w:rsidRPr="0034474D">
        <w:rPr>
          <w:rFonts w:ascii="Times New Roman" w:hAnsi="Times New Roman" w:cs="Times New Roman"/>
          <w:sz w:val="24"/>
          <w:szCs w:val="24"/>
          <w:vertAlign w:val="superscript"/>
          <w:lang w:val="en-US"/>
        </w:rPr>
        <w:t>3</w:t>
      </w:r>
      <w:r w:rsidR="009F4529">
        <w:rPr>
          <w:rFonts w:ascii="Times New Roman" w:hAnsi="Times New Roman" w:cs="Times New Roman"/>
          <w:sz w:val="24"/>
          <w:szCs w:val="24"/>
          <w:lang w:val="en-US"/>
        </w:rPr>
        <w:t xml:space="preserve">, 95% CI: </w:t>
      </w:r>
      <w:r w:rsidR="009F4529"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172</w:t>
      </w:r>
      <w:r w:rsidR="009F4529" w:rsidRPr="009F4529">
        <w:rPr>
          <w:rFonts w:ascii="Times New Roman" w:hAnsi="Times New Roman" w:cs="Times New Roman"/>
          <w:sz w:val="24"/>
          <w:szCs w:val="24"/>
          <w:lang w:val="en-US"/>
        </w:rPr>
        <w:t xml:space="preserve"> – 0.13</w:t>
      </w:r>
      <w:r w:rsidR="00A00A63">
        <w:rPr>
          <w:rFonts w:ascii="Times New Roman" w:hAnsi="Times New Roman" w:cs="Times New Roman"/>
          <w:sz w:val="24"/>
          <w:szCs w:val="24"/>
          <w:lang w:val="en-US"/>
        </w:rPr>
        <w:t>68</w:t>
      </w:r>
      <w:r w:rsidRPr="0034474D">
        <w:rPr>
          <w:rFonts w:ascii="Times New Roman" w:hAnsi="Times New Roman" w:cs="Times New Roman"/>
          <w:sz w:val="24"/>
          <w:szCs w:val="24"/>
          <w:lang w:val="en-US"/>
        </w:rPr>
        <w:t>)</w:t>
      </w:r>
    </w:p>
    <w:p w14:paraId="02C3C08C" w14:textId="24D896E4" w:rsidR="00765F5B" w:rsidRPr="006E2EFE"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NO</w:t>
      </w:r>
      <w:r w:rsidRPr="0034474D">
        <w:rPr>
          <w:rFonts w:ascii="Times New Roman" w:hAnsi="Times New Roman" w:cs="Times New Roman"/>
          <w:sz w:val="24"/>
          <w:szCs w:val="24"/>
          <w:vertAlign w:val="subscript"/>
          <w:lang w:val="en-US"/>
        </w:rPr>
        <w:t>3</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2F7666" w:rsidRPr="0034474D">
        <w:rPr>
          <w:rFonts w:ascii="Times New Roman" w:hAnsi="Times New Roman" w:cs="Times New Roman"/>
          <w:sz w:val="24"/>
          <w:szCs w:val="24"/>
          <w:lang w:val="en-US"/>
        </w:rPr>
        <w:t>(</w:t>
      </w:r>
      <w:r w:rsidR="002F7666" w:rsidRPr="00A25B52">
        <w:rPr>
          <w:rFonts w:ascii="Times New Roman" w:eastAsiaTheme="minorEastAsia" w:hAnsi="Times New Roman" w:cs="Times New Roman"/>
          <w:i/>
          <w:sz w:val="24"/>
          <w:szCs w:val="24"/>
          <w:lang w:val="en-US"/>
        </w:rPr>
        <w:t>β</w:t>
      </w:r>
      <w:r w:rsidR="002F7666">
        <w:rPr>
          <w:rFonts w:ascii="Times New Roman" w:eastAsiaTheme="minorEastAsia" w:hAnsi="Times New Roman" w:cs="Times New Roman"/>
          <w:sz w:val="24"/>
          <w:szCs w:val="24"/>
          <w:lang w:val="en-US"/>
        </w:rPr>
        <w:t xml:space="preserve"> = </w:t>
      </w:r>
      <w:r w:rsidR="002F7666" w:rsidRPr="009F4529">
        <w:rPr>
          <w:rFonts w:ascii="Times New Roman" w:hAnsi="Times New Roman" w:cs="Times New Roman"/>
          <w:sz w:val="24"/>
          <w:szCs w:val="24"/>
          <w:lang w:val="en-US"/>
        </w:rPr>
        <w:t>0.</w:t>
      </w:r>
      <w:r w:rsidR="002F7666">
        <w:rPr>
          <w:rFonts w:ascii="Times New Roman" w:hAnsi="Times New Roman" w:cs="Times New Roman"/>
          <w:sz w:val="24"/>
          <w:szCs w:val="24"/>
          <w:lang w:val="en-US"/>
        </w:rPr>
        <w:t>14</w:t>
      </w:r>
      <w:r w:rsidR="00A00A63">
        <w:rPr>
          <w:rFonts w:ascii="Times New Roman" w:hAnsi="Times New Roman" w:cs="Times New Roman"/>
          <w:sz w:val="24"/>
          <w:szCs w:val="24"/>
          <w:lang w:val="en-US"/>
        </w:rPr>
        <w:t>5</w:t>
      </w:r>
      <w:r w:rsidR="002F7666">
        <w:rPr>
          <w:rFonts w:ascii="Times New Roman" w:hAnsi="Times New Roman" w:cs="Times New Roman"/>
          <w:sz w:val="24"/>
          <w:szCs w:val="24"/>
          <w:lang w:val="en-US"/>
        </w:rPr>
        <w:t xml:space="preserve"> </w:t>
      </w:r>
      <w:r w:rsidR="002F7666" w:rsidRPr="0034474D">
        <w:rPr>
          <w:rFonts w:ascii="Times New Roman" w:hAnsi="Times New Roman" w:cs="Times New Roman"/>
          <w:sz w:val="24"/>
          <w:szCs w:val="24"/>
          <w:lang w:val="en-US"/>
        </w:rPr>
        <w:t>µg/m</w:t>
      </w:r>
      <w:r w:rsidR="002F7666" w:rsidRPr="0034474D">
        <w:rPr>
          <w:rFonts w:ascii="Times New Roman" w:hAnsi="Times New Roman" w:cs="Times New Roman"/>
          <w:sz w:val="24"/>
          <w:szCs w:val="24"/>
          <w:vertAlign w:val="superscript"/>
          <w:lang w:val="en-US"/>
        </w:rPr>
        <w:t>3</w:t>
      </w:r>
      <w:r w:rsidR="002F7666">
        <w:rPr>
          <w:rFonts w:ascii="Times New Roman" w:hAnsi="Times New Roman" w:cs="Times New Roman"/>
          <w:sz w:val="24"/>
          <w:szCs w:val="24"/>
          <w:lang w:val="en-US"/>
        </w:rPr>
        <w:t xml:space="preserve">, 95% CI: </w:t>
      </w:r>
      <w:r w:rsidR="002F7666"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43</w:t>
      </w:r>
      <w:r w:rsidR="002F7666" w:rsidRPr="009F4529">
        <w:rPr>
          <w:rFonts w:ascii="Times New Roman" w:hAnsi="Times New Roman" w:cs="Times New Roman"/>
          <w:sz w:val="24"/>
          <w:szCs w:val="24"/>
          <w:lang w:val="en-US"/>
        </w:rPr>
        <w:t xml:space="preserve"> – 0.</w:t>
      </w:r>
      <w:r w:rsidR="002F7666">
        <w:rPr>
          <w:rFonts w:ascii="Times New Roman" w:hAnsi="Times New Roman" w:cs="Times New Roman"/>
          <w:sz w:val="24"/>
          <w:szCs w:val="24"/>
          <w:lang w:val="en-US"/>
        </w:rPr>
        <w:t>24</w:t>
      </w:r>
      <w:r w:rsidR="00A00A63">
        <w:rPr>
          <w:rFonts w:ascii="Times New Roman" w:hAnsi="Times New Roman" w:cs="Times New Roman"/>
          <w:sz w:val="24"/>
          <w:szCs w:val="24"/>
          <w:lang w:val="en-US"/>
        </w:rPr>
        <w:t>7</w:t>
      </w:r>
      <w:r w:rsidR="002F7666" w:rsidRPr="0034474D">
        <w:rPr>
          <w:rFonts w:ascii="Times New Roman" w:hAnsi="Times New Roman" w:cs="Times New Roman"/>
          <w:sz w:val="24"/>
          <w:szCs w:val="24"/>
          <w:lang w:val="en-US"/>
        </w:rPr>
        <w:t>)</w:t>
      </w:r>
    </w:p>
    <w:p w14:paraId="2ABE607A" w14:textId="1E4D2D87" w:rsidR="00765F5B"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SO</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2-</w:t>
      </w:r>
      <w:r w:rsidRPr="0034474D">
        <w:rPr>
          <w:rFonts w:ascii="Times New Roman" w:hAnsi="Times New Roman" w:cs="Times New Roman"/>
          <w:sz w:val="24"/>
          <w:szCs w:val="24"/>
          <w:lang w:val="en-US"/>
        </w:rPr>
        <w:t xml:space="preserve"> (</w:t>
      </w:r>
      <w:r w:rsidR="002F7666" w:rsidRPr="00A25B52">
        <w:rPr>
          <w:rFonts w:ascii="Times New Roman" w:eastAsiaTheme="minorEastAsia" w:hAnsi="Times New Roman" w:cs="Times New Roman"/>
          <w:i/>
          <w:sz w:val="24"/>
          <w:szCs w:val="24"/>
          <w:lang w:val="en-US"/>
        </w:rPr>
        <w:t>β</w:t>
      </w:r>
      <w:r w:rsidR="002F7666">
        <w:rPr>
          <w:rFonts w:ascii="Times New Roman" w:eastAsiaTheme="minorEastAsia" w:hAnsi="Times New Roman" w:cs="Times New Roman"/>
          <w:sz w:val="24"/>
          <w:szCs w:val="24"/>
          <w:lang w:val="en-US"/>
        </w:rPr>
        <w:t xml:space="preserve"> = </w:t>
      </w:r>
      <w:r w:rsidR="002F7666" w:rsidRPr="009F4529">
        <w:rPr>
          <w:rFonts w:ascii="Times New Roman" w:hAnsi="Times New Roman" w:cs="Times New Roman"/>
          <w:sz w:val="24"/>
          <w:szCs w:val="24"/>
          <w:lang w:val="en-US"/>
        </w:rPr>
        <w:t>0.</w:t>
      </w:r>
      <w:r w:rsidR="002F7666">
        <w:rPr>
          <w:rFonts w:ascii="Times New Roman" w:hAnsi="Times New Roman" w:cs="Times New Roman"/>
          <w:sz w:val="24"/>
          <w:szCs w:val="24"/>
          <w:lang w:val="en-US"/>
        </w:rPr>
        <w:t xml:space="preserve">170 </w:t>
      </w:r>
      <w:r w:rsidR="002F7666" w:rsidRPr="0034474D">
        <w:rPr>
          <w:rFonts w:ascii="Times New Roman" w:hAnsi="Times New Roman" w:cs="Times New Roman"/>
          <w:sz w:val="24"/>
          <w:szCs w:val="24"/>
          <w:lang w:val="en-US"/>
        </w:rPr>
        <w:t>µg/m</w:t>
      </w:r>
      <w:r w:rsidR="002F7666" w:rsidRPr="0034474D">
        <w:rPr>
          <w:rFonts w:ascii="Times New Roman" w:hAnsi="Times New Roman" w:cs="Times New Roman"/>
          <w:sz w:val="24"/>
          <w:szCs w:val="24"/>
          <w:vertAlign w:val="superscript"/>
          <w:lang w:val="en-US"/>
        </w:rPr>
        <w:t>3</w:t>
      </w:r>
      <w:r w:rsidR="002F7666">
        <w:rPr>
          <w:rFonts w:ascii="Times New Roman" w:hAnsi="Times New Roman" w:cs="Times New Roman"/>
          <w:sz w:val="24"/>
          <w:szCs w:val="24"/>
          <w:lang w:val="en-US"/>
        </w:rPr>
        <w:t xml:space="preserve">, 95% CI: </w:t>
      </w:r>
      <w:r w:rsidR="002F7666" w:rsidRPr="009F4529">
        <w:rPr>
          <w:rFonts w:ascii="Times New Roman" w:hAnsi="Times New Roman" w:cs="Times New Roman"/>
          <w:sz w:val="24"/>
          <w:szCs w:val="24"/>
          <w:lang w:val="en-US"/>
        </w:rPr>
        <w:t>0.0</w:t>
      </w:r>
      <w:r w:rsidR="002F7666">
        <w:rPr>
          <w:rFonts w:ascii="Times New Roman" w:hAnsi="Times New Roman" w:cs="Times New Roman"/>
          <w:sz w:val="24"/>
          <w:szCs w:val="24"/>
          <w:lang w:val="en-US"/>
        </w:rPr>
        <w:t>8</w:t>
      </w:r>
      <w:r w:rsidR="00A00A63">
        <w:rPr>
          <w:rFonts w:ascii="Times New Roman" w:hAnsi="Times New Roman" w:cs="Times New Roman"/>
          <w:sz w:val="24"/>
          <w:szCs w:val="24"/>
          <w:lang w:val="en-US"/>
        </w:rPr>
        <w:t>1</w:t>
      </w:r>
      <w:r w:rsidR="002F7666" w:rsidRPr="009F4529">
        <w:rPr>
          <w:rFonts w:ascii="Times New Roman" w:hAnsi="Times New Roman" w:cs="Times New Roman"/>
          <w:sz w:val="24"/>
          <w:szCs w:val="24"/>
          <w:lang w:val="en-US"/>
        </w:rPr>
        <w:t xml:space="preserve"> – 0.</w:t>
      </w:r>
      <w:r w:rsidR="002F7666">
        <w:rPr>
          <w:rFonts w:ascii="Times New Roman" w:hAnsi="Times New Roman" w:cs="Times New Roman"/>
          <w:sz w:val="24"/>
          <w:szCs w:val="24"/>
          <w:lang w:val="en-US"/>
        </w:rPr>
        <w:t>25</w:t>
      </w:r>
      <w:r w:rsidR="00A00A63">
        <w:rPr>
          <w:rFonts w:ascii="Times New Roman" w:hAnsi="Times New Roman" w:cs="Times New Roman"/>
          <w:sz w:val="24"/>
          <w:szCs w:val="24"/>
          <w:lang w:val="en-US"/>
        </w:rPr>
        <w:t>8</w:t>
      </w:r>
      <w:r w:rsidRPr="0034474D">
        <w:rPr>
          <w:rFonts w:ascii="Times New Roman" w:hAnsi="Times New Roman" w:cs="Times New Roman"/>
          <w:sz w:val="24"/>
          <w:szCs w:val="24"/>
          <w:lang w:val="en-US"/>
        </w:rPr>
        <w:t>)</w:t>
      </w:r>
    </w:p>
    <w:p w14:paraId="5BC6EBBD" w14:textId="0C8FEE7E" w:rsidR="00481868" w:rsidRDefault="009F4529"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and negatively associated with </w:t>
      </w:r>
    </w:p>
    <w:p w14:paraId="08BD18AA" w14:textId="0DE29EF1" w:rsid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w:t>
      </w:r>
      <w:r w:rsidR="00741DDC">
        <w:rPr>
          <w:rFonts w:ascii="Times New Roman" w:hAnsi="Times New Roman" w:cs="Times New Roman"/>
          <w:sz w:val="24"/>
          <w:szCs w:val="24"/>
          <w:lang w:val="en-US"/>
        </w:rPr>
        <w:t xml:space="preserve"> </w:t>
      </w:r>
      <w:r w:rsidR="00741DDC" w:rsidRPr="0034474D">
        <w:rPr>
          <w:rFonts w:ascii="Times New Roman" w:hAnsi="Times New Roman" w:cs="Times New Roman"/>
          <w:sz w:val="24"/>
          <w:szCs w:val="24"/>
          <w:lang w:val="en-US"/>
        </w:rPr>
        <w:t>(</w:t>
      </w:r>
      <w:r w:rsidR="00741DDC" w:rsidRPr="00A25B52">
        <w:rPr>
          <w:rFonts w:ascii="Times New Roman" w:eastAsiaTheme="minorEastAsia" w:hAnsi="Times New Roman" w:cs="Times New Roman"/>
          <w:i/>
          <w:sz w:val="24"/>
          <w:szCs w:val="24"/>
          <w:lang w:val="en-US"/>
        </w:rPr>
        <w:t>β</w:t>
      </w:r>
      <w:r w:rsidR="00741DDC">
        <w:rPr>
          <w:rFonts w:ascii="Times New Roman" w:eastAsiaTheme="minorEastAsia" w:hAnsi="Times New Roman" w:cs="Times New Roman"/>
          <w:sz w:val="24"/>
          <w:szCs w:val="24"/>
          <w:lang w:val="en-US"/>
        </w:rPr>
        <w:t xml:space="preserve"> = </w:t>
      </w:r>
      <w:r w:rsidR="00741DDC" w:rsidRPr="00741DDC">
        <w:rPr>
          <w:rFonts w:ascii="Times New Roman" w:hAnsi="Times New Roman" w:cs="Times New Roman"/>
          <w:sz w:val="24"/>
          <w:szCs w:val="24"/>
          <w:lang w:val="en-US"/>
        </w:rPr>
        <w:t>-0.005</w:t>
      </w:r>
      <w:r w:rsidR="00A00A63">
        <w:rPr>
          <w:rFonts w:ascii="Times New Roman" w:hAnsi="Times New Roman" w:cs="Times New Roman"/>
          <w:sz w:val="24"/>
          <w:szCs w:val="24"/>
          <w:lang w:val="en-US"/>
        </w:rPr>
        <w:t>42</w:t>
      </w:r>
      <w:r w:rsidR="00741DDC">
        <w:rPr>
          <w:rFonts w:ascii="Times New Roman" w:hAnsi="Times New Roman" w:cs="Times New Roman"/>
          <w:sz w:val="24"/>
          <w:szCs w:val="24"/>
          <w:lang w:val="en-US"/>
        </w:rPr>
        <w:t xml:space="preserve"> </w:t>
      </w:r>
      <w:r w:rsidR="00741DDC" w:rsidRPr="0034474D">
        <w:rPr>
          <w:rFonts w:ascii="Times New Roman" w:hAnsi="Times New Roman" w:cs="Times New Roman"/>
          <w:sz w:val="24"/>
          <w:szCs w:val="24"/>
          <w:lang w:val="en-US"/>
        </w:rPr>
        <w:t>µg/m</w:t>
      </w:r>
      <w:r w:rsidR="00741DDC" w:rsidRPr="0034474D">
        <w:rPr>
          <w:rFonts w:ascii="Times New Roman" w:hAnsi="Times New Roman" w:cs="Times New Roman"/>
          <w:sz w:val="24"/>
          <w:szCs w:val="24"/>
          <w:vertAlign w:val="superscript"/>
          <w:lang w:val="en-US"/>
        </w:rPr>
        <w:t>3</w:t>
      </w:r>
      <w:r w:rsidR="00741DDC">
        <w:rPr>
          <w:rFonts w:ascii="Times New Roman" w:hAnsi="Times New Roman" w:cs="Times New Roman"/>
          <w:sz w:val="24"/>
          <w:szCs w:val="24"/>
          <w:lang w:val="en-US"/>
        </w:rPr>
        <w:t>, 95% CI: -</w:t>
      </w:r>
      <w:r w:rsidR="00741DDC" w:rsidRPr="00741DDC">
        <w:rPr>
          <w:rFonts w:ascii="Times New Roman" w:hAnsi="Times New Roman" w:cs="Times New Roman"/>
          <w:sz w:val="24"/>
          <w:szCs w:val="24"/>
          <w:lang w:val="en-US"/>
        </w:rPr>
        <w:t>0.009</w:t>
      </w:r>
      <w:r w:rsidR="00A00A63">
        <w:rPr>
          <w:rFonts w:ascii="Times New Roman" w:hAnsi="Times New Roman" w:cs="Times New Roman"/>
          <w:sz w:val="24"/>
          <w:szCs w:val="24"/>
          <w:lang w:val="en-US"/>
        </w:rPr>
        <w:t>23</w:t>
      </w:r>
      <w:r w:rsidR="00741DDC" w:rsidRPr="00741DDC">
        <w:rPr>
          <w:rFonts w:ascii="Times New Roman" w:hAnsi="Times New Roman" w:cs="Times New Roman"/>
          <w:sz w:val="24"/>
          <w:szCs w:val="24"/>
          <w:lang w:val="en-US"/>
        </w:rPr>
        <w:t xml:space="preserve"> – -0.00</w:t>
      </w:r>
      <w:r w:rsidR="00A00A63">
        <w:rPr>
          <w:rFonts w:ascii="Times New Roman" w:hAnsi="Times New Roman" w:cs="Times New Roman"/>
          <w:sz w:val="24"/>
          <w:szCs w:val="24"/>
          <w:lang w:val="en-US"/>
        </w:rPr>
        <w:t>161</w:t>
      </w:r>
      <w:r w:rsidR="00741DDC">
        <w:rPr>
          <w:rFonts w:ascii="Times New Roman" w:hAnsi="Times New Roman" w:cs="Times New Roman"/>
          <w:sz w:val="24"/>
          <w:szCs w:val="24"/>
          <w:lang w:val="en-US"/>
        </w:rPr>
        <w:t>)</w:t>
      </w:r>
    </w:p>
    <w:p w14:paraId="24CDAC9D" w14:textId="66F9B529" w:rsid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Ca</w:t>
      </w:r>
      <w:r w:rsidR="00914745">
        <w:rPr>
          <w:rFonts w:ascii="Times New Roman" w:hAnsi="Times New Roman" w:cs="Times New Roman"/>
          <w:sz w:val="24"/>
          <w:szCs w:val="24"/>
          <w:lang w:val="en-US"/>
        </w:rPr>
        <w:t xml:space="preserve"> </w:t>
      </w:r>
      <w:r w:rsidR="00914745" w:rsidRPr="0034474D">
        <w:rPr>
          <w:rFonts w:ascii="Times New Roman" w:hAnsi="Times New Roman" w:cs="Times New Roman"/>
          <w:sz w:val="24"/>
          <w:szCs w:val="24"/>
          <w:lang w:val="en-US"/>
        </w:rPr>
        <w:t>(</w:t>
      </w:r>
      <w:r w:rsidR="00914745" w:rsidRPr="00A25B52">
        <w:rPr>
          <w:rFonts w:ascii="Times New Roman" w:eastAsiaTheme="minorEastAsia" w:hAnsi="Times New Roman" w:cs="Times New Roman"/>
          <w:i/>
          <w:sz w:val="24"/>
          <w:szCs w:val="24"/>
          <w:lang w:val="en-US"/>
        </w:rPr>
        <w:t>β</w:t>
      </w:r>
      <w:r w:rsidR="00914745">
        <w:rPr>
          <w:rFonts w:ascii="Times New Roman" w:eastAsiaTheme="minorEastAsia" w:hAnsi="Times New Roman" w:cs="Times New Roman"/>
          <w:sz w:val="24"/>
          <w:szCs w:val="24"/>
          <w:lang w:val="en-US"/>
        </w:rPr>
        <w:t xml:space="preserve"> = </w:t>
      </w:r>
      <w:r w:rsidR="00914745" w:rsidRPr="00914745">
        <w:rPr>
          <w:rFonts w:ascii="Times New Roman" w:hAnsi="Times New Roman" w:cs="Times New Roman"/>
          <w:sz w:val="24"/>
          <w:szCs w:val="24"/>
          <w:lang w:val="en-US"/>
        </w:rPr>
        <w:t>-0.015</w:t>
      </w:r>
      <w:r w:rsidR="00A00A63">
        <w:rPr>
          <w:rFonts w:ascii="Times New Roman" w:hAnsi="Times New Roman" w:cs="Times New Roman"/>
          <w:sz w:val="24"/>
          <w:szCs w:val="24"/>
          <w:lang w:val="en-US"/>
        </w:rPr>
        <w:t>5</w:t>
      </w:r>
      <w:r w:rsidR="00914745">
        <w:rPr>
          <w:rFonts w:ascii="Times New Roman" w:hAnsi="Times New Roman" w:cs="Times New Roman"/>
          <w:sz w:val="24"/>
          <w:szCs w:val="24"/>
          <w:lang w:val="en-US"/>
        </w:rPr>
        <w:t xml:space="preserve"> </w:t>
      </w:r>
      <w:r w:rsidR="00914745" w:rsidRPr="0034474D">
        <w:rPr>
          <w:rFonts w:ascii="Times New Roman" w:hAnsi="Times New Roman" w:cs="Times New Roman"/>
          <w:sz w:val="24"/>
          <w:szCs w:val="24"/>
          <w:lang w:val="en-US"/>
        </w:rPr>
        <w:t>µg/m</w:t>
      </w:r>
      <w:r w:rsidR="00914745" w:rsidRPr="0034474D">
        <w:rPr>
          <w:rFonts w:ascii="Times New Roman" w:hAnsi="Times New Roman" w:cs="Times New Roman"/>
          <w:sz w:val="24"/>
          <w:szCs w:val="24"/>
          <w:vertAlign w:val="superscript"/>
          <w:lang w:val="en-US"/>
        </w:rPr>
        <w:t>3</w:t>
      </w:r>
      <w:r w:rsidR="00914745">
        <w:rPr>
          <w:rFonts w:ascii="Times New Roman" w:hAnsi="Times New Roman" w:cs="Times New Roman"/>
          <w:sz w:val="24"/>
          <w:szCs w:val="24"/>
          <w:lang w:val="en-US"/>
        </w:rPr>
        <w:t xml:space="preserve">, 95% CI: </w:t>
      </w:r>
      <w:r w:rsidR="00914745" w:rsidRPr="00914745">
        <w:rPr>
          <w:rFonts w:ascii="Times New Roman" w:hAnsi="Times New Roman" w:cs="Times New Roman"/>
          <w:sz w:val="24"/>
          <w:szCs w:val="24"/>
          <w:lang w:val="en-US"/>
        </w:rPr>
        <w:t>-0.02</w:t>
      </w:r>
      <w:r w:rsidR="00A00A63">
        <w:rPr>
          <w:rFonts w:ascii="Times New Roman" w:hAnsi="Times New Roman" w:cs="Times New Roman"/>
          <w:sz w:val="24"/>
          <w:szCs w:val="24"/>
          <w:lang w:val="en-US"/>
        </w:rPr>
        <w:t>47</w:t>
      </w:r>
      <w:r w:rsidR="00914745" w:rsidRPr="00914745">
        <w:rPr>
          <w:rFonts w:ascii="Times New Roman" w:hAnsi="Times New Roman" w:cs="Times New Roman"/>
          <w:sz w:val="24"/>
          <w:szCs w:val="24"/>
          <w:lang w:val="en-US"/>
        </w:rPr>
        <w:t xml:space="preserve"> – -0.006</w:t>
      </w:r>
      <w:r w:rsidR="00A00A63">
        <w:rPr>
          <w:rFonts w:ascii="Times New Roman" w:hAnsi="Times New Roman" w:cs="Times New Roman"/>
          <w:sz w:val="24"/>
          <w:szCs w:val="24"/>
          <w:lang w:val="en-US"/>
        </w:rPr>
        <w:t>2</w:t>
      </w:r>
      <w:r w:rsidR="00914745">
        <w:rPr>
          <w:rFonts w:ascii="Times New Roman" w:hAnsi="Times New Roman" w:cs="Times New Roman"/>
          <w:sz w:val="24"/>
          <w:szCs w:val="24"/>
          <w:lang w:val="en-US"/>
        </w:rPr>
        <w:t>)</w:t>
      </w:r>
    </w:p>
    <w:p w14:paraId="1BDBC273" w14:textId="23F9305E" w:rsidR="009F4529" w:rsidRP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 </w:t>
      </w:r>
      <w:r>
        <w:rPr>
          <w:rFonts w:ascii="Times New Roman" w:eastAsiaTheme="minorEastAsia" w:hAnsi="Times New Roman" w:cs="Times New Roman"/>
          <w:sz w:val="24"/>
          <w:szCs w:val="24"/>
          <w:lang w:val="en-US"/>
        </w:rPr>
        <w:t>(</w:t>
      </w:r>
      <w:r w:rsidRPr="00A25B52">
        <w:rPr>
          <w:rFonts w:ascii="Times New Roman" w:eastAsiaTheme="minorEastAsia" w:hAnsi="Times New Roman" w:cs="Times New Roman"/>
          <w:i/>
          <w:sz w:val="24"/>
          <w:szCs w:val="24"/>
          <w:lang w:val="en-US"/>
        </w:rPr>
        <w:t>β</w:t>
      </w:r>
      <w:r>
        <w:rPr>
          <w:rFonts w:ascii="Times New Roman" w:eastAsiaTheme="minorEastAsia" w:hAnsi="Times New Roman" w:cs="Times New Roman"/>
          <w:sz w:val="24"/>
          <w:szCs w:val="24"/>
          <w:lang w:val="en-US"/>
        </w:rPr>
        <w:t xml:space="preserve"> = </w:t>
      </w:r>
      <w:r w:rsidRPr="009F4529">
        <w:rPr>
          <w:rFonts w:ascii="Times New Roman" w:eastAsiaTheme="minorEastAsia" w:hAnsi="Times New Roman" w:cs="Times New Roman"/>
          <w:sz w:val="24"/>
          <w:szCs w:val="24"/>
          <w:lang w:val="en-US"/>
        </w:rPr>
        <w:t>-0.01</w:t>
      </w:r>
      <w:r w:rsidR="00E77E51">
        <w:rPr>
          <w:rFonts w:ascii="Times New Roman" w:eastAsiaTheme="minorEastAsia" w:hAnsi="Times New Roman" w:cs="Times New Roman"/>
          <w:sz w:val="24"/>
          <w:szCs w:val="24"/>
          <w:lang w:val="en-US"/>
        </w:rPr>
        <w:t>49</w:t>
      </w:r>
      <w:r>
        <w:rPr>
          <w:rFonts w:ascii="Times New Roman" w:eastAsiaTheme="minorEastAsia" w:hAnsi="Times New Roman" w:cs="Times New Roman"/>
          <w:sz w:val="24"/>
          <w:szCs w:val="24"/>
          <w:lang w:val="en-US"/>
        </w:rPr>
        <w:t xml:space="preserve">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Pr>
          <w:rFonts w:ascii="Times New Roman" w:eastAsiaTheme="minorEastAsia" w:hAnsi="Times New Roman" w:cs="Times New Roman"/>
          <w:sz w:val="24"/>
          <w:szCs w:val="24"/>
          <w:lang w:val="en-US"/>
        </w:rPr>
        <w:t xml:space="preserve">, </w:t>
      </w:r>
      <w:r w:rsidRPr="00765F5B">
        <w:rPr>
          <w:rFonts w:ascii="Times New Roman" w:eastAsiaTheme="minorEastAsia" w:hAnsi="Times New Roman" w:cs="Times New Roman"/>
          <w:sz w:val="24"/>
          <w:szCs w:val="24"/>
          <w:lang w:val="en-US"/>
        </w:rPr>
        <w:t>95% CI:</w:t>
      </w:r>
      <w:r>
        <w:rPr>
          <w:rFonts w:ascii="Times New Roman" w:eastAsiaTheme="minorEastAsia" w:hAnsi="Times New Roman" w:cs="Times New Roman"/>
          <w:sz w:val="24"/>
          <w:szCs w:val="24"/>
          <w:lang w:val="en-US"/>
        </w:rPr>
        <w:t xml:space="preserve"> </w:t>
      </w:r>
      <w:r w:rsidRPr="009F4529">
        <w:rPr>
          <w:rFonts w:ascii="Times New Roman" w:eastAsiaTheme="minorEastAsia" w:hAnsi="Times New Roman" w:cs="Times New Roman"/>
          <w:sz w:val="24"/>
          <w:szCs w:val="24"/>
          <w:lang w:val="en-US"/>
        </w:rPr>
        <w:t>-0.02</w:t>
      </w:r>
      <w:r w:rsidR="00E77E51">
        <w:rPr>
          <w:rFonts w:ascii="Times New Roman" w:eastAsiaTheme="minorEastAsia" w:hAnsi="Times New Roman" w:cs="Times New Roman"/>
          <w:sz w:val="24"/>
          <w:szCs w:val="24"/>
          <w:lang w:val="en-US"/>
        </w:rPr>
        <w:t>45</w:t>
      </w:r>
      <w:r>
        <w:rPr>
          <w:rFonts w:ascii="Times New Roman" w:eastAsiaTheme="minorEastAsia" w:hAnsi="Times New Roman" w:cs="Times New Roman"/>
          <w:sz w:val="24"/>
          <w:szCs w:val="24"/>
          <w:lang w:val="en-US"/>
        </w:rPr>
        <w:t>,</w:t>
      </w:r>
      <w:r w:rsidRPr="00A25B52">
        <w:rPr>
          <w:rFonts w:ascii="Times New Roman" w:eastAsiaTheme="minorEastAsia" w:hAnsi="Times New Roman" w:cs="Times New Roman"/>
          <w:sz w:val="24"/>
          <w:szCs w:val="24"/>
          <w:lang w:val="en-US"/>
        </w:rPr>
        <w:t xml:space="preserve"> </w:t>
      </w:r>
      <w:r w:rsidRPr="009F4529">
        <w:rPr>
          <w:rFonts w:ascii="Times New Roman" w:eastAsiaTheme="minorEastAsia" w:hAnsi="Times New Roman" w:cs="Times New Roman"/>
          <w:sz w:val="24"/>
          <w:szCs w:val="24"/>
          <w:lang w:val="en-US"/>
        </w:rPr>
        <w:t>-0.00</w:t>
      </w:r>
      <w:r w:rsidR="00E77E51">
        <w:rPr>
          <w:rFonts w:ascii="Times New Roman" w:eastAsiaTheme="minorEastAsia" w:hAnsi="Times New Roman" w:cs="Times New Roman"/>
          <w:sz w:val="24"/>
          <w:szCs w:val="24"/>
          <w:lang w:val="en-US"/>
        </w:rPr>
        <w:t>53</w:t>
      </w:r>
      <w:r>
        <w:rPr>
          <w:rFonts w:ascii="Times New Roman" w:eastAsiaTheme="minorEastAsia" w:hAnsi="Times New Roman" w:cs="Times New Roman"/>
          <w:sz w:val="24"/>
          <w:szCs w:val="24"/>
          <w:lang w:val="en-US"/>
        </w:rPr>
        <w:t>)</w:t>
      </w:r>
    </w:p>
    <w:p w14:paraId="2AD67F13" w14:textId="6EB29303" w:rsidR="00BD2827" w:rsidRDefault="00914745" w:rsidP="00BD28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controlling for the same set of factors.</w:t>
      </w:r>
      <w:r w:rsidR="00BD2827">
        <w:rPr>
          <w:rFonts w:ascii="Times New Roman" w:hAnsi="Times New Roman" w:cs="Times New Roman"/>
          <w:sz w:val="24"/>
          <w:szCs w:val="24"/>
          <w:lang w:val="en-US"/>
        </w:rPr>
        <w:t xml:space="preserve">  The associations between Br, Cu, Fe, Pb, and Zn and RI quintile observed in the analysis of variance did not remain after controlling for sociodemographic factors, nor did we observe associations between Cd, Cl, Hg, Na, </w:t>
      </w:r>
      <w:proofErr w:type="spellStart"/>
      <w:r w:rsidR="00BD2827">
        <w:rPr>
          <w:rFonts w:ascii="Times New Roman" w:hAnsi="Times New Roman" w:cs="Times New Roman"/>
          <w:sz w:val="24"/>
          <w:szCs w:val="24"/>
          <w:lang w:val="en-US"/>
        </w:rPr>
        <w:t>Ti</w:t>
      </w:r>
      <w:proofErr w:type="spellEnd"/>
      <w:r w:rsidR="00BD2827">
        <w:rPr>
          <w:rFonts w:ascii="Times New Roman" w:hAnsi="Times New Roman" w:cs="Times New Roman"/>
          <w:sz w:val="24"/>
          <w:szCs w:val="24"/>
          <w:lang w:val="en-US"/>
        </w:rPr>
        <w:t>, Na</w:t>
      </w:r>
      <w:r w:rsidR="00BD2827" w:rsidRPr="00BD2827">
        <w:rPr>
          <w:rFonts w:ascii="Times New Roman" w:hAnsi="Times New Roman" w:cs="Times New Roman"/>
          <w:sz w:val="24"/>
          <w:szCs w:val="24"/>
          <w:vertAlign w:val="superscript"/>
          <w:lang w:val="en-US"/>
        </w:rPr>
        <w:t>+</w:t>
      </w:r>
      <w:r w:rsidR="00A1210B">
        <w:rPr>
          <w:rFonts w:ascii="Times New Roman" w:hAnsi="Times New Roman" w:cs="Times New Roman"/>
          <w:sz w:val="24"/>
          <w:szCs w:val="24"/>
          <w:lang w:val="en-US"/>
        </w:rPr>
        <w:t xml:space="preserve">, or EC </w:t>
      </w:r>
      <w:r w:rsidR="00BD2827">
        <w:rPr>
          <w:rFonts w:ascii="Times New Roman" w:hAnsi="Times New Roman" w:cs="Times New Roman"/>
          <w:sz w:val="24"/>
          <w:szCs w:val="24"/>
          <w:lang w:val="en-US"/>
        </w:rPr>
        <w:t>in multivariable analyses.</w:t>
      </w:r>
    </w:p>
    <w:p w14:paraId="27AFFBCC" w14:textId="77777777" w:rsidR="00BD2827" w:rsidRDefault="00BD2827" w:rsidP="008F4A75">
      <w:pPr>
        <w:spacing w:line="480" w:lineRule="auto"/>
        <w:rPr>
          <w:rFonts w:ascii="Times New Roman" w:hAnsi="Times New Roman" w:cs="Times New Roman"/>
          <w:sz w:val="24"/>
          <w:szCs w:val="24"/>
          <w:lang w:val="en-US"/>
        </w:rPr>
      </w:pPr>
    </w:p>
    <w:p w14:paraId="5C2B055E" w14:textId="7979CB8D" w:rsidR="001D74AF" w:rsidRDefault="001D74AF" w:rsidP="00777669">
      <w:pPr>
        <w:spacing w:line="480" w:lineRule="auto"/>
        <w:rPr>
          <w:rFonts w:ascii="Times New Roman" w:hAnsi="Times New Roman" w:cs="Times New Roman"/>
          <w:sz w:val="24"/>
          <w:szCs w:val="24"/>
          <w:lang w:val="en-US"/>
        </w:rPr>
      </w:pPr>
    </w:p>
    <w:p w14:paraId="5082C959" w14:textId="44732F2D" w:rsidR="001D74AF" w:rsidRDefault="001D74A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981800" w14:textId="77777777" w:rsidR="00777669" w:rsidRPr="0077766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lastRenderedPageBreak/>
        <w:t>Discussion</w:t>
      </w:r>
    </w:p>
    <w:p w14:paraId="1FDD6915" w14:textId="0A234F19" w:rsidR="00777669" w:rsidRDefault="00777669" w:rsidP="00777669">
      <w:pPr>
        <w:spacing w:line="480" w:lineRule="auto"/>
        <w:rPr>
          <w:rFonts w:ascii="Times New Roman" w:hAnsi="Times New Roman" w:cs="Times New Roman"/>
          <w:sz w:val="24"/>
          <w:szCs w:val="24"/>
          <w:lang w:val="en-US"/>
        </w:rPr>
      </w:pPr>
      <w:r w:rsidRPr="00777669">
        <w:rPr>
          <w:rFonts w:ascii="Times New Roman" w:hAnsi="Times New Roman" w:cs="Times New Roman"/>
          <w:sz w:val="24"/>
          <w:szCs w:val="24"/>
          <w:lang w:val="en-US"/>
        </w:rPr>
        <w:t>Preliminary analyses show that levels of African American RRS, as measured by a spatial index of racial isolation, may be associated with higher levels of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as well as seven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components. These results reinforce prior findings of an association between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levels and RI </w:t>
      </w:r>
      <w:r w:rsidR="00BD2827">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{"citationID":"LEqQ7x1v","properties":{"formattedCitation":"(Bravo et al. 2016)","plainCitation":"(Bravo et al. 2016)","noteIndex":0},"citationItems":[{"id":369,"uris":["http://zotero.org/users/2002443/items/PNV83NP3"],"uri":["http://zotero.org/users/2002443/items/PNV83NP3"],"itemData":{"id":369,"type":"article-journal","title":"Racial isolation and exposure to airborne particulate matter and ozone in understudied US populations: Environmental justice applications of downscaled numerical model output","container-title":"Environment International","page":"247-255","volume":"92-93","source":"PubMed","abstract":"BACKGROUND: Researchers and policymakers are increasingly focused on combined exposures to social and environmental stressors, especially given how often these stressors tend to co-locate. Such exposures are equally relevant in urban and rural areas and may accrue disproportionately to particular communities or specific subpopulations.\nOBJECTIVES: To estimate relationships between racial isolation (RI), a measure of the extent to which minority racial/ethnic group members are exposed to only one another, and long-term particulate matter with an aerodynamic diameter of &lt;2.5μ (PM2.5) and ozone (O3) levels in urban and nonurban areas of the eastern two-thirds of the US.\nMETHODS: Long-term (5year average) census tract-level PM2.5 and O3 concentrations were calculated using output from a downscaler model (2002-2006). The downscaler uses a linear regression with additive and multiplicative bias coefficients to relate ambient monitoring data with gridded output from the Community Multi-scale Air Quality (CMAQ) model. A local, spatial measure of RI was calculated at the tract level, and tracts were classified by urbanicity, RI, and geographic region. We examined differences in estimated pollutant exposures by RI, urbanicity, and demographic subgroup (e.g., race/ethnicity, education, socioeconomic status, age), and used linear models to estimate associations between RI and air pollution levels in urban, suburban, and rural tracts.\nRESULTS: High RI tracts (≥80th percentile) had higher average PM2.5 levels in each category of urbanicity compared to low RI tracts (&lt;20th percentile), with the exception of the rural West. Patterns in O3 levels by urbanicity and RI differed by region. Linear models indicated that PM2.5 concentrations were significantly and positively associated with RI. The largest association between PM2.5 and RI was observed in the rural Midwest, where a one quintile increase in RI was associated with a 0.90μg/m(3) (95% confidence interval: 0.83, 0.99μg/m(3)) increase in PM2.5 concentration. Associations between O3 and RI in the Northeast, Midwest and West were positive and highest in suburban and rural tracts, even after controlling for potential confounders such as percentage in poverty.\nCONCLUSION: RI is associated with higher 5year estimated PM2.5 concentrations in urban, suburban, and rural census tracts, adding to evidence that segregation is broadly associated with disparate air pollution exposures. Disproportionate burdens to adverse exposures such as air pollution may be a pathway to racial/ethnic disparities in health.","DOI":"10.1016/j.envint.2016.04.008","ISSN":"1873-6750","note":"PMID: 27115915","title-short":"Racial isolation and exposure to airborne particulate matter and ozone in understudied US populations","journalAbbreviation":"Environ Int","language":"eng","author":[{"family":"Bravo","given":"Mercedes A."},{"family":"Anthopolos","given":"Rebecca"},{"family":"Bell","given":"Michelle L."},{"family":"Miranda","given":"Marie Lynn"}],"issued":{"date-parts":[["2016",8]]}}}],"schema":"https://github.com/citation-style-language/schema/raw/master/csl-citation.json"} </w:instrText>
      </w:r>
      <w:r w:rsidR="00BD2827">
        <w:rPr>
          <w:rFonts w:ascii="Times New Roman" w:hAnsi="Times New Roman" w:cs="Times New Roman"/>
          <w:sz w:val="24"/>
          <w:szCs w:val="24"/>
          <w:lang w:val="en-US"/>
        </w:rPr>
        <w:fldChar w:fldCharType="separate"/>
      </w:r>
      <w:r w:rsidR="00BD2827" w:rsidRPr="00BD2827">
        <w:rPr>
          <w:rFonts w:ascii="Times New Roman" w:hAnsi="Times New Roman" w:cs="Times New Roman"/>
          <w:sz w:val="24"/>
          <w:lang w:val="en-US"/>
        </w:rPr>
        <w:t>(Bravo et al. 2016)</w:t>
      </w:r>
      <w:r w:rsidR="00BD2827">
        <w:rPr>
          <w:rFonts w:ascii="Times New Roman" w:hAnsi="Times New Roman" w:cs="Times New Roman"/>
          <w:sz w:val="24"/>
          <w:szCs w:val="24"/>
          <w:lang w:val="en-US"/>
        </w:rPr>
        <w:fldChar w:fldCharType="end"/>
      </w:r>
      <w:r w:rsidR="00BD2827">
        <w:rPr>
          <w:rFonts w:ascii="Times New Roman" w:hAnsi="Times New Roman" w:cs="Times New Roman"/>
          <w:sz w:val="24"/>
          <w:szCs w:val="24"/>
          <w:lang w:val="en-US"/>
        </w:rPr>
        <w:t xml:space="preserve"> </w:t>
      </w:r>
      <w:r w:rsidRPr="00777669">
        <w:rPr>
          <w:rFonts w:ascii="Times New Roman" w:hAnsi="Times New Roman" w:cs="Times New Roman"/>
          <w:sz w:val="24"/>
          <w:szCs w:val="24"/>
          <w:lang w:val="en-US"/>
        </w:rPr>
        <w:t>and further show that different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compositions appear to have different associations with RI. </w:t>
      </w:r>
      <w:r w:rsidR="00BD2827">
        <w:rPr>
          <w:rFonts w:ascii="Times New Roman" w:hAnsi="Times New Roman" w:cs="Times New Roman"/>
          <w:sz w:val="24"/>
          <w:szCs w:val="24"/>
          <w:lang w:val="en-US"/>
        </w:rPr>
        <w:t xml:space="preserve"> Moreover, these results use data from ten years later than the prior study and rely solely on observed data.  </w:t>
      </w:r>
      <w:r w:rsidRPr="00777669">
        <w:rPr>
          <w:rFonts w:ascii="Times New Roman" w:hAnsi="Times New Roman" w:cs="Times New Roman"/>
          <w:sz w:val="24"/>
          <w:szCs w:val="24"/>
          <w:lang w:val="en-US"/>
        </w:rPr>
        <w:t>Higher levels of some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components in more racially isolated neighborhoods could indicate disparities in the siting of sources of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that emit higher levels of those components</w:t>
      </w:r>
      <w:r w:rsidR="00FF6EE9">
        <w:rPr>
          <w:rFonts w:ascii="Times New Roman" w:hAnsi="Times New Roman" w:cs="Times New Roman"/>
          <w:sz w:val="24"/>
          <w:szCs w:val="24"/>
          <w:lang w:val="en-US"/>
        </w:rPr>
        <w:t>.  Prior work has already shown a higher burden of sources of total PM</w:t>
      </w:r>
      <w:r w:rsidR="00FF6EE9" w:rsidRPr="00FF6EE9">
        <w:rPr>
          <w:rFonts w:ascii="Times New Roman" w:hAnsi="Times New Roman" w:cs="Times New Roman"/>
          <w:sz w:val="24"/>
          <w:szCs w:val="24"/>
          <w:vertAlign w:val="subscript"/>
          <w:lang w:val="en-US"/>
        </w:rPr>
        <w:t>2.5</w:t>
      </w:r>
      <w:r w:rsidR="00FF6EE9">
        <w:rPr>
          <w:rFonts w:ascii="Times New Roman" w:hAnsi="Times New Roman" w:cs="Times New Roman"/>
          <w:sz w:val="24"/>
          <w:szCs w:val="24"/>
          <w:lang w:val="en-US"/>
        </w:rPr>
        <w:t xml:space="preserve"> among Black or African American US residents compared to white US residents </w:t>
      </w:r>
      <w:r w:rsidR="00FF6EE9">
        <w:rPr>
          <w:rFonts w:ascii="Times New Roman" w:hAnsi="Times New Roman" w:cs="Times New Roman"/>
          <w:sz w:val="24"/>
          <w:szCs w:val="24"/>
          <w:lang w:val="en-US"/>
        </w:rPr>
        <w:fldChar w:fldCharType="begin"/>
      </w:r>
      <w:r w:rsidR="00FF6EE9">
        <w:rPr>
          <w:rFonts w:ascii="Times New Roman" w:hAnsi="Times New Roman" w:cs="Times New Roman"/>
          <w:sz w:val="24"/>
          <w:szCs w:val="24"/>
          <w:lang w:val="en-US"/>
        </w:rPr>
        <w:instrText xml:space="preserve"> ADDIN ZOTERO_ITEM CSL_CITATION {"citationID":"QD7zSq3U","properties":{"formattedCitation":"(Mikati et al. 2018)","plainCitation":"(Mikati et al. 2018)","noteIndex":0},"citationItems":[{"id":1977,"uris":["http://zotero.org/users/2002443/items/D4HTXRRF"],"uri":["http://zotero.org/users/2002443/items/D4HTXRRF"],"itemData":{"id":1977,"type":"article-journal","title":"Disparities in Distribution of Particulate Matter Emission Sources by Race and Poverty Status","container-title":"American Journal of Public Health","page":"480-485","volume":"108","issue":"4","source":"ajph.aphapublications.org (Atypon)","abstract":"Objectives. To quantify nationwide disparities in the location of particulate matter (PM)-emitting facilities by the characteristics of the surrounding residential population and to illustrate various spatial scales at which to consider such disparities.Methods. We assigned facilities emitting PM in the 2011 National Emissions Inventory to nearby block groups across the 2009 to 2013 American Community Survey population. We calculated the burden from these emissions for racial/ethnic groups and by poverty status. We quantified disparities nationally and for each state and county in the country.Results. For PM of 2.5 micrometers in diameter or less, those in poverty had 1.35 times higher burden than did the overall population, and non-Whites had 1.28 times higher burden. Blacks, specifically, had 1.54 times higher burden than did the overall population. These patterns were relatively unaffected by sensitivity analyses, and disparities held not only nationally but within most states and counties as well.Conclusions. Disparities in burden from PM-emitting facilities exist at multiple geographic scales. Disparities for Blacks are more pronounced than are disparities on the basis of poverty status. Strictly socioeconomic considerations may be insufficient to reduce PM burdens equitably across populations.","URL":"https://ajph.aphapublications.org/doi/abs/10.2105/AJPH.2017.304297","DOI":"10.2105/AJPH.2017.304297","ISSN":"0090-0036","journalAbbreviation":"Am J Public Health","author":[{"family":"Mikati","given":"Ihab"},{"family":"Benson","given":"Adam F."},{"family":"Luben","given":"Thomas J."},{"family":"Sacks","given":"Jason D."},{"family":"Richmond-Bryant","given":"Jennifer"}],"issued":{"date-parts":[["2018",2,22]]}}}],"schema":"https://github.com/citation-style-language/schema/raw/master/csl-citation.json"} </w:instrText>
      </w:r>
      <w:r w:rsidR="00FF6EE9">
        <w:rPr>
          <w:rFonts w:ascii="Times New Roman" w:hAnsi="Times New Roman" w:cs="Times New Roman"/>
          <w:sz w:val="24"/>
          <w:szCs w:val="24"/>
          <w:lang w:val="en-US"/>
        </w:rPr>
        <w:fldChar w:fldCharType="separate"/>
      </w:r>
      <w:r w:rsidR="00FF6EE9" w:rsidRPr="00FF6EE9">
        <w:rPr>
          <w:rFonts w:ascii="Times New Roman" w:hAnsi="Times New Roman" w:cs="Times New Roman"/>
          <w:sz w:val="24"/>
          <w:lang w:val="en-US"/>
        </w:rPr>
        <w:t>(Mikati et al. 2018)</w:t>
      </w:r>
      <w:r w:rsidR="00FF6EE9">
        <w:rPr>
          <w:rFonts w:ascii="Times New Roman" w:hAnsi="Times New Roman" w:cs="Times New Roman"/>
          <w:sz w:val="24"/>
          <w:szCs w:val="24"/>
          <w:lang w:val="en-US"/>
        </w:rPr>
        <w:fldChar w:fldCharType="end"/>
      </w:r>
      <w:r w:rsidR="00947401">
        <w:rPr>
          <w:rFonts w:ascii="Times New Roman" w:hAnsi="Times New Roman" w:cs="Times New Roman"/>
          <w:sz w:val="24"/>
          <w:szCs w:val="24"/>
          <w:lang w:val="en-US"/>
        </w:rPr>
        <w:t>, with a stronger effect for race than for poverty.  Another study</w:t>
      </w:r>
      <w:r w:rsidR="00F779D2">
        <w:rPr>
          <w:rFonts w:ascii="Times New Roman" w:hAnsi="Times New Roman" w:cs="Times New Roman"/>
          <w:sz w:val="24"/>
          <w:szCs w:val="24"/>
          <w:lang w:val="en-US"/>
        </w:rPr>
        <w:t xml:space="preserve"> </w:t>
      </w:r>
      <w:r w:rsidR="003E7BF0">
        <w:rPr>
          <w:rFonts w:ascii="Times New Roman" w:hAnsi="Times New Roman" w:cs="Times New Roman"/>
          <w:sz w:val="24"/>
          <w:szCs w:val="24"/>
          <w:lang w:val="en-US"/>
        </w:rPr>
        <w:t>used modeling data to find that</w:t>
      </w:r>
      <w:r w:rsidR="00F779D2">
        <w:rPr>
          <w:rFonts w:ascii="Times New Roman" w:hAnsi="Times New Roman" w:cs="Times New Roman"/>
          <w:sz w:val="24"/>
          <w:szCs w:val="24"/>
          <w:lang w:val="en-US"/>
        </w:rPr>
        <w:t xml:space="preserve"> </w:t>
      </w:r>
      <w:r w:rsidR="000B7885">
        <w:rPr>
          <w:rFonts w:ascii="Times New Roman" w:hAnsi="Times New Roman" w:cs="Times New Roman"/>
          <w:sz w:val="24"/>
          <w:szCs w:val="24"/>
          <w:lang w:val="en-US"/>
        </w:rPr>
        <w:t>white residents in the United States produce more PM</w:t>
      </w:r>
      <w:r w:rsidR="000B7885" w:rsidRPr="000B7885">
        <w:rPr>
          <w:rFonts w:ascii="Times New Roman" w:hAnsi="Times New Roman" w:cs="Times New Roman"/>
          <w:sz w:val="24"/>
          <w:szCs w:val="24"/>
          <w:vertAlign w:val="subscript"/>
          <w:lang w:val="en-US"/>
        </w:rPr>
        <w:t>2.5</w:t>
      </w:r>
      <w:r w:rsidR="000B7885">
        <w:rPr>
          <w:rFonts w:ascii="Times New Roman" w:hAnsi="Times New Roman" w:cs="Times New Roman"/>
          <w:sz w:val="24"/>
          <w:szCs w:val="24"/>
          <w:lang w:val="en-US"/>
        </w:rPr>
        <w:t xml:space="preserve"> on average via their consumption habits than they breathe and that A</w:t>
      </w:r>
      <w:r w:rsidR="00F779D2">
        <w:rPr>
          <w:rFonts w:ascii="Times New Roman" w:hAnsi="Times New Roman" w:cs="Times New Roman"/>
          <w:sz w:val="24"/>
          <w:szCs w:val="24"/>
          <w:lang w:val="en-US"/>
        </w:rPr>
        <w:t xml:space="preserve">frican American and </w:t>
      </w:r>
      <w:r w:rsidR="000B7885">
        <w:rPr>
          <w:rFonts w:ascii="Times New Roman" w:hAnsi="Times New Roman" w:cs="Times New Roman"/>
          <w:sz w:val="24"/>
          <w:szCs w:val="24"/>
          <w:lang w:val="en-US"/>
        </w:rPr>
        <w:t>Hispanic/Latino residents breathe more PM</w:t>
      </w:r>
      <w:r w:rsidR="000B7885" w:rsidRPr="000B7885">
        <w:rPr>
          <w:rFonts w:ascii="Times New Roman" w:hAnsi="Times New Roman" w:cs="Times New Roman"/>
          <w:sz w:val="24"/>
          <w:szCs w:val="24"/>
          <w:vertAlign w:val="subscript"/>
          <w:lang w:val="en-US"/>
        </w:rPr>
        <w:t>2.5</w:t>
      </w:r>
      <w:r w:rsidR="003E7BF0">
        <w:rPr>
          <w:rFonts w:ascii="Times New Roman" w:hAnsi="Times New Roman" w:cs="Times New Roman"/>
          <w:sz w:val="24"/>
          <w:szCs w:val="24"/>
          <w:lang w:val="en-US"/>
        </w:rPr>
        <w:t xml:space="preserve"> </w:t>
      </w:r>
      <w:r w:rsidR="000B7885">
        <w:rPr>
          <w:rFonts w:ascii="Times New Roman" w:hAnsi="Times New Roman" w:cs="Times New Roman"/>
          <w:sz w:val="24"/>
          <w:szCs w:val="24"/>
          <w:lang w:val="en-US"/>
        </w:rPr>
        <w:t xml:space="preserve">on average than their consumption activities generate </w:t>
      </w:r>
      <w:commentRangeStart w:id="22"/>
      <w:r w:rsidR="003E7BF0">
        <w:rPr>
          <w:rFonts w:ascii="Times New Roman" w:hAnsi="Times New Roman" w:cs="Times New Roman"/>
          <w:sz w:val="24"/>
          <w:szCs w:val="24"/>
          <w:lang w:val="en-US"/>
        </w:rPr>
        <w:fldChar w:fldCharType="begin"/>
      </w:r>
      <w:r w:rsidR="003E7BF0">
        <w:rPr>
          <w:rFonts w:ascii="Times New Roman" w:hAnsi="Times New Roman" w:cs="Times New Roman"/>
          <w:sz w:val="24"/>
          <w:szCs w:val="24"/>
          <w:lang w:val="en-US"/>
        </w:rPr>
        <w:instrText xml:space="preserve"> ADDIN ZOTERO_ITEM CSL_CITATION {"citationID":"xF23MesX","properties":{"formattedCitation":"(Tessum et al. 2019)","plainCitation":"(Tessum et al. 2019)","noteIndex":0},"citationItems":[{"id":3622,"uris":["http://zotero.org/users/2002443/items/UWAN6U28"],"uri":["http://zotero.org/users/2002443/items/UWAN6U28"],"itemData":{"id":3622,"type":"article-journal","title":"Inequity in consumption of goods and services adds to racial–ethnic disparities in air pollution exposure","container-title":"Proceedings of the National Academy of Sciences","page":"6001-6006","volume":"116","issue":"13","source":"www.pnas.org","abstract":"Fine particulate matter (PM2.5) air pollution exposure is the largest environmental health risk factor in the United States. Here, we link PM2.5 exposure to the human activities responsible for PM2.5 pollution. We use these results to explore “pollution inequity”: the difference between the environmental health damage caused by a racial–ethnic group and the damage that group experiences. We show that, in the United States, PM2.5 exposure is disproportionately caused by consumption of goods and services mainly by the non-Hispanic white majority, but disproportionately inhaled by black and Hispanic minorities. On average, non-Hispanic whites experience a “pollution advantage”: They experience </w:instrText>
      </w:r>
      <w:r w:rsidR="003E7BF0">
        <w:rPr>
          <w:rFonts w:ascii="Cambria Math" w:hAnsi="Cambria Math" w:cs="Cambria Math"/>
          <w:sz w:val="24"/>
          <w:szCs w:val="24"/>
          <w:lang w:val="en-US"/>
        </w:rPr>
        <w:instrText>∼</w:instrText>
      </w:r>
      <w:r w:rsidR="003E7BF0">
        <w:rPr>
          <w:rFonts w:ascii="Times New Roman" w:hAnsi="Times New Roman" w:cs="Times New Roman"/>
          <w:sz w:val="24"/>
          <w:szCs w:val="24"/>
          <w:lang w:val="en-US"/>
        </w:rPr>
        <w:instrText xml:space="preserve">17% less air pollution exposure than is caused by their consumption. Blacks and Hispanics on average bear a “pollution burden” of 56% and 63% excess exposure, respectively, relative to the exposure caused by their consumption. The total disparity is caused as much by how much people consume as by how much pollution they breathe. Differences in the types of goods and services consumed by each group are less important. PM2.5 exposures declined </w:instrText>
      </w:r>
      <w:r w:rsidR="003E7BF0">
        <w:rPr>
          <w:rFonts w:ascii="Cambria Math" w:hAnsi="Cambria Math" w:cs="Cambria Math"/>
          <w:sz w:val="24"/>
          <w:szCs w:val="24"/>
          <w:lang w:val="en-US"/>
        </w:rPr>
        <w:instrText>∼</w:instrText>
      </w:r>
      <w:r w:rsidR="003E7BF0">
        <w:rPr>
          <w:rFonts w:ascii="Times New Roman" w:hAnsi="Times New Roman" w:cs="Times New Roman"/>
          <w:sz w:val="24"/>
          <w:szCs w:val="24"/>
          <w:lang w:val="en-US"/>
        </w:rPr>
        <w:instrText xml:space="preserve">50% during 2002–2015 for all three racial–ethnic groups, but pollution inequity has remained high.","URL":"https://www.pnas.org/content/116/13/6001","DOI":"10.1073/pnas.1818859116","ISSN":"0027-8424, 1091-6490","note":"PMID: 30858319","journalAbbreviation":"PNAS","language":"en","author":[{"family":"Tessum","given":"Christopher W."},{"family":"Apte","given":"Joshua S."},{"family":"Goodkind","given":"Andrew L."},{"family":"Muller","given":"Nicholas Z."},{"family":"Mullins","given":"Kimberley A."},{"family":"Paolella","given":"David A."},{"family":"Polasky","given":"Stephen"},{"family":"Springer","given":"Nathaniel P."},{"family":"Thakrar","given":"Sumil K."},{"family":"Marshall","given":"Julian D."},{"family":"Hill","given":"Jason D."}],"issued":{"date-parts":[["2019",3,26]]},"accessed":{"date-parts":[["2019",4,22]]}}}],"schema":"https://github.com/citation-style-language/schema/raw/master/csl-citation.json"} </w:instrText>
      </w:r>
      <w:r w:rsidR="003E7BF0">
        <w:rPr>
          <w:rFonts w:ascii="Times New Roman" w:hAnsi="Times New Roman" w:cs="Times New Roman"/>
          <w:sz w:val="24"/>
          <w:szCs w:val="24"/>
          <w:lang w:val="en-US"/>
        </w:rPr>
        <w:fldChar w:fldCharType="separate"/>
      </w:r>
      <w:r w:rsidR="003E7BF0" w:rsidRPr="005C3FDA">
        <w:rPr>
          <w:rFonts w:ascii="Times New Roman" w:hAnsi="Times New Roman" w:cs="Times New Roman"/>
          <w:sz w:val="24"/>
          <w:lang w:val="en-US"/>
        </w:rPr>
        <w:t>(Tessum et al. 2019)</w:t>
      </w:r>
      <w:r w:rsidR="003E7BF0">
        <w:rPr>
          <w:rFonts w:ascii="Times New Roman" w:hAnsi="Times New Roman" w:cs="Times New Roman"/>
          <w:sz w:val="24"/>
          <w:szCs w:val="24"/>
          <w:lang w:val="en-US"/>
        </w:rPr>
        <w:fldChar w:fldCharType="end"/>
      </w:r>
      <w:commentRangeEnd w:id="22"/>
      <w:r w:rsidR="003E7BF0">
        <w:rPr>
          <w:rStyle w:val="CommentReference"/>
        </w:rPr>
        <w:commentReference w:id="22"/>
      </w:r>
      <w:r w:rsidR="00FF6EE9">
        <w:rPr>
          <w:rFonts w:ascii="Times New Roman" w:hAnsi="Times New Roman" w:cs="Times New Roman"/>
          <w:sz w:val="24"/>
          <w:szCs w:val="24"/>
          <w:lang w:val="en-US"/>
        </w:rPr>
        <w:t xml:space="preserve">.  </w:t>
      </w:r>
      <w:r w:rsidRPr="00777669">
        <w:rPr>
          <w:rFonts w:ascii="Times New Roman" w:hAnsi="Times New Roman" w:cs="Times New Roman"/>
          <w:sz w:val="24"/>
          <w:szCs w:val="24"/>
          <w:lang w:val="en-US"/>
        </w:rPr>
        <w:t>Although th</w:t>
      </w:r>
      <w:r w:rsidR="005C3FDA">
        <w:rPr>
          <w:rFonts w:ascii="Times New Roman" w:hAnsi="Times New Roman" w:cs="Times New Roman"/>
          <w:sz w:val="24"/>
          <w:szCs w:val="24"/>
          <w:lang w:val="en-US"/>
        </w:rPr>
        <w:t xml:space="preserve">e current study </w:t>
      </w:r>
      <w:r w:rsidRPr="00777669">
        <w:rPr>
          <w:rFonts w:ascii="Times New Roman" w:hAnsi="Times New Roman" w:cs="Times New Roman"/>
          <w:sz w:val="24"/>
          <w:szCs w:val="24"/>
          <w:lang w:val="en-US"/>
        </w:rPr>
        <w:t>was not a study of exposure, these results also provide some evidence that ambient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levels and differences in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chemical composition in highly segregated neighborhoods could be a factor in the negative health outcomes associated with African American racial residential segregation in the United States.</w:t>
      </w:r>
    </w:p>
    <w:p w14:paraId="36AD211D" w14:textId="6FF5F7D9" w:rsidR="00084BCE" w:rsidRDefault="00BD2827"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study has manifold limitations.  First, </w:t>
      </w:r>
      <w:r w:rsidR="00C73B5C">
        <w:rPr>
          <w:rFonts w:ascii="Times New Roman" w:hAnsi="Times New Roman" w:cs="Times New Roman"/>
          <w:sz w:val="24"/>
          <w:szCs w:val="24"/>
          <w:lang w:val="en-US"/>
        </w:rPr>
        <w:t xml:space="preserve">this study assigns </w:t>
      </w:r>
      <w:r w:rsidR="00084BCE">
        <w:rPr>
          <w:rFonts w:ascii="Times New Roman" w:hAnsi="Times New Roman" w:cs="Times New Roman"/>
          <w:sz w:val="24"/>
          <w:szCs w:val="24"/>
          <w:lang w:val="en-US"/>
        </w:rPr>
        <w:t>the data from each monitor to its containing census tract and no others, likely resulting in exposure misclassificatio</w:t>
      </w:r>
      <w:r w:rsidR="00D71327">
        <w:rPr>
          <w:rFonts w:ascii="Times New Roman" w:hAnsi="Times New Roman" w:cs="Times New Roman"/>
          <w:sz w:val="24"/>
          <w:szCs w:val="24"/>
          <w:lang w:val="en-US"/>
        </w:rPr>
        <w:t xml:space="preserve">n.  </w:t>
      </w:r>
      <w:r w:rsidR="00084BCE">
        <w:rPr>
          <w:rFonts w:ascii="Times New Roman" w:hAnsi="Times New Roman" w:cs="Times New Roman"/>
          <w:sz w:val="24"/>
          <w:szCs w:val="24"/>
          <w:lang w:val="en-US"/>
        </w:rPr>
        <w:t xml:space="preserve">We will use a </w:t>
      </w:r>
      <w:r w:rsidR="00FC36F2">
        <w:rPr>
          <w:rFonts w:ascii="Times New Roman" w:hAnsi="Times New Roman" w:cs="Times New Roman"/>
          <w:sz w:val="24"/>
          <w:szCs w:val="24"/>
          <w:lang w:val="en-US"/>
        </w:rPr>
        <w:t>distance-</w:t>
      </w:r>
      <w:r w:rsidR="00084BCE">
        <w:rPr>
          <w:rFonts w:ascii="Times New Roman" w:hAnsi="Times New Roman" w:cs="Times New Roman"/>
          <w:sz w:val="24"/>
          <w:szCs w:val="24"/>
          <w:lang w:val="en-US"/>
        </w:rPr>
        <w:t>based analysis to correct this limitation in future work</w:t>
      </w:r>
      <w:r w:rsidR="00D71327">
        <w:rPr>
          <w:rFonts w:ascii="Times New Roman" w:hAnsi="Times New Roman" w:cs="Times New Roman"/>
          <w:sz w:val="24"/>
          <w:szCs w:val="24"/>
          <w:lang w:val="en-US"/>
        </w:rPr>
        <w:t xml:space="preserve"> to address this limitation.</w:t>
      </w:r>
    </w:p>
    <w:p w14:paraId="4188E6AC" w14:textId="27CA20C6" w:rsidR="00BD2827" w:rsidRDefault="00084BCE"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Second, limiting this study to measured data eliminates most urban tracts in the</w:t>
      </w:r>
      <w:r w:rsidR="00D71327">
        <w:rPr>
          <w:rFonts w:ascii="Times New Roman" w:hAnsi="Times New Roman" w:cs="Times New Roman"/>
          <w:sz w:val="24"/>
          <w:szCs w:val="24"/>
          <w:lang w:val="en-US"/>
        </w:rPr>
        <w:t xml:space="preserve"> country, which could result in bias if the sociodemographic variables of interest also predict </w:t>
      </w:r>
      <w:r w:rsidR="00D71327">
        <w:rPr>
          <w:rFonts w:ascii="Times New Roman" w:hAnsi="Times New Roman" w:cs="Times New Roman"/>
          <w:sz w:val="24"/>
          <w:szCs w:val="24"/>
          <w:lang w:val="en-US"/>
        </w:rPr>
        <w:lastRenderedPageBreak/>
        <w:t>monitor locations.  We will conduct additional analyses to determine if sociodemographic variables predict monitor locations in future work.</w:t>
      </w:r>
    </w:p>
    <w:p w14:paraId="10580FAB" w14:textId="111CEAF2" w:rsidR="00075F71" w:rsidRDefault="00075F71" w:rsidP="00BD762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Third, this study includes PM</w:t>
      </w:r>
      <w:r w:rsidRPr="00075F71">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components with very low detection rates, </w:t>
      </w:r>
      <w:r w:rsidR="00FC36F2">
        <w:rPr>
          <w:rFonts w:ascii="Times New Roman" w:hAnsi="Times New Roman" w:cs="Times New Roman"/>
          <w:sz w:val="24"/>
          <w:szCs w:val="24"/>
          <w:lang w:val="en-US"/>
        </w:rPr>
        <w:t xml:space="preserve">which might bias the results for </w:t>
      </w:r>
      <w:r w:rsidR="00B97102">
        <w:rPr>
          <w:rFonts w:ascii="Times New Roman" w:hAnsi="Times New Roman" w:cs="Times New Roman"/>
          <w:sz w:val="24"/>
          <w:szCs w:val="24"/>
          <w:lang w:val="en-US"/>
        </w:rPr>
        <w:t xml:space="preserve">those components downward.  For example, although this study found consistently positive associations between As, Ni, and V and RI, </w:t>
      </w:r>
      <w:r w:rsidR="00B5764F">
        <w:rPr>
          <w:rFonts w:ascii="Times New Roman" w:hAnsi="Times New Roman" w:cs="Times New Roman"/>
          <w:sz w:val="24"/>
          <w:szCs w:val="24"/>
          <w:lang w:val="en-US"/>
        </w:rPr>
        <w:t>those components were below their method detection limit for 95.6%, 88.3%, and 84.9%, respectively, of the observations in the study period in the study tracts (Table 1</w:t>
      </w:r>
      <w:r w:rsidR="00F77B2D">
        <w:rPr>
          <w:rFonts w:ascii="Times New Roman" w:hAnsi="Times New Roman" w:cs="Times New Roman"/>
          <w:sz w:val="24"/>
          <w:szCs w:val="24"/>
          <w:lang w:val="en-US"/>
        </w:rPr>
        <w:t>, Figure 2</w:t>
      </w:r>
      <w:r w:rsidR="00B5764F">
        <w:rPr>
          <w:rFonts w:ascii="Times New Roman" w:hAnsi="Times New Roman" w:cs="Times New Roman"/>
          <w:sz w:val="24"/>
          <w:szCs w:val="24"/>
          <w:lang w:val="en-US"/>
        </w:rPr>
        <w:t>).</w:t>
      </w:r>
      <w:r w:rsidR="00F77B2D">
        <w:rPr>
          <w:rFonts w:ascii="Times New Roman" w:hAnsi="Times New Roman" w:cs="Times New Roman"/>
          <w:sz w:val="24"/>
          <w:szCs w:val="24"/>
          <w:lang w:val="en-US"/>
        </w:rPr>
        <w:t xml:space="preserve">  </w:t>
      </w:r>
      <w:proofErr w:type="gramStart"/>
      <w:r w:rsidR="00F77B2D">
        <w:rPr>
          <w:rFonts w:ascii="Times New Roman" w:hAnsi="Times New Roman" w:cs="Times New Roman"/>
          <w:sz w:val="24"/>
          <w:szCs w:val="24"/>
          <w:lang w:val="en-US"/>
        </w:rPr>
        <w:t>Thus</w:t>
      </w:r>
      <w:proofErr w:type="gramEnd"/>
      <w:r w:rsidR="00F77B2D">
        <w:rPr>
          <w:rFonts w:ascii="Times New Roman" w:hAnsi="Times New Roman" w:cs="Times New Roman"/>
          <w:sz w:val="24"/>
          <w:szCs w:val="24"/>
          <w:lang w:val="en-US"/>
        </w:rPr>
        <w:t xml:space="preserve"> any results for components with low detection rates should be interpreted with extreme caution.</w:t>
      </w:r>
    </w:p>
    <w:p w14:paraId="40ED33ED" w14:textId="2E5D5633" w:rsidR="00777669" w:rsidRDefault="00FC36F2" w:rsidP="00BD762D">
      <w:pPr>
        <w:spacing w:after="0" w:line="480" w:lineRule="auto"/>
        <w:ind w:firstLine="708"/>
        <w:rPr>
          <w:rFonts w:ascii="Times New Roman" w:hAnsi="Times New Roman" w:cs="Times New Roman"/>
          <w:i/>
          <w:sz w:val="24"/>
          <w:szCs w:val="24"/>
          <w:lang w:val="en-US"/>
        </w:rPr>
      </w:pPr>
      <w:r>
        <w:rPr>
          <w:rFonts w:ascii="Times New Roman" w:hAnsi="Times New Roman" w:cs="Times New Roman"/>
          <w:sz w:val="24"/>
          <w:szCs w:val="24"/>
          <w:lang w:val="en-US"/>
        </w:rPr>
        <w:t>Fourth</w:t>
      </w:r>
      <w:r w:rsidR="00075F71">
        <w:rPr>
          <w:rFonts w:ascii="Times New Roman" w:hAnsi="Times New Roman" w:cs="Times New Roman"/>
          <w:sz w:val="24"/>
          <w:szCs w:val="24"/>
          <w:lang w:val="en-US"/>
        </w:rPr>
        <w:t xml:space="preserve">, in this study we fail </w:t>
      </w:r>
      <w:r w:rsidR="00075F71" w:rsidRPr="00C73B5C">
        <w:rPr>
          <w:rFonts w:ascii="Times New Roman" w:hAnsi="Times New Roman" w:cs="Times New Roman"/>
          <w:sz w:val="24"/>
          <w:szCs w:val="24"/>
          <w:lang w:val="en-US"/>
        </w:rPr>
        <w:t xml:space="preserve">to account for the margins of error in the American Community Survey sample data.  </w:t>
      </w:r>
      <w:r w:rsidR="00D71327" w:rsidRPr="00D71327">
        <w:rPr>
          <w:rFonts w:ascii="Times New Roman" w:eastAsia="Cambria" w:hAnsi="Times New Roman" w:cs="Times New Roman"/>
          <w:lang w:val="en-US" w:eastAsia="de-DE"/>
        </w:rPr>
        <w:t xml:space="preserve">Although this practice is common in published epidemiologic research, it likely leads to underestimation of the confidence intervals and an overestimation of the significance of the effects in the analyses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{"citationID":"YYqwMrqE","properties":{"formattedCitation":"(Folch et al. 2016)","plainCitation":"(Folch et al. 2016)","noteIndex":0},"citationItems":[{"id":3565,"uris":["http://zotero.org/users/2002443/items/SLKHTXIY"],"uri":["http://zotero.org/users/2002443/items/SLKHTXIY"],"itemData":{"id":3565,"type":"article-journal","title":"Spatial Variation in the Quality of American Community Survey Estimates","container-title":"Demography; Silver Spring","page":"1535-1554","volume":"53","issue":"5","source":"ProQuest","abstract":"Social science research, public and private sector decisions, and allocations of federal resources often rely on data from the American Community Survey (ACS). However, this critical data source has high uncertainty in some of its most frequently used estimates. Using 2006-2010 ACS median household income estimates at the census tract scale as a test case, we explore spatial and nonspatial patterns in ACS estimate quality. We find that spatial patterns of uncertainty in the northern United States differ from those in the southern United States, and they are also different in suburbs than in urban cores. In both cases, uncertainty is lower in the former than the latter. In addition, uncertainty is higher in areas with lower incomes. We use a series of multivariate spatial regression models to describe the patterns of association between uncertainty in estimates and economic, demographic, and geographic factors, controlling for the number of responses. We find that these demographic and geographic patterns in estimate quality persist even after we account for the number of responses. Our results indicate that data quality varies across places, making cross-sectional analysis both within and across regions less reliable. Finally, we present advice for data users and potential solutions to the challenges identified.","URL":"https://search.proquest.com/docview/1881828243/abstract/5D6EE0652D7E4357PQ/1","DOI":"http://dx.doi.org/10.1007/s13524-016-0499-1","ISSN":"00703370","language":"English","author":[{"family":"Folch","given":"David C."},{"family":"Arribas-bel","given":"Daniel"},{"family":"Koschinsky","given":"Julia"},{"family":"Spielman","given":"Seth E."}],"issued":{"date-parts":[["2016",10]]},"accessed":{"date-parts":[["2019",4,21]]}}}],"schema":"https://github.com/citation-style-language/schema/raw/master/csl-citation.json"}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(Folch et al. 2016)</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Moreover, at least one study found systemic variation in the reliability of ACS estimates by spatial and demographic patterns, e.g., higher uncertainties in low-income areas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{"citationID":"3OPES6HE","properties":{"formattedCitation":"(Folch et al. 2016)","plainCitation":"(Folch et al. 2016)","noteIndex":0},"citationItems":[{"id":3565,"uris":["http://zotero.org/users/2002443/items/SLKHTXIY"],"uri":["http://zotero.org/users/2002443/items/SLKHTXIY"],"itemData":{"id":3565,"type":"article-journal","title":"Spatial Variation in the Quality of American Community Survey Estimates","container-title":"Demography; Silver Spring","page":"1535-1554","volume":"53","issue":"5","source":"ProQuest","abstract":"Social science research, public and private sector decisions, and allocations of federal resources often rely on data from the American Community Survey (ACS). However, this critical data source has high uncertainty in some of its most frequently used estimates. Using 2006-2010 ACS median household income estimates at the census tract scale as a test case, we explore spatial and nonspatial patterns in ACS estimate quality. We find that spatial patterns of uncertainty in the northern United States differ from those in the southern United States, and they are also different in suburbs than in urban cores. In both cases, uncertainty is lower in the former than the latter. In addition, uncertainty is higher in areas with lower incomes. We use a series of multivariate spatial regression models to describe the patterns of association between uncertainty in estimates and economic, demographic, and geographic factors, controlling for the number of responses. We find that these demographic and geographic patterns in estimate quality persist even after we account for the number of responses. Our results indicate that data quality varies across places, making cross-sectional analysis both within and across regions less reliable. Finally, we present advice for data users and potential solutions to the challenges identified.","URL":"https://search.proquest.com/docview/1881828243/abstract/5D6EE0652D7E4357PQ/1","DOI":"http://dx.doi.org/10.1007/s13524-016-0499-1","ISSN":"00703370","language":"English","author":[{"family":"Folch","given":"David C."},{"family":"Arribas-bel","given":"Daniel"},{"family":"Koschinsky","given":"Julia"},{"family":"Spielman","given":"Seth E."}],"issued":{"date-parts":[["2016",10]]},"accessed":{"date-parts":[["2019",4,21]]}}}],"schema":"https://github.com/citation-style-language/schema/raw/master/csl-citation.json"}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(Folch et al. 2016)</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Methods for accounting for error in ACS estimates include geographic aggregation or regionalization, e.g., aggregating block groups with similar demographic characteristics into bigger areas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{"citationID":"SjMP32lH","properties":{"formattedCitation":"(Spielman and Folch 2015)","plainCitation":"(Spielman and Folch 2015)","noteIndex":0},"citationItems":[{"id":3556,"uris":["http://zotero.org/users/2002443/items/RRRDV3SY"],"uri":["http://zotero.org/users/2002443/items/RRRDV3SY"],"itemData":{"id":3556,"type":"article-journal","title":"Reducing Uncertainty in the American Community Survey through Data-Driven Regionalization","container-title":"PLOS ONE","page":"e0115626","volume":"10","issue":"2","source":"PLoS Journals","abstract":"The American Community Survey (ACS) is the largest survey of US households and is the principal source for neighborhood scale information about the US population and economy. The ACS is used to allocate billions in federal spending and is a critical input to social scientific research in the US. However, estimates from the ACS can be highly unreliable. For example, in over 72% of census tracts, the estimated number of children under 5 in poverty has a margin of error greater than the estimate. Uncertainty of this magnitude complicates the use of social data in policy making, research, and governance. This article presents a heuristic spatial optimization algorithm that is capable of reducing the margins of error in survey data via the creation of new composite geographies, a process called regionalization. Regionalization is a complex combinatorial problem. Here rather than focusing on the technical aspects of regionalization we demonstrate how to use a purpose built open source regionalization algorithm to process survey data in order to reduce the margins of error to a user-specified threshold.","URL":"https://journals.plos.org/plosone/article?id=10.1371/journal.pone.0115626","DOI":"10.1371/journal.pone.0115626","ISSN":"1932-6203","journalAbbreviation":"PLOS ONE","language":"en","author":[{"family":"Spielman","given":"Seth E."},{"family":"Folch","given":"David C."}],"issued":{"date-parts":[["2015",2,27]]},"accessed":{"date-parts":[["2019",4,21]]}}}],"schema":"https://github.com/citation-style-language/schema/raw/master/csl-citation.json"}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(Spielman and Folch 2015)</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data aggregation, e.g., grouping variable values into fewer categories; or over-imputation methods derived from multiple imputation methodologies to account for missing data </w:t>
      </w:r>
      <w:r w:rsidR="00D71327" w:rsidRPr="00D71327">
        <w:rPr>
          <w:rFonts w:ascii="Times New Roman" w:eastAsia="Cambria" w:hAnsi="Times New Roman" w:cs="Times New Roman"/>
          <w:lang w:val="en-US" w:eastAsia="de-DE"/>
        </w:rPr>
        <w:fldChar w:fldCharType="begin"/>
      </w:r>
      <w:r w:rsidR="00B5764F">
        <w:rPr>
          <w:rFonts w:ascii="Times New Roman" w:eastAsia="Cambria" w:hAnsi="Times New Roman" w:cs="Times New Roman"/>
          <w:lang w:val="en-US" w:eastAsia="de-DE"/>
        </w:rPr>
        <w:instrText xml:space="preserve"> ADDIN ZOTERO_ITEM CSL_CITATION {"citationID":"K3ZlqAdn","properties":{"formattedCitation":"(Casey and Morello-Frosch in preparation)","plainCitation":"(Casey and Morello-Frosch in preparation)","dontUpdate":true,"noteIndex":0},"citationItems":[{"id":3633,"uris":["http://zotero.org/users/2002443/items/CQ5QCXME"],"uri":["http://zotero.org/users/2002443/items/CQ5QCXME"],"itemData":{"id":3633,"type":"article-journal","title":"Accounting for Error in American Community Survey Estimates","author":[{"family":"Casey","given":"Joan A."},{"family":"Morello-Frosch","given":"Rachel"}],"issued":{"literal":"in preparation"}}}],"schema":"https://github.com/citation-style-language/schema/raw/master/csl-citation.json"}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(Casey and Morello-Frosch</w:t>
      </w:r>
      <w:r>
        <w:rPr>
          <w:rFonts w:ascii="Times New Roman" w:eastAsia="Calibri" w:hAnsi="Times New Roman" w:cs="Times New Roman"/>
          <w:lang w:val="en-US" w:eastAsia="de-DE"/>
        </w:rPr>
        <w:t>,</w:t>
      </w:r>
      <w:r w:rsidR="00D71327" w:rsidRPr="00D71327">
        <w:rPr>
          <w:rFonts w:ascii="Times New Roman" w:eastAsia="Calibri" w:hAnsi="Times New Roman" w:cs="Times New Roman"/>
          <w:lang w:val="en-US" w:eastAsia="de-DE"/>
        </w:rPr>
        <w:t xml:space="preserve"> in preparation)</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w:t>
      </w:r>
    </w:p>
    <w:p w14:paraId="5B02F381" w14:textId="0386DFC8" w:rsidR="00BD762D" w:rsidRPr="00BD762D" w:rsidRDefault="00BD762D" w:rsidP="00BD762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Fifth, as the EPA operates </w:t>
      </w:r>
      <w:r w:rsidR="00781688">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monitor network in part for regulatory purposes and </w:t>
      </w:r>
      <w:r w:rsidR="00781688">
        <w:rPr>
          <w:rFonts w:ascii="Times New Roman" w:hAnsi="Times New Roman" w:cs="Times New Roman"/>
          <w:sz w:val="24"/>
          <w:szCs w:val="24"/>
          <w:lang w:val="en-US"/>
        </w:rPr>
        <w:t xml:space="preserve">often </w:t>
      </w:r>
      <w:r>
        <w:rPr>
          <w:rFonts w:ascii="Times New Roman" w:hAnsi="Times New Roman" w:cs="Times New Roman"/>
          <w:sz w:val="24"/>
          <w:szCs w:val="24"/>
          <w:lang w:val="en-US"/>
        </w:rPr>
        <w:t xml:space="preserve">discontinues monitoring </w:t>
      </w:r>
      <w:r w:rsidR="00781688">
        <w:rPr>
          <w:rFonts w:ascii="Times New Roman" w:hAnsi="Times New Roman" w:cs="Times New Roman"/>
          <w:sz w:val="24"/>
          <w:szCs w:val="24"/>
          <w:lang w:val="en-US"/>
        </w:rPr>
        <w:t>in tracts where measured concentrations have consistently been in compliance with Clean Air Act standards</w:t>
      </w:r>
      <w:r>
        <w:rPr>
          <w:rFonts w:ascii="Times New Roman" w:hAnsi="Times New Roman" w:cs="Times New Roman"/>
          <w:sz w:val="24"/>
          <w:szCs w:val="24"/>
          <w:lang w:val="en-US"/>
        </w:rPr>
        <w:t>, the EPA steadily discontinued monitoring during the ten-year study period</w:t>
      </w:r>
      <w:r w:rsidR="00781688">
        <w:rPr>
          <w:rFonts w:ascii="Times New Roman" w:hAnsi="Times New Roman" w:cs="Times New Roman"/>
          <w:sz w:val="24"/>
          <w:szCs w:val="24"/>
          <w:lang w:val="en-US"/>
        </w:rPr>
        <w:t>, likely in tracts with lower PM</w:t>
      </w:r>
      <w:r w:rsidR="00781688" w:rsidRPr="00781688">
        <w:rPr>
          <w:rFonts w:ascii="Times New Roman" w:hAnsi="Times New Roman" w:cs="Times New Roman"/>
          <w:sz w:val="24"/>
          <w:szCs w:val="24"/>
          <w:vertAlign w:val="subscript"/>
          <w:lang w:val="en-US"/>
        </w:rPr>
        <w:t>2.5</w:t>
      </w:r>
      <w:r w:rsidR="00781688">
        <w:rPr>
          <w:rFonts w:ascii="Times New Roman" w:hAnsi="Times New Roman" w:cs="Times New Roman"/>
          <w:sz w:val="24"/>
          <w:szCs w:val="24"/>
          <w:lang w:val="en-US"/>
        </w:rPr>
        <w:t xml:space="preserve"> concentrations than those where the EPA continued monitor operations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this study likely overestimates mean concentrations of PM</w:t>
      </w:r>
      <w:r w:rsidRPr="00BD762D">
        <w:rPr>
          <w:rFonts w:ascii="Times New Roman" w:hAnsi="Times New Roman" w:cs="Times New Roman"/>
          <w:sz w:val="24"/>
          <w:szCs w:val="24"/>
          <w:vertAlign w:val="subscript"/>
          <w:lang w:val="en-US"/>
        </w:rPr>
        <w:t>2.5</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vertAlign w:val="subscript"/>
          <w:lang w:val="en-US"/>
        </w:rPr>
        <w:softHyphen/>
      </w:r>
      <w:r>
        <w:rPr>
          <w:rFonts w:ascii="Times New Roman" w:hAnsi="Times New Roman" w:cs="Times New Roman"/>
          <w:sz w:val="24"/>
          <w:szCs w:val="24"/>
          <w:lang w:val="en-US"/>
        </w:rPr>
        <w:t>in tracts with fewer observations.</w:t>
      </w:r>
      <w:r w:rsidR="00781688">
        <w:rPr>
          <w:rFonts w:ascii="Times New Roman" w:hAnsi="Times New Roman" w:cs="Times New Roman"/>
          <w:sz w:val="24"/>
          <w:szCs w:val="24"/>
          <w:lang w:val="en-US"/>
        </w:rPr>
        <w:t xml:space="preserve">  We will conduct a sensitivity analysis to investigate whether measured PM</w:t>
      </w:r>
      <w:r w:rsidR="00781688" w:rsidRPr="00781688">
        <w:rPr>
          <w:rFonts w:ascii="Times New Roman" w:hAnsi="Times New Roman" w:cs="Times New Roman"/>
          <w:sz w:val="24"/>
          <w:szCs w:val="24"/>
          <w:vertAlign w:val="subscript"/>
          <w:lang w:val="en-US"/>
        </w:rPr>
        <w:t>2.5</w:t>
      </w:r>
      <w:r w:rsidR="00781688">
        <w:rPr>
          <w:rFonts w:ascii="Times New Roman" w:hAnsi="Times New Roman" w:cs="Times New Roman"/>
          <w:sz w:val="24"/>
          <w:szCs w:val="24"/>
          <w:lang w:val="en-US"/>
        </w:rPr>
        <w:t xml:space="preserve"> concentrations are higher in tracts with longer </w:t>
      </w:r>
      <w:r w:rsidR="00781688">
        <w:rPr>
          <w:rFonts w:ascii="Times New Roman" w:hAnsi="Times New Roman" w:cs="Times New Roman"/>
          <w:sz w:val="24"/>
          <w:szCs w:val="24"/>
          <w:lang w:val="en-US"/>
        </w:rPr>
        <w:lastRenderedPageBreak/>
        <w:t>monitoring periods and investigate modeling approaches to account for potential observation bias.</w:t>
      </w:r>
    </w:p>
    <w:p w14:paraId="7CAA0209" w14:textId="2DADE3E3" w:rsidR="00777669" w:rsidRPr="00777669" w:rsidRDefault="00777669" w:rsidP="00777669">
      <w:pPr>
        <w:rPr>
          <w:rFonts w:ascii="Times New Roman" w:hAnsi="Times New Roman" w:cs="Times New Roman"/>
          <w:sz w:val="24"/>
          <w:szCs w:val="24"/>
          <w:lang w:val="en-US"/>
        </w:rPr>
      </w:pPr>
    </w:p>
    <w:p w14:paraId="211D0F6E" w14:textId="75012F8A" w:rsidR="0077766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t>Conclusions</w:t>
      </w:r>
    </w:p>
    <w:p w14:paraId="4989ACBB" w14:textId="3647C2F6" w:rsidR="00C166D3" w:rsidRPr="00C166D3" w:rsidRDefault="00C166D3"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study showed a consistent association between PM</w:t>
      </w:r>
      <w:r w:rsidRPr="00C166D3">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concentration and RI quintile</w:t>
      </w:r>
      <w:r w:rsidR="00220A34">
        <w:rPr>
          <w:rFonts w:ascii="Times New Roman" w:hAnsi="Times New Roman" w:cs="Times New Roman"/>
          <w:sz w:val="24"/>
          <w:szCs w:val="24"/>
          <w:lang w:val="en-US"/>
        </w:rPr>
        <w:t>, even after controlling for poverty and racial/ethnic composition, and suggests that PM</w:t>
      </w:r>
      <w:r w:rsidR="00220A34" w:rsidRPr="00512BBA">
        <w:rPr>
          <w:rFonts w:ascii="Times New Roman" w:hAnsi="Times New Roman" w:cs="Times New Roman"/>
          <w:sz w:val="24"/>
          <w:szCs w:val="24"/>
          <w:vertAlign w:val="subscript"/>
          <w:lang w:val="en-US"/>
        </w:rPr>
        <w:t>2.5</w:t>
      </w:r>
      <w:r w:rsidR="00220A34">
        <w:rPr>
          <w:rFonts w:ascii="Times New Roman" w:hAnsi="Times New Roman" w:cs="Times New Roman"/>
          <w:sz w:val="24"/>
          <w:szCs w:val="24"/>
          <w:lang w:val="en-US"/>
        </w:rPr>
        <w:t xml:space="preserve"> composition differs by RI.  Additional work is needed to </w:t>
      </w:r>
      <w:r w:rsidR="001E50DF">
        <w:rPr>
          <w:rFonts w:ascii="Times New Roman" w:hAnsi="Times New Roman" w:cs="Times New Roman"/>
          <w:sz w:val="24"/>
          <w:szCs w:val="24"/>
          <w:lang w:val="en-US"/>
        </w:rPr>
        <w:t>investigate PM</w:t>
      </w:r>
      <w:r w:rsidR="001E50DF" w:rsidRPr="001E50DF">
        <w:rPr>
          <w:rFonts w:ascii="Times New Roman" w:hAnsi="Times New Roman" w:cs="Times New Roman"/>
          <w:sz w:val="24"/>
          <w:szCs w:val="24"/>
          <w:vertAlign w:val="subscript"/>
          <w:lang w:val="en-US"/>
        </w:rPr>
        <w:t>2.5</w:t>
      </w:r>
      <w:r w:rsidR="00220A34">
        <w:rPr>
          <w:rFonts w:ascii="Times New Roman" w:hAnsi="Times New Roman" w:cs="Times New Roman"/>
          <w:sz w:val="24"/>
          <w:szCs w:val="24"/>
          <w:lang w:val="en-US"/>
        </w:rPr>
        <w:t xml:space="preserve"> sources </w:t>
      </w:r>
      <w:r w:rsidR="001E50DF">
        <w:rPr>
          <w:rFonts w:ascii="Times New Roman" w:hAnsi="Times New Roman" w:cs="Times New Roman"/>
          <w:sz w:val="24"/>
          <w:szCs w:val="24"/>
          <w:lang w:val="en-US"/>
        </w:rPr>
        <w:t xml:space="preserve">and broader societal forces </w:t>
      </w:r>
      <w:r w:rsidR="00220A34">
        <w:rPr>
          <w:rFonts w:ascii="Times New Roman" w:hAnsi="Times New Roman" w:cs="Times New Roman"/>
          <w:sz w:val="24"/>
          <w:szCs w:val="24"/>
          <w:lang w:val="en-US"/>
        </w:rPr>
        <w:t>contributing to these disparities.</w:t>
      </w:r>
    </w:p>
    <w:p w14:paraId="11B3F3E6" w14:textId="77777777" w:rsidR="00777669" w:rsidRPr="00777669" w:rsidRDefault="00777669" w:rsidP="00777669">
      <w:pPr>
        <w:spacing w:line="480" w:lineRule="auto"/>
        <w:rPr>
          <w:rFonts w:ascii="Times New Roman" w:hAnsi="Times New Roman" w:cs="Times New Roman"/>
          <w:sz w:val="24"/>
          <w:szCs w:val="24"/>
          <w:lang w:val="en-US"/>
        </w:rPr>
      </w:pPr>
    </w:p>
    <w:p w14:paraId="2FEF018C" w14:textId="79CABAE5" w:rsidR="00783DDC" w:rsidRPr="004549A1" w:rsidRDefault="00783DDC" w:rsidP="00731091">
      <w:pPr>
        <w:rPr>
          <w:rFonts w:ascii="Times New Roman" w:hAnsi="Times New Roman" w:cs="Times New Roman"/>
          <w:b/>
          <w:sz w:val="24"/>
          <w:szCs w:val="24"/>
          <w:lang w:val="en-US"/>
        </w:rPr>
      </w:pPr>
    </w:p>
    <w:p w14:paraId="2E24413E" w14:textId="3FE7A6EA" w:rsidR="00037419" w:rsidRPr="004549A1" w:rsidRDefault="00037419" w:rsidP="00C8264F">
      <w:pPr>
        <w:spacing w:line="480" w:lineRule="auto"/>
        <w:rPr>
          <w:rFonts w:ascii="Times New Roman" w:hAnsi="Times New Roman" w:cs="Times New Roman"/>
          <w:b/>
          <w:sz w:val="24"/>
          <w:szCs w:val="24"/>
          <w:lang w:val="en-US"/>
        </w:rPr>
      </w:pPr>
    </w:p>
    <w:p w14:paraId="543112D7" w14:textId="79AC9D5D" w:rsidR="00037419" w:rsidRPr="004549A1" w:rsidRDefault="00037419">
      <w:pPr>
        <w:rPr>
          <w:rFonts w:ascii="Times New Roman" w:hAnsi="Times New Roman" w:cs="Times New Roman"/>
          <w:b/>
          <w:sz w:val="24"/>
          <w:szCs w:val="24"/>
          <w:lang w:val="en-US"/>
        </w:rPr>
      </w:pPr>
      <w:r w:rsidRPr="004549A1">
        <w:rPr>
          <w:rFonts w:ascii="Times New Roman" w:hAnsi="Times New Roman" w:cs="Times New Roman"/>
          <w:b/>
          <w:sz w:val="24"/>
          <w:szCs w:val="24"/>
          <w:lang w:val="en-US"/>
        </w:rPr>
        <w:br w:type="page"/>
      </w:r>
    </w:p>
    <w:p w14:paraId="6E1E0220" w14:textId="56F1A69F" w:rsidR="00037419" w:rsidRPr="00CD36FC" w:rsidRDefault="00037419" w:rsidP="00C8264F">
      <w:pPr>
        <w:spacing w:line="480" w:lineRule="auto"/>
        <w:rPr>
          <w:rFonts w:ascii="Times New Roman" w:hAnsi="Times New Roman" w:cs="Times New Roman"/>
          <w:b/>
          <w:lang w:val="es-MX"/>
        </w:rPr>
      </w:pPr>
      <w:r w:rsidRPr="00CD36FC">
        <w:rPr>
          <w:rFonts w:ascii="Times New Roman" w:hAnsi="Times New Roman" w:cs="Times New Roman"/>
          <w:b/>
          <w:sz w:val="24"/>
          <w:szCs w:val="24"/>
          <w:lang w:val="es-MX"/>
        </w:rPr>
        <w:lastRenderedPageBreak/>
        <w:t>References</w:t>
      </w:r>
    </w:p>
    <w:p w14:paraId="6F965926" w14:textId="77777777" w:rsidR="00307A02" w:rsidRPr="00307A02" w:rsidRDefault="00A97C10" w:rsidP="00307A02">
      <w:pPr>
        <w:pStyle w:val="Bibliography"/>
        <w:rPr>
          <w:rFonts w:ascii="Times New Roman" w:hAnsi="Times New Roman" w:cs="Times New Roman"/>
          <w:lang w:val="en-US"/>
        </w:rPr>
      </w:pPr>
      <w:r w:rsidRPr="00307A02">
        <w:rPr>
          <w:rFonts w:ascii="Times New Roman" w:hAnsi="Times New Roman" w:cs="Times New Roman"/>
          <w:lang w:val="en-US"/>
        </w:rPr>
        <w:fldChar w:fldCharType="begin"/>
      </w:r>
      <w:r w:rsidR="00307A02" w:rsidRPr="00CD36FC">
        <w:rPr>
          <w:rFonts w:ascii="Times New Roman" w:hAnsi="Times New Roman" w:cs="Times New Roman"/>
          <w:lang w:val="es-MX"/>
        </w:rPr>
        <w:instrText xml:space="preserve"> ADDIN ZOTERO_BIBL {"uncited":[],"omitted":[],"custom":[]} CSL_BIBLIOGRAPHY </w:instrText>
      </w:r>
      <w:r w:rsidRPr="00307A02">
        <w:rPr>
          <w:rFonts w:ascii="Times New Roman" w:hAnsi="Times New Roman" w:cs="Times New Roman"/>
          <w:lang w:val="en-US"/>
        </w:rPr>
        <w:fldChar w:fldCharType="separate"/>
      </w:r>
      <w:r w:rsidR="00307A02" w:rsidRPr="00CD36FC">
        <w:rPr>
          <w:rFonts w:ascii="Times New Roman" w:hAnsi="Times New Roman" w:cs="Times New Roman"/>
          <w:lang w:val="es-MX"/>
        </w:rPr>
        <w:t xml:space="preserve">Anthopolos R, James SA, Gelfand AE, Miranda ML. 2011. </w:t>
      </w:r>
      <w:r w:rsidR="00307A02" w:rsidRPr="00307A02">
        <w:rPr>
          <w:rFonts w:ascii="Times New Roman" w:hAnsi="Times New Roman" w:cs="Times New Roman"/>
          <w:lang w:val="en-US"/>
        </w:rPr>
        <w:t>A spatial measure of neighborhood level racial isolation applied to low birthweight, preterm birth, and birthweight in North Carolina. Spat Spatio-Temporal Epidemiol 2:235–246; doi:10.1016/j.sste.2011.06.002.</w:t>
      </w:r>
    </w:p>
    <w:p w14:paraId="75E708C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Ard K. 2016. By all measures: an examination of the relationship between segregation and health risk from air pollution. Popul Environ 1–20; doi:10.1007/s11111-015-0251-6.</w:t>
      </w:r>
    </w:p>
    <w:p w14:paraId="3B49A65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Atkinson RW, Mills IC, Walton HA, Anderson HR. 2015. Fine particle components and health--a systematic review and meta-analysis of epidemiological time series studies of daily mortality and hospital admissions. J Expo Sci Environ Epidemiol 25:208–214; doi:10.1038/jes.2014.63.</w:t>
      </w:r>
    </w:p>
    <w:p w14:paraId="138054C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Basu R, Harris M, Sie L, Malig B, Broadwin R, Green R. 2014. Effects of fine particulate matter and its constituents on low birth weight among full-term infants in California. Environ Res 128:42–51; doi:10.1016/j.envres.2013.10.008.</w:t>
      </w:r>
    </w:p>
    <w:p w14:paraId="3D40BD4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Beelen R, Hoek G, Raaschou-Nielsen O, Stafoggia M, Andersen ZJ, Weinmayr G, et al. 2015. Natural-cause mortality and long-term exposure to particle components: an analysis of 19 European cohorts within the multi-center ESCAPE project. Environ Health Perspect 123:525–533; doi:10.1289/ehp.1408095.</w:t>
      </w:r>
    </w:p>
    <w:p w14:paraId="77A9C04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Dominici F, Ebisu K, Zeger SL, Samet JM. 2007a. Spatial and Temporal Variation in PM2.5 Chemical Composition in the United States for Health Effects Studies. Environ Health Perspect 115:989–995; doi:10.1289/ehp.9621.</w:t>
      </w:r>
    </w:p>
    <w:p w14:paraId="4642572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2012. Environmental Inequality in Exposures to Airborne Particulate Matter Components in the United States. Environ Health Perspect; doi:10.1289/ehp.1205201.</w:t>
      </w:r>
    </w:p>
    <w:p w14:paraId="7A17756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Belanger K. 2007b. Ambient Air Pollution and Low Birth Weight in Connecticut and Massachusetts. Environ Health Perspect 115:1118–1124; doi:10.1289/ehp.9759.</w:t>
      </w:r>
    </w:p>
    <w:p w14:paraId="710097C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Peng RD. 2011. Community-level spatial heterogeneity of chemical constituent levels of fine particulates and implications for epidemiological research. J Expo Sci Environ Epidemiol 21:372–384; doi:10.1038/jes.2010.24.</w:t>
      </w:r>
    </w:p>
    <w:p w14:paraId="3ECBD50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Brauer M, Lencar C, Tamburic L, Koehoorn M, Demers P, Karr C. 2008. A Cohort Study of Traffic-Related Air Pollution Impacts on Birth Outcomes. Environ Health Perspect 116:680–686; doi:10.1289/ehp.10952.</w:t>
      </w:r>
    </w:p>
    <w:p w14:paraId="2CB96E9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Bravo MA, Anthopolos R, Bell ML, Miranda ML. 2016. Racial isolation and exposure to airborne particulate matter and ozone in understudied US populations: Environmental justice applications of downscaled numerical model output. Environ Int 92–93:247–255; doi:10.1016/j.envint.2016.04.008.</w:t>
      </w:r>
    </w:p>
    <w:p w14:paraId="60D4CEB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Burnett RT, Pope CA, Ezzati M, Olives C, Lim SS, Mehta S, et al. 2014. An Integrated Risk Function for Estimating the Global Burden of Disease Attributable to Ambient Fine Particulate Matter Exposure. Environ Health Perspect 122:397–403; doi:10.1289/ehp.1307049.</w:t>
      </w:r>
    </w:p>
    <w:p w14:paraId="5F0BAC0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Caiazzo F, Ashok A, Waitz IA, Yim SHL, Barrett SRH. 2013. Air pollution and early deaths in the United States. Part I: Quantifying the impact of major sectors in 2005. Atmos Environ 79:198–208; doi:10.1016/j.atmosenv.2013.05.081.</w:t>
      </w:r>
    </w:p>
    <w:p w14:paraId="5DD38F6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Casey JA, Morello-Frosch R. in preparation. Accounting for Error in American Community Survey Estimates.</w:t>
      </w:r>
    </w:p>
    <w:p w14:paraId="1831AD8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Chavis BF, Lee C. 1987. Toxic wastes and race in the United States. Comm Racial Justice United Church Christ N Y.</w:t>
      </w:r>
    </w:p>
    <w:p w14:paraId="44DBBE1C" w14:textId="77777777" w:rsidR="00307A02" w:rsidRPr="00CD36FC"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Chung Y, Dominici F, Wang Y, Coull BA, Bell ML. 2015. Associations between long-term exposure to chemical constituents of fine particulate matter (PM2.5) and mortality in Medicare enrollees in the eastern United States. </w:t>
      </w:r>
      <w:r w:rsidRPr="00CD36FC">
        <w:rPr>
          <w:rFonts w:ascii="Times New Roman" w:hAnsi="Times New Roman" w:cs="Times New Roman"/>
          <w:lang w:val="en-US"/>
        </w:rPr>
        <w:t>Environ Health Perspect 123:467–474; doi:10.1289/ehp.1307549.</w:t>
      </w:r>
    </w:p>
    <w:p w14:paraId="3D19016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Dai L, Zanobetti A, Koutrakis P, Schwartz JD. 2014. Associations of Fine Particulate Matter Species with Mortality in the United States: A Multicity Time-Series Analysis. Environ Health Perspect 122:837–842; doi:10.1289/ehp.1307568.</w:t>
      </w:r>
    </w:p>
    <w:p w14:paraId="0356AB7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Eeftens M a, Hoek G a, Gruzieva O d, Molter A e, Agius R e, Beelen R a, et al. 2014. Elemental Composition of Particulate Matter and the Association with Lung Function.  [Miscellaneous Article]. Epidemiology 25:648–657; doi:10.1097/EDE.0000000000000136.</w:t>
      </w:r>
    </w:p>
    <w:p w14:paraId="2EFD1481"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lang w:val="en-US"/>
        </w:rPr>
        <w:t xml:space="preserve">Fang Y, Naik V, Horowitz LW, Mauzerall DL. 2013. Air pollution and associated human mortality: the role of air pollutant emissions, climate change and methane concentration increases from the preindustrial period to present. </w:t>
      </w:r>
      <w:r w:rsidRPr="00307A02">
        <w:rPr>
          <w:rFonts w:ascii="Times New Roman" w:hAnsi="Times New Roman" w:cs="Times New Roman"/>
        </w:rPr>
        <w:t>Atmos Chem Phys 13:1377–1394; doi:10.5194/acp-13-1377-2013.</w:t>
      </w:r>
    </w:p>
    <w:p w14:paraId="3E0860A5"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rPr>
        <w:t xml:space="preserve">Folch DC, Arribas-bel D, Koschinsky J, Spielman SE. 2016. </w:t>
      </w:r>
      <w:r w:rsidRPr="00307A02">
        <w:rPr>
          <w:rFonts w:ascii="Times New Roman" w:hAnsi="Times New Roman" w:cs="Times New Roman"/>
          <w:lang w:val="en-US"/>
        </w:rPr>
        <w:t xml:space="preserve">Spatial Variation in the Quality of American Community Survey Estimates. </w:t>
      </w:r>
      <w:r w:rsidRPr="00307A02">
        <w:rPr>
          <w:rFonts w:ascii="Times New Roman" w:hAnsi="Times New Roman" w:cs="Times New Roman"/>
        </w:rPr>
        <w:t>Demogr Silver Spring 53:1535–1554; doi:http://dx.doi.org/10.1007/s13524-016-0499-1.</w:t>
      </w:r>
    </w:p>
    <w:p w14:paraId="6270743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rPr>
        <w:t xml:space="preserve">Franklin M, Koutrakis P, Schwartz P. 2008. </w:t>
      </w:r>
      <w:r w:rsidRPr="00307A02">
        <w:rPr>
          <w:rFonts w:ascii="Times New Roman" w:hAnsi="Times New Roman" w:cs="Times New Roman"/>
          <w:lang w:val="en-US"/>
        </w:rPr>
        <w:t>The role of particle composition on the association between PM2.5 and mortality. Epidemiol Camb Mass 19: 680–689.</w:t>
      </w:r>
    </w:p>
    <w:p w14:paraId="0F27D08E" w14:textId="77777777" w:rsidR="00307A02" w:rsidRPr="00307A02" w:rsidRDefault="00307A02" w:rsidP="00307A02">
      <w:pPr>
        <w:pStyle w:val="Bibliography"/>
        <w:rPr>
          <w:rFonts w:ascii="Times New Roman" w:hAnsi="Times New Roman" w:cs="Times New Roman"/>
          <w:lang w:val="es-MX"/>
        </w:rPr>
      </w:pPr>
      <w:r w:rsidRPr="00307A02">
        <w:rPr>
          <w:rFonts w:ascii="Times New Roman" w:hAnsi="Times New Roman" w:cs="Times New Roman"/>
          <w:lang w:val="en-US"/>
        </w:rPr>
        <w:t xml:space="preserve">Franklin M, Zeka A, Schwartz J. 2006. Association between PM2.5 and all-cause and specific-cause mortality in 27 US communities. </w:t>
      </w:r>
      <w:r w:rsidRPr="00307A02">
        <w:rPr>
          <w:rFonts w:ascii="Times New Roman" w:hAnsi="Times New Roman" w:cs="Times New Roman"/>
          <w:lang w:val="es-MX"/>
        </w:rPr>
        <w:t>J Expo Sci Environ Epidemiol 17:279–287; doi:10.1038/sj.jes.7500530.</w:t>
      </w:r>
    </w:p>
    <w:p w14:paraId="0578984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s-MX"/>
        </w:rPr>
        <w:t xml:space="preserve">Grady SC. 2006. </w:t>
      </w:r>
      <w:r w:rsidRPr="00307A02">
        <w:rPr>
          <w:rFonts w:ascii="Times New Roman" w:hAnsi="Times New Roman" w:cs="Times New Roman"/>
          <w:lang w:val="en-US"/>
        </w:rPr>
        <w:t>Racial disparities in low birthweight and the contribution of residential segregation: a multilevel analysis. Soc Sci Med 1982 63:3013–3029; doi:10.1016/j.socscimed.2006.08.017.</w:t>
      </w:r>
    </w:p>
    <w:p w14:paraId="7E759FB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Grady SC, Ramírez IJ. 2008. Mediating medical risk factors in the residential segregation and low birthweight relationship by race in New York City. Health Place 14:661–677; doi:10.1016/j.healthplace.2007.10.011.</w:t>
      </w:r>
    </w:p>
    <w:p w14:paraId="017D5932"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Gray SC, Edwards SE, Miranda ML. 2013. Race, socioeconomic status, and air pollution exposure in North Carolina. Environ Res 126:152–158; doi:10.1016/j.envres.2013.06.005.</w:t>
      </w:r>
    </w:p>
    <w:p w14:paraId="40D396A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Gray SC, Edwards SE, Schultz BD, Miranda ML. 2014. Assessing the impact of race, social factors and air pollution on birth outcomes: a population-based study. Environ Health Glob Access Sci Source 13:4; doi:10.1186/1476-069X-13-4.</w:t>
      </w:r>
    </w:p>
    <w:p w14:paraId="1048379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Hampel R, Peters A, Beelen R, Brunekreef B, Cyrys J, de Faire U, et al. 2015. Long-term effects of elemental composition of particulate matter on inflammatory blood markers in European cohorts. Environ Int 82:76–84; doi:10.1016/j.envint.2015.05.008.</w:t>
      </w:r>
    </w:p>
    <w:p w14:paraId="3D88E7B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Hao Y, Strosnider H, Balluz L, Qualters JR. 2015. Geographic Variation in the Association between Ambient Fine Particulate Matter (PM2.5) and Term Low Birth Weight in the United States. Environ Health Perspect; doi:10.1289/ehp.1408798.</w:t>
      </w:r>
    </w:p>
    <w:p w14:paraId="482DD46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Hayanga AJ, Zeliadt SB, Backhus LM. 2013. REsidential segregation and lung cancer mortality in the united states. JAMA Surg 148:37–42; doi:10.1001/jamasurgery.2013.408.</w:t>
      </w:r>
    </w:p>
    <w:p w14:paraId="213A88D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Heron M. 2016. Deaths: Leading Causes for 2014. Natl Vital Stat Rep Cent Dis Control Prev Natl Cent Health Stat Natl Vital Stat Syst 65: 1–96.</w:t>
      </w:r>
    </w:p>
    <w:p w14:paraId="5D9FE7D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Hipp JR, Lakon CM. 2010. Social disparities in health: disproportionate toxicity proximity in minority communities over a decade. Health Place 16:674–683; doi:10.1016/j.healthplace.2010.02.005.</w:t>
      </w:r>
    </w:p>
    <w:p w14:paraId="5A8DC6C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Hunter LM, White MJ, Little JS, Sutton J. 2003. Environmental Hazards, Migration, and Race. Popul Environ 25:23–39; doi:10.1023/A:1025595505532.</w:t>
      </w:r>
    </w:p>
    <w:p w14:paraId="0C0F5F1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Jackson SA, Anderson RT, Johnson NJ, Sorlie PD. 2000. The relation of residential segregation to all-cause mortality: a study in black and white. Am J Public Health 90: 615–617.</w:t>
      </w:r>
    </w:p>
    <w:p w14:paraId="44BFC1E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Jones MR, Diez-Roux AV, Hajat A, Kershaw KN, O’Neill MS, Guallar E, et al. 2014. Race/Ethnicity, Residential Segregation, and Exposure to Ambient Air Pollution: The Multi-Ethnic Study of Atherosclerosis (MESA). Am J Public Health 104:2130–2137; doi:10.2105/AJPH.2014.302135.</w:t>
      </w:r>
    </w:p>
    <w:p w14:paraId="0B7FB9B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Kelly FJ, Fussell JC. 2012. Size, source and chemical composition as determinants of toxicity attributable to ambient particulate matter. Atmos Environ 60:504–526; doi:10.1016/j.atmosenv.2012.06.039.</w:t>
      </w:r>
    </w:p>
    <w:p w14:paraId="3E04EE7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Kershaw KN, Albrecht SS. 2015. Racial/ethnic residential segregation and cardiovascular disease risk. Curr Cardiovasc Risk Rep 9.</w:t>
      </w:r>
    </w:p>
    <w:p w14:paraId="5E3DE3A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Kershaw KN, Osypuk TL, Do DP, Chavez PJD, Roux AVD. 2014. Neighborhood-Level Racial/Ethnic Residential Segregation and Incident Cardiovascular Disease: The Multi-Ethnic Study of Atherosclerosis. Circulation CIRCULATIONAHA.114.011345; doi:10.1161/CIRCULATIONAHA.114.011345.</w:t>
      </w:r>
    </w:p>
    <w:p w14:paraId="0754AC36"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Lelieveld J, Evans JS, Fnais M, Giannadaki D, Pozzer A. 2015. The contribution of outdoor air pollution sources to premature mortality on a global scale. Nature 525:367–371; doi:10.1038/nature15371.</w:t>
      </w:r>
    </w:p>
    <w:p w14:paraId="565F3BD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Lopez R. 2002. Segregation and black/white differences in exposure to air toxics in 1990. Environ Health Perspect 110: 289–295.</w:t>
      </w:r>
    </w:p>
    <w:p w14:paraId="1E8808C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Malm WC, Schichtel BA, Pitchford ML. 2011. Uncertainties in PM2.5 gravimetric and speciation measurements and what we can learn from them. J Air Waste Manag Assoc 1995 61: 1131–1149.</w:t>
      </w:r>
    </w:p>
    <w:p w14:paraId="63C60B1E"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Martin JA, Hamilton BE, Osterman MJK, Driscoll AK, Mathews TJ. 2017. Births: Final Data for 2015. Natl Vital Stat Rep Cent Dis Control Prev Natl Cent Health Stat Natl Vital Stat Syst 66.</w:t>
      </w:r>
    </w:p>
    <w:p w14:paraId="3FA560A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Massey DS, Denton NA. 1988. The Dimensions of Residential Segregation. Soc Forces 67:281–315; doi:10.1093/sf/67.2.281.</w:t>
      </w:r>
    </w:p>
    <w:p w14:paraId="4679CFF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Mehra R, Boyd LM, Ickovics JR. 2017. Racial residential segregation and adverse birth outcomes: A systematic review and meta-analysis. Soc Sci Med 191:237–250; doi:10.1016/j.socscimed.2017.09.018.</w:t>
      </w:r>
    </w:p>
    <w:p w14:paraId="4A2B3242"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Mikati I, Benson AF, Luben TJ, Sacks JD, Richmond-Bryant J. 2018. Disparities in Distribution of Particulate Matter Emission Sources by Race and Poverty Status. Am J Public Health 108:480–485; doi:10.2105/AJPH.2017.304297.</w:t>
      </w:r>
    </w:p>
    <w:p w14:paraId="7633E26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Miranda ML, Edwards SE, Keating MH, Paul CJ. 2011. Making the Environmental Justice Grade: The Relative Burden of Air Pollution Exposure in the United States. Int J Environ Res Public Health 8:1755–1771; doi:10.3390/ijerph8061755.</w:t>
      </w:r>
    </w:p>
    <w:p w14:paraId="3F8217E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Mohai P, Lantz PM, Morenoff J, House JS, Mero RP. 2009a. Racial and Socioeconomic Disparities in Residential Proximity to Polluting Industrial Facilities: Evidence From the Americans’ Changing Lives Study. Am J Public Health 99:S649–S656; doi:10.2105/AJPH.2007.131383.</w:t>
      </w:r>
    </w:p>
    <w:p w14:paraId="7CDC14F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Mohai P, Pellow D, Roberts JT. 2009b. Environmental Justice. Annu Rev Environ Resour 34:405–430; doi:10.1146/annurev-environ-082508-094348.</w:t>
      </w:r>
    </w:p>
    <w:p w14:paraId="221E3BD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Mohai P, Saha R. 2015. Which came first, people or pollution? A review of theory and evidence from longitudinal environmental justice studies. Environ Res Lett 10:125011; doi:10.1088/1748-9326/10/12/125011.</w:t>
      </w:r>
    </w:p>
    <w:p w14:paraId="7CE9E8B0" w14:textId="6130C1EE"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Morello-Frosch R, Jesdale BM. 2006. Separate and Unequal: Residential Segregation and Estimated Cancer Risks Associated with Ambient Air Toxics in </w:t>
      </w:r>
      <w:r w:rsidR="006D0FD5">
        <w:rPr>
          <w:rFonts w:ascii="Times New Roman" w:hAnsi="Times New Roman" w:cs="Times New Roman"/>
          <w:lang w:val="en-US"/>
        </w:rPr>
        <w:t>US</w:t>
      </w:r>
      <w:r w:rsidRPr="00307A02">
        <w:rPr>
          <w:rFonts w:ascii="Times New Roman" w:hAnsi="Times New Roman" w:cs="Times New Roman"/>
          <w:lang w:val="en-US"/>
        </w:rPr>
        <w:t xml:space="preserve"> Metropolitan Areas. Environ Health Perspect 114: 386–393.</w:t>
      </w:r>
    </w:p>
    <w:p w14:paraId="34909C6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Ostro B, Hu J, Goldberg D, Reynolds P, Hertz A, Bernstein L, et al. 2015. Associations of Mortality with Long-Term Exposures to Fine and Ultrafine Particles, Species and Sources: Results from the California Teachers Study Cohort. Environ Health Perspect; doi:10.1289/ehp.1408565.</w:t>
      </w:r>
    </w:p>
    <w:p w14:paraId="2ACBF33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Osypuk TL, Acevedo-Garcia D. 2008. Are racial disparities in preterm birth larger in hypersegregated areas? Am J Epidemiol 167:1295–1304; doi:10.1093/aje/kwn043.</w:t>
      </w:r>
    </w:p>
    <w:p w14:paraId="6D3DF40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Parker JD, Woodruff TJ, Basu R, Schoendorf KC. 2005. Air pollution and birth weight among term infants in California. Pediatrics 115:121–128; doi:10.1542/peds.2004-0889.</w:t>
      </w:r>
    </w:p>
    <w:p w14:paraId="7CC8483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Peng RD, Bell ML, Geyh AS, McDermott A, Zeger SL, Samet JM, et al. 2009. Emergency Admissions for Cardiovascular and Respiratory Diseases and the Chemical Composition of Fine Particle Air Pollution. Environ Health Perspect 117:957–963; doi:10.1289/ehp.0800185.</w:t>
      </w:r>
    </w:p>
    <w:p w14:paraId="2A889BA3"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Perlin SA, Wong D, Sexton K. 2001. Residential proximity to industrial sources of air pollution: interrelationships among race, poverty, and age. J Air Waste Manag Assoc 1995 51: 406–421.</w:t>
      </w:r>
    </w:p>
    <w:p w14:paraId="55C794B4"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lang w:val="en-US"/>
        </w:rPr>
        <w:t xml:space="preserve">Pope CA, Dockery DW. 2006. Health effects of fine particulate air pollution: lines that connect. </w:t>
      </w:r>
      <w:r w:rsidRPr="00307A02">
        <w:rPr>
          <w:rFonts w:ascii="Times New Roman" w:hAnsi="Times New Roman" w:cs="Times New Roman"/>
        </w:rPr>
        <w:t>J Air Waste Manag Assoc 1995 56: 709–742.</w:t>
      </w:r>
    </w:p>
    <w:p w14:paraId="64A0AB1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rPr>
        <w:t xml:space="preserve">Raaschou-Nielsen O, Beelen R, Wang M, Hoek G, Andersen ZJ, Hoffmann B, et al. 2016. </w:t>
      </w:r>
      <w:r w:rsidRPr="00307A02">
        <w:rPr>
          <w:rFonts w:ascii="Times New Roman" w:hAnsi="Times New Roman" w:cs="Times New Roman"/>
          <w:lang w:val="en-US"/>
        </w:rPr>
        <w:t>Particulate matter air pollution components and risk for lung cancer. Environ Int 87:66–73; doi:10.1016/j.envint.2015.11.007.</w:t>
      </w:r>
    </w:p>
    <w:p w14:paraId="02D041D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Sexton K, Gong H, Bailar JC, Ford JG, Gold DR, Lambert WE, et al. 1993. Air pollution health risks: do class and race matter? Toxicol Ind Health 9: 843–878.</w:t>
      </w:r>
    </w:p>
    <w:p w14:paraId="0A7A763A" w14:textId="16932BA0"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s-MX"/>
        </w:rPr>
        <w:t xml:space="preserve">Solomon PA, Crumpler D, Flanagan JB, Jayanty RKM, Rickman EE, McDade CE. 2014. </w:t>
      </w:r>
      <w:r w:rsidR="006D0FD5">
        <w:rPr>
          <w:rFonts w:ascii="Times New Roman" w:hAnsi="Times New Roman" w:cs="Times New Roman"/>
          <w:lang w:val="en-US"/>
        </w:rPr>
        <w:t>US</w:t>
      </w:r>
      <w:r w:rsidRPr="00307A02">
        <w:rPr>
          <w:rFonts w:ascii="Times New Roman" w:hAnsi="Times New Roman" w:cs="Times New Roman"/>
          <w:lang w:val="en-US"/>
        </w:rPr>
        <w:t xml:space="preserve"> National PM2.5 Chemical Speciation Monitoring Networks—CSN and IMPROVE: Description of networks. J Air Waste Manag Assoc 64:1410–1438; doi:10.1080/10962247.2014.956904.</w:t>
      </w:r>
    </w:p>
    <w:p w14:paraId="17164D7E"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Spielman SE, Folch DC. 2015. Reducing Uncertainty in the American Community Survey through Data-Driven Regionalization. PLOS ONE 10:e0115626; doi:10.1371/journal.pone.0115626.</w:t>
      </w:r>
    </w:p>
    <w:p w14:paraId="4DA78AA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Stanek LW, Sacks JD, Dutton SJ, Dubois J-JB. 2011. Attributing health effects to apportioned components and sources of particulate matter: An evaluation of collective results. Atmos Environ 45:5655–5663; doi:10.1016/j.atmosenv.2011.07.023.</w:t>
      </w:r>
    </w:p>
    <w:p w14:paraId="2F7EA92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Sun J, Fu JS, Huang K, Gao Y. 2015. Estimation of future PM2.5- and ozone-related mortality over the continental United States in a changing climate: An application of high-resolution dynamical downscaling technique. J Air Waste Manag Assoc 65:611–623; doi:10.1080/10962247.2015.1033068.</w:t>
      </w:r>
    </w:p>
    <w:p w14:paraId="292C312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Sun X, Luo X, Zhao C, Zhang B, Tao J, Yang Z, et al. 2016. The associations between birth weight and exposure to fine particulate matter (PM2.5) and its chemical constituents during pregnancy: A meta-analysis. Environ Pollut 211:38–47; doi:10.1016/j.envpol.2015.12.022.</w:t>
      </w:r>
    </w:p>
    <w:p w14:paraId="1F66AC4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Tessum CW, Apte JS, Goodkind AL, Muller NZ, Mullins KA, Paolella DA, et al. 2019. Inequity in consumption of goods and services adds to racial–ethnic disparities in air pollution exposure. Proc Natl Acad Sci 116:6001–6006; doi:10.1073/pnas.1818859116.</w:t>
      </w:r>
    </w:p>
    <w:p w14:paraId="40EB7349" w14:textId="08642506"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Thurston GD, Burnett RT, Turner MC, Shi Y, Krewski D, Lall R, et al. 2015. Ischemic Heart Disease Mortality and Long-Term Exposure to Source-Related Components of </w:t>
      </w:r>
      <w:r w:rsidR="006D0FD5">
        <w:rPr>
          <w:rFonts w:ascii="Times New Roman" w:hAnsi="Times New Roman" w:cs="Times New Roman"/>
          <w:lang w:val="en-US"/>
        </w:rPr>
        <w:t>US</w:t>
      </w:r>
      <w:r w:rsidRPr="00307A02">
        <w:rPr>
          <w:rFonts w:ascii="Times New Roman" w:hAnsi="Times New Roman" w:cs="Times New Roman"/>
          <w:lang w:val="en-US"/>
        </w:rPr>
        <w:t xml:space="preserve"> Fine Particle Air Pollution. Environ Health Perspect 124; doi:10.1289/ehp.1509777.</w:t>
      </w:r>
    </w:p>
    <w:p w14:paraId="23B29568" w14:textId="488CBE5C"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2011. 2010 Census of Population and Housing. Available: https://www.census.gov/2010census/data/ [accessed 18 August 2017].</w:t>
      </w:r>
    </w:p>
    <w:p w14:paraId="151A811D" w14:textId="417E38E1"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2015. 2010 Geographic Terms and Concepts - Census Divisions and Census Regions. Available: https://www.census.gov/geo/reference/gtc/gtc_census_divreg.html [accessed 31 October 2017].</w:t>
      </w:r>
    </w:p>
    <w:p w14:paraId="34D7F034" w14:textId="4B6AD7C4"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2014. American Community Survey 2008-2012 Five-Year Estimates. Available: https://www.census.gov/geo/maps-data/data/tiger-data.html [accessed 21 August 2017].</w:t>
      </w:r>
    </w:p>
    <w:p w14:paraId="5B26DD58" w14:textId="5D1DE198"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Department of Agriculture. 2013. 2010 Rural-Urban Commuting Area Codes. Available: https://www.ers.usda.gov/data-products/rural-urban-commuting-area-codes/ [accessed 20 September 2017].</w:t>
      </w:r>
    </w:p>
    <w:p w14:paraId="7D066CBB" w14:textId="78C78E3E"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EPA. 2016. AirData Homepage. Available: https://www3.epa.gov/airdata/ [accessed 6 August 2017].</w:t>
      </w:r>
    </w:p>
    <w:p w14:paraId="7A86341F" w14:textId="5219BD60"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EPA. 2009. </w:t>
      </w:r>
      <w:r w:rsidR="00307A02" w:rsidRPr="00307A02">
        <w:rPr>
          <w:rFonts w:ascii="Times New Roman" w:hAnsi="Times New Roman" w:cs="Times New Roman"/>
          <w:i/>
          <w:iCs/>
          <w:lang w:val="en-US"/>
        </w:rPr>
        <w:t>Integrated Science Assessment (ISA) for Particulate Matter (Final Report). EPA/600/R-08/139F.</w:t>
      </w:r>
      <w:r w:rsidR="00307A02" w:rsidRPr="00307A02">
        <w:rPr>
          <w:rFonts w:ascii="Times New Roman" w:hAnsi="Times New Roman" w:cs="Times New Roman"/>
          <w:lang w:val="en-US"/>
        </w:rPr>
        <w:t xml:space="preserve"> </w:t>
      </w:r>
      <w:r>
        <w:rPr>
          <w:rFonts w:ascii="Times New Roman" w:hAnsi="Times New Roman" w:cs="Times New Roman"/>
          <w:lang w:val="en-US"/>
        </w:rPr>
        <w:t>US</w:t>
      </w:r>
      <w:r w:rsidR="00307A02" w:rsidRPr="00307A02">
        <w:rPr>
          <w:rFonts w:ascii="Times New Roman" w:hAnsi="Times New Roman" w:cs="Times New Roman"/>
          <w:lang w:val="en-US"/>
        </w:rPr>
        <w:t xml:space="preserve"> </w:t>
      </w:r>
      <w:proofErr w:type="spellStart"/>
      <w:proofErr w:type="gramStart"/>
      <w:r w:rsidR="00307A02" w:rsidRPr="00307A02">
        <w:rPr>
          <w:rFonts w:ascii="Times New Roman" w:hAnsi="Times New Roman" w:cs="Times New Roman"/>
          <w:lang w:val="en-US"/>
        </w:rPr>
        <w:t>EPA:Washington</w:t>
      </w:r>
      <w:proofErr w:type="spellEnd"/>
      <w:proofErr w:type="gramEnd"/>
      <w:r w:rsidR="00307A02" w:rsidRPr="00307A02">
        <w:rPr>
          <w:rFonts w:ascii="Times New Roman" w:hAnsi="Times New Roman" w:cs="Times New Roman"/>
          <w:lang w:val="en-US"/>
        </w:rPr>
        <w:t>, DC.</w:t>
      </w:r>
    </w:p>
    <w:p w14:paraId="098A8293"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Wang Y, Shi L, Lee M, Liu P, Di Q, Zanobetti A, et al. 2017. Long-term Exposure to PM2.5 and Mortality Among Older Adults in the Southeastern US: Epidemiology 28:207–214; doi:10.1097/EDE.0000000000000614.</w:t>
      </w:r>
    </w:p>
    <w:p w14:paraId="21BFF7E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Williams DR, Collins C. 2001. Racial residential segregation: a fundamental cause of racial disparities in health. Public Health Rep Wash DC 1974 116: 404–416.</w:t>
      </w:r>
    </w:p>
    <w:p w14:paraId="5C95283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Wolf K, Stafoggia M, Cesaroni G, Andersen ZJ, Beelen R, Galassi C, et al. 2015. Long-term Exposure to Particulate Matter Constituents and the Incidence of Coronary Events in 11 European Cohorts. Epidemiology 26:565–574; doi:10.1097/EDE.0000000000000300.</w:t>
      </w:r>
    </w:p>
    <w:p w14:paraId="61357A2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Xu J, Murphy SL, Kochanek KD, Arias E. 2016. Mortality in the United States, 2015. Natl Cent Health Stat Data Brief 1–8.</w:t>
      </w:r>
    </w:p>
    <w:p w14:paraId="5B9C541B"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lang w:val="en-US"/>
        </w:rPr>
        <w:t xml:space="preserve">Zheng M, Cass GR, Schauer JJ, Edgerton ES. 2002. Source Apportionment of PM2.5 in the Southeastern United States Using Solvent-Extractable Organic Compounds as Tracers. </w:t>
      </w:r>
      <w:r w:rsidRPr="00307A02">
        <w:rPr>
          <w:rFonts w:ascii="Times New Roman" w:hAnsi="Times New Roman" w:cs="Times New Roman"/>
        </w:rPr>
        <w:t>Environ Sci Technol 36:2361–2371; doi:10.1021/es011275x.</w:t>
      </w:r>
    </w:p>
    <w:p w14:paraId="23CB59DC" w14:textId="17536827" w:rsidR="00B850A6" w:rsidRPr="003558F1" w:rsidRDefault="00A97C10" w:rsidP="00731091">
      <w:pPr>
        <w:spacing w:line="480" w:lineRule="auto"/>
        <w:rPr>
          <w:rFonts w:ascii="Times New Roman" w:hAnsi="Times New Roman" w:cs="Times New Roman"/>
          <w:lang w:val="en-US"/>
        </w:rPr>
      </w:pPr>
      <w:r w:rsidRPr="00307A02">
        <w:rPr>
          <w:rFonts w:ascii="Times New Roman" w:hAnsi="Times New Roman" w:cs="Times New Roman"/>
          <w:lang w:val="en-US"/>
        </w:rPr>
        <w:fldChar w:fldCharType="end"/>
      </w:r>
    </w:p>
    <w:p w14:paraId="14A455E9" w14:textId="77777777" w:rsidR="00B850A6" w:rsidRPr="003558F1" w:rsidRDefault="00B850A6">
      <w:pPr>
        <w:rPr>
          <w:rFonts w:ascii="Times New Roman" w:hAnsi="Times New Roman" w:cs="Times New Roman"/>
          <w:lang w:val="en-US"/>
        </w:rPr>
      </w:pPr>
      <w:r w:rsidRPr="003558F1">
        <w:rPr>
          <w:rFonts w:ascii="Times New Roman" w:hAnsi="Times New Roman" w:cs="Times New Roman"/>
          <w:lang w:val="en-US"/>
        </w:rPr>
        <w:br w:type="page"/>
      </w:r>
    </w:p>
    <w:p w14:paraId="24CAEE87" w14:textId="15421193" w:rsidR="00744849" w:rsidRDefault="00744849"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w:t>
      </w:r>
    </w:p>
    <w:p w14:paraId="05766B86" w14:textId="54CE448E" w:rsidR="006D3219" w:rsidRPr="004549A1" w:rsidRDefault="006D3219" w:rsidP="006D3219">
      <w:pPr>
        <w:rPr>
          <w:rFonts w:ascii="Times New Roman" w:hAnsi="Times New Roman" w:cs="Times New Roman"/>
          <w:b/>
          <w:sz w:val="24"/>
          <w:szCs w:val="24"/>
          <w:lang w:val="en-US"/>
        </w:rPr>
      </w:pPr>
      <w:commentRangeStart w:id="23"/>
      <w:r w:rsidRPr="004549A1">
        <w:rPr>
          <w:rFonts w:ascii="Times New Roman" w:hAnsi="Times New Roman" w:cs="Times New Roman"/>
          <w:b/>
          <w:sz w:val="24"/>
          <w:szCs w:val="24"/>
          <w:lang w:val="en-US"/>
        </w:rPr>
        <w:t xml:space="preserve">Table 1.  </w:t>
      </w:r>
      <w:r>
        <w:rPr>
          <w:rFonts w:ascii="Times New Roman" w:hAnsi="Times New Roman" w:cs="Times New Roman"/>
          <w:b/>
          <w:sz w:val="24"/>
          <w:szCs w:val="24"/>
          <w:lang w:val="en-US"/>
        </w:rPr>
        <w:t>M</w:t>
      </w:r>
      <w:r w:rsidRPr="004549A1">
        <w:rPr>
          <w:rFonts w:ascii="Times New Roman" w:hAnsi="Times New Roman" w:cs="Times New Roman"/>
          <w:b/>
          <w:sz w:val="24"/>
          <w:szCs w:val="24"/>
          <w:lang w:val="en-US"/>
        </w:rPr>
        <w:t>onitor</w:t>
      </w:r>
      <w:r w:rsidR="00A06627">
        <w:rPr>
          <w:rFonts w:ascii="Times New Roman" w:hAnsi="Times New Roman" w:cs="Times New Roman"/>
          <w:b/>
          <w:sz w:val="24"/>
          <w:szCs w:val="24"/>
          <w:lang w:val="en-US"/>
        </w:rPr>
        <w:t>, tract, observation, and non-detection counts by PM</w:t>
      </w:r>
      <w:r w:rsidR="00A06627" w:rsidRPr="00A06627">
        <w:rPr>
          <w:rFonts w:ascii="Times New Roman" w:hAnsi="Times New Roman" w:cs="Times New Roman"/>
          <w:b/>
          <w:sz w:val="24"/>
          <w:szCs w:val="24"/>
          <w:vertAlign w:val="subscript"/>
          <w:lang w:val="en-US"/>
        </w:rPr>
        <w:t>2.5</w:t>
      </w:r>
      <w:r w:rsidR="008A0609">
        <w:rPr>
          <w:rFonts w:ascii="Times New Roman" w:hAnsi="Times New Roman" w:cs="Times New Roman"/>
          <w:b/>
          <w:sz w:val="24"/>
          <w:szCs w:val="24"/>
          <w:lang w:val="en-US"/>
        </w:rPr>
        <w:t xml:space="preserve"> </w:t>
      </w:r>
      <w:r w:rsidR="00A06627">
        <w:rPr>
          <w:rFonts w:ascii="Times New Roman" w:hAnsi="Times New Roman" w:cs="Times New Roman"/>
          <w:b/>
          <w:sz w:val="24"/>
          <w:szCs w:val="24"/>
          <w:lang w:val="en-US"/>
        </w:rPr>
        <w:t xml:space="preserve">species for </w:t>
      </w:r>
      <w:r w:rsidR="008A0609">
        <w:rPr>
          <w:rFonts w:ascii="Times New Roman" w:hAnsi="Times New Roman" w:cs="Times New Roman"/>
          <w:b/>
          <w:sz w:val="24"/>
          <w:szCs w:val="24"/>
          <w:lang w:val="en-US"/>
        </w:rPr>
        <w:t>urban tracts with populations &gt; 100</w:t>
      </w:r>
      <w:r w:rsidR="00643F3A">
        <w:rPr>
          <w:rFonts w:ascii="Times New Roman" w:hAnsi="Times New Roman" w:cs="Times New Roman"/>
          <w:b/>
          <w:sz w:val="24"/>
          <w:szCs w:val="24"/>
          <w:lang w:val="en-US"/>
        </w:rPr>
        <w:t xml:space="preserve"> and at least 3 years and 180 days of observations per </w:t>
      </w:r>
      <w:r w:rsidR="00A06627">
        <w:rPr>
          <w:rFonts w:ascii="Times New Roman" w:hAnsi="Times New Roman" w:cs="Times New Roman"/>
          <w:b/>
          <w:sz w:val="24"/>
          <w:szCs w:val="24"/>
          <w:lang w:val="en-US"/>
        </w:rPr>
        <w:t>component.</w:t>
      </w:r>
      <w:commentRangeEnd w:id="23"/>
      <w:r w:rsidR="003013D8">
        <w:rPr>
          <w:rStyle w:val="CommentReference"/>
        </w:rPr>
        <w:commentReference w:id="23"/>
      </w:r>
    </w:p>
    <w:tbl>
      <w:tblPr>
        <w:tblStyle w:val="TableGrid"/>
        <w:tblW w:w="8545" w:type="dxa"/>
        <w:jc w:val="center"/>
        <w:tblLook w:val="04A0" w:firstRow="1" w:lastRow="0" w:firstColumn="1" w:lastColumn="0" w:noHBand="0" w:noVBand="1"/>
      </w:tblPr>
      <w:tblGrid>
        <w:gridCol w:w="714"/>
        <w:gridCol w:w="1385"/>
        <w:gridCol w:w="1189"/>
        <w:gridCol w:w="931"/>
        <w:gridCol w:w="1446"/>
        <w:gridCol w:w="1440"/>
        <w:gridCol w:w="1440"/>
      </w:tblGrid>
      <w:tr w:rsidR="00981273" w:rsidRPr="008719DF" w14:paraId="1EE432DE" w14:textId="58F221FA" w:rsidTr="004F4AD0">
        <w:trPr>
          <w:trHeight w:val="375"/>
          <w:jc w:val="center"/>
        </w:trPr>
        <w:tc>
          <w:tcPr>
            <w:tcW w:w="714" w:type="dxa"/>
            <w:noWrap/>
            <w:vAlign w:val="center"/>
            <w:hideMark/>
          </w:tcPr>
          <w:p w14:paraId="2B07976C" w14:textId="77777777" w:rsidR="00981273" w:rsidRPr="008719DF" w:rsidRDefault="00981273" w:rsidP="006E0A06">
            <w:pPr>
              <w:jc w:val="center"/>
              <w:rPr>
                <w:rFonts w:ascii="Times New Roman" w:hAnsi="Times New Roman" w:cs="Times New Roman"/>
                <w:b/>
                <w:bCs/>
                <w:sz w:val="16"/>
                <w:szCs w:val="16"/>
                <w:lang w:val="en-US"/>
              </w:rPr>
            </w:pPr>
            <w:r w:rsidRPr="008719DF">
              <w:rPr>
                <w:rFonts w:ascii="Times New Roman" w:hAnsi="Times New Roman" w:cs="Times New Roman"/>
                <w:b/>
                <w:bCs/>
                <w:sz w:val="16"/>
                <w:szCs w:val="16"/>
                <w:lang w:val="en-US"/>
              </w:rPr>
              <w:t>Species</w:t>
            </w:r>
          </w:p>
        </w:tc>
        <w:tc>
          <w:tcPr>
            <w:tcW w:w="1385" w:type="dxa"/>
            <w:vAlign w:val="center"/>
          </w:tcPr>
          <w:p w14:paraId="5D48D65C" w14:textId="767B2638"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 xml:space="preserve">Parameter </w:t>
            </w:r>
            <w:r w:rsidR="005D1609">
              <w:rPr>
                <w:rFonts w:ascii="Times New Roman" w:hAnsi="Times New Roman" w:cs="Times New Roman"/>
                <w:b/>
                <w:sz w:val="16"/>
                <w:szCs w:val="16"/>
                <w:lang w:val="en-US"/>
              </w:rPr>
              <w:t>c</w:t>
            </w:r>
            <w:r w:rsidRPr="008719DF">
              <w:rPr>
                <w:rFonts w:ascii="Times New Roman" w:hAnsi="Times New Roman" w:cs="Times New Roman"/>
                <w:b/>
                <w:sz w:val="16"/>
                <w:szCs w:val="16"/>
                <w:lang w:val="en-US"/>
              </w:rPr>
              <w:t>ode</w:t>
            </w:r>
          </w:p>
        </w:tc>
        <w:tc>
          <w:tcPr>
            <w:tcW w:w="1189" w:type="dxa"/>
            <w:vAlign w:val="center"/>
          </w:tcPr>
          <w:p w14:paraId="49F096FB" w14:textId="0F41E340" w:rsidR="00981273" w:rsidRPr="008719DF" w:rsidRDefault="000F0D3B" w:rsidP="006E0A06">
            <w:pPr>
              <w:jc w:val="center"/>
              <w:rPr>
                <w:rFonts w:ascii="Times New Roman" w:hAnsi="Times New Roman" w:cs="Times New Roman"/>
                <w:b/>
                <w:sz w:val="16"/>
                <w:szCs w:val="16"/>
                <w:lang w:val="en-US"/>
              </w:rPr>
            </w:pPr>
            <w:r>
              <w:rPr>
                <w:rFonts w:ascii="Times New Roman" w:hAnsi="Times New Roman" w:cs="Times New Roman"/>
                <w:b/>
                <w:sz w:val="16"/>
                <w:szCs w:val="16"/>
                <w:lang w:val="en-US"/>
              </w:rPr>
              <w:t>M</w:t>
            </w:r>
            <w:r w:rsidR="00981273" w:rsidRPr="008719DF">
              <w:rPr>
                <w:rFonts w:ascii="Times New Roman" w:hAnsi="Times New Roman" w:cs="Times New Roman"/>
                <w:b/>
                <w:sz w:val="16"/>
                <w:szCs w:val="16"/>
                <w:lang w:val="en-US"/>
              </w:rPr>
              <w:t>onitors</w:t>
            </w:r>
            <w:r>
              <w:rPr>
                <w:rFonts w:ascii="Times New Roman" w:hAnsi="Times New Roman" w:cs="Times New Roman"/>
                <w:b/>
                <w:sz w:val="16"/>
                <w:szCs w:val="16"/>
                <w:lang w:val="en-US"/>
              </w:rPr>
              <w:t xml:space="preserve"> (</w:t>
            </w:r>
            <w:r w:rsidRPr="000F0D3B">
              <w:rPr>
                <w:rFonts w:ascii="Times New Roman" w:hAnsi="Times New Roman" w:cs="Times New Roman"/>
                <w:b/>
                <w:i/>
                <w:sz w:val="16"/>
                <w:szCs w:val="16"/>
                <w:lang w:val="en-US"/>
              </w:rPr>
              <w:t>n</w:t>
            </w:r>
            <w:r>
              <w:rPr>
                <w:rFonts w:ascii="Times New Roman" w:hAnsi="Times New Roman" w:cs="Times New Roman"/>
                <w:b/>
                <w:sz w:val="16"/>
                <w:szCs w:val="16"/>
                <w:lang w:val="en-US"/>
              </w:rPr>
              <w:t>)</w:t>
            </w:r>
          </w:p>
        </w:tc>
        <w:tc>
          <w:tcPr>
            <w:tcW w:w="931" w:type="dxa"/>
            <w:vAlign w:val="center"/>
          </w:tcPr>
          <w:p w14:paraId="4AE0DD78" w14:textId="1DA9A56E" w:rsidR="00981273" w:rsidRPr="008719DF" w:rsidRDefault="000F0D3B" w:rsidP="006E0A06">
            <w:pPr>
              <w:jc w:val="center"/>
              <w:rPr>
                <w:rFonts w:ascii="Times New Roman" w:hAnsi="Times New Roman" w:cs="Times New Roman"/>
                <w:b/>
                <w:sz w:val="16"/>
                <w:szCs w:val="16"/>
                <w:lang w:val="en-US"/>
              </w:rPr>
            </w:pPr>
            <w:r>
              <w:rPr>
                <w:rFonts w:ascii="Times New Roman" w:hAnsi="Times New Roman" w:cs="Times New Roman"/>
                <w:b/>
                <w:sz w:val="16"/>
                <w:szCs w:val="16"/>
                <w:lang w:val="en-US"/>
              </w:rPr>
              <w:t>Tracts (</w:t>
            </w:r>
            <w:r w:rsidRPr="000F0D3B">
              <w:rPr>
                <w:rFonts w:ascii="Times New Roman" w:hAnsi="Times New Roman" w:cs="Times New Roman"/>
                <w:b/>
                <w:i/>
                <w:sz w:val="16"/>
                <w:szCs w:val="16"/>
                <w:lang w:val="en-US"/>
              </w:rPr>
              <w:t>n</w:t>
            </w:r>
            <w:r>
              <w:rPr>
                <w:rFonts w:ascii="Times New Roman" w:hAnsi="Times New Roman" w:cs="Times New Roman"/>
                <w:b/>
                <w:sz w:val="16"/>
                <w:szCs w:val="16"/>
                <w:lang w:val="en-US"/>
              </w:rPr>
              <w:t>)</w:t>
            </w:r>
          </w:p>
        </w:tc>
        <w:tc>
          <w:tcPr>
            <w:tcW w:w="1446" w:type="dxa"/>
            <w:vAlign w:val="center"/>
          </w:tcPr>
          <w:p w14:paraId="15120259" w14:textId="7FFFE107"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Observations</w:t>
            </w:r>
            <w:r w:rsidR="000F0D3B">
              <w:rPr>
                <w:rFonts w:ascii="Times New Roman" w:hAnsi="Times New Roman" w:cs="Times New Roman"/>
                <w:b/>
                <w:sz w:val="16"/>
                <w:szCs w:val="16"/>
                <w:lang w:val="en-US"/>
              </w:rPr>
              <w:t xml:space="preserve"> </w:t>
            </w:r>
            <w:r w:rsidR="009B5F0A" w:rsidRPr="009B5F0A">
              <w:rPr>
                <w:rFonts w:ascii="Times New Roman" w:hAnsi="Times New Roman" w:cs="Times New Roman"/>
                <w:b/>
                <w:sz w:val="16"/>
                <w:szCs w:val="16"/>
                <w:lang w:val="en-US"/>
              </w:rPr>
              <w:t>(</w:t>
            </w:r>
            <w:r w:rsidRPr="009B5F0A">
              <w:rPr>
                <w:rFonts w:ascii="Times New Roman" w:hAnsi="Times New Roman" w:cs="Times New Roman"/>
                <w:b/>
                <w:i/>
                <w:sz w:val="16"/>
                <w:szCs w:val="16"/>
                <w:lang w:val="en-US"/>
              </w:rPr>
              <w:t>n</w:t>
            </w:r>
            <w:r w:rsidR="009B5F0A" w:rsidRPr="009B5F0A">
              <w:rPr>
                <w:rFonts w:ascii="Times New Roman" w:hAnsi="Times New Roman" w:cs="Times New Roman"/>
                <w:b/>
                <w:sz w:val="16"/>
                <w:szCs w:val="16"/>
                <w:lang w:val="en-US"/>
              </w:rPr>
              <w:t>)</w:t>
            </w:r>
          </w:p>
        </w:tc>
        <w:tc>
          <w:tcPr>
            <w:tcW w:w="1440" w:type="dxa"/>
            <w:vAlign w:val="center"/>
          </w:tcPr>
          <w:p w14:paraId="1D60A945" w14:textId="0B592699"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Non</w:t>
            </w:r>
            <w:r w:rsidR="005D1609">
              <w:rPr>
                <w:rFonts w:ascii="Times New Roman" w:hAnsi="Times New Roman" w:cs="Times New Roman"/>
                <w:b/>
                <w:sz w:val="16"/>
                <w:szCs w:val="16"/>
                <w:lang w:val="en-US"/>
              </w:rPr>
              <w:t>-</w:t>
            </w:r>
            <w:r w:rsidRPr="008719DF">
              <w:rPr>
                <w:rFonts w:ascii="Times New Roman" w:hAnsi="Times New Roman" w:cs="Times New Roman"/>
                <w:b/>
                <w:sz w:val="16"/>
                <w:szCs w:val="16"/>
                <w:lang w:val="en-US"/>
              </w:rPr>
              <w:t xml:space="preserve">detects </w:t>
            </w:r>
            <w:r w:rsidRPr="008719DF">
              <w:rPr>
                <w:rFonts w:ascii="Times New Roman" w:hAnsi="Times New Roman" w:cs="Times New Roman"/>
                <w:b/>
                <w:i/>
                <w:sz w:val="16"/>
                <w:szCs w:val="16"/>
                <w:lang w:val="en-US"/>
              </w:rPr>
              <w:t>(n</w:t>
            </w:r>
            <w:r w:rsidRPr="008719DF">
              <w:rPr>
                <w:rFonts w:ascii="Times New Roman" w:hAnsi="Times New Roman" w:cs="Times New Roman"/>
                <w:b/>
                <w:sz w:val="16"/>
                <w:szCs w:val="16"/>
                <w:lang w:val="en-US"/>
              </w:rPr>
              <w:t>)</w:t>
            </w:r>
          </w:p>
        </w:tc>
        <w:tc>
          <w:tcPr>
            <w:tcW w:w="1440" w:type="dxa"/>
            <w:vAlign w:val="center"/>
          </w:tcPr>
          <w:p w14:paraId="5C0E5D3E" w14:textId="762A6D2E"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Non</w:t>
            </w:r>
            <w:r w:rsidR="005D1609">
              <w:rPr>
                <w:rFonts w:ascii="Times New Roman" w:hAnsi="Times New Roman" w:cs="Times New Roman"/>
                <w:b/>
                <w:sz w:val="16"/>
                <w:szCs w:val="16"/>
                <w:lang w:val="en-US"/>
              </w:rPr>
              <w:t>-</w:t>
            </w:r>
            <w:r w:rsidRPr="008719DF">
              <w:rPr>
                <w:rFonts w:ascii="Times New Roman" w:hAnsi="Times New Roman" w:cs="Times New Roman"/>
                <w:b/>
                <w:sz w:val="16"/>
                <w:szCs w:val="16"/>
                <w:lang w:val="en-US"/>
              </w:rPr>
              <w:t>detects (%)</w:t>
            </w:r>
          </w:p>
        </w:tc>
      </w:tr>
      <w:tr w:rsidR="00981273" w:rsidRPr="008719DF" w14:paraId="689E5725" w14:textId="6B6CF213" w:rsidTr="004F4AD0">
        <w:trPr>
          <w:trHeight w:val="300"/>
          <w:jc w:val="center"/>
        </w:trPr>
        <w:tc>
          <w:tcPr>
            <w:tcW w:w="714" w:type="dxa"/>
            <w:noWrap/>
            <w:vAlign w:val="center"/>
            <w:hideMark/>
          </w:tcPr>
          <w:p w14:paraId="7612CEF3" w14:textId="77777777"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PM</w:t>
            </w:r>
            <w:r w:rsidRPr="008719DF">
              <w:rPr>
                <w:rFonts w:ascii="Times New Roman" w:hAnsi="Times New Roman" w:cs="Times New Roman"/>
                <w:b/>
                <w:sz w:val="16"/>
                <w:szCs w:val="16"/>
                <w:vertAlign w:val="subscript"/>
                <w:lang w:val="en-US"/>
              </w:rPr>
              <w:t>2.5</w:t>
            </w:r>
          </w:p>
        </w:tc>
        <w:tc>
          <w:tcPr>
            <w:tcW w:w="1385" w:type="dxa"/>
            <w:vAlign w:val="center"/>
          </w:tcPr>
          <w:p w14:paraId="4A9A3F81" w14:textId="77777777"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sz w:val="16"/>
                <w:szCs w:val="16"/>
                <w:lang w:val="en-US"/>
              </w:rPr>
              <w:t>88101</w:t>
            </w:r>
          </w:p>
        </w:tc>
        <w:tc>
          <w:tcPr>
            <w:tcW w:w="1189" w:type="dxa"/>
            <w:vAlign w:val="center"/>
          </w:tcPr>
          <w:p w14:paraId="69C58907" w14:textId="392EC7C2"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1127</w:t>
            </w:r>
          </w:p>
        </w:tc>
        <w:tc>
          <w:tcPr>
            <w:tcW w:w="931" w:type="dxa"/>
            <w:vAlign w:val="center"/>
          </w:tcPr>
          <w:p w14:paraId="6080FC69" w14:textId="1BD0A893" w:rsidR="00981273" w:rsidRPr="008719DF" w:rsidRDefault="00981273" w:rsidP="006E0A06">
            <w:pPr>
              <w:jc w:val="center"/>
              <w:rPr>
                <w:rFonts w:ascii="Times New Roman" w:hAnsi="Times New Roman" w:cs="Times New Roman"/>
                <w:sz w:val="16"/>
                <w:szCs w:val="16"/>
                <w:lang w:val="en-US"/>
              </w:rPr>
            </w:pPr>
            <w:r>
              <w:rPr>
                <w:rFonts w:ascii="Times New Roman" w:hAnsi="Times New Roman" w:cs="Times New Roman"/>
                <w:color w:val="000000"/>
                <w:sz w:val="16"/>
                <w:szCs w:val="16"/>
              </w:rPr>
              <w:t>886</w:t>
            </w:r>
          </w:p>
        </w:tc>
        <w:tc>
          <w:tcPr>
            <w:tcW w:w="1446" w:type="dxa"/>
            <w:vAlign w:val="center"/>
          </w:tcPr>
          <w:p w14:paraId="262A0D6E" w14:textId="2492E883"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2500350</w:t>
            </w:r>
          </w:p>
        </w:tc>
        <w:tc>
          <w:tcPr>
            <w:tcW w:w="1440" w:type="dxa"/>
            <w:vAlign w:val="center"/>
          </w:tcPr>
          <w:p w14:paraId="4ADD5402" w14:textId="04A806A5"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149447</w:t>
            </w:r>
          </w:p>
        </w:tc>
        <w:tc>
          <w:tcPr>
            <w:tcW w:w="1440" w:type="dxa"/>
            <w:vAlign w:val="center"/>
          </w:tcPr>
          <w:p w14:paraId="4D8FB16C" w14:textId="643C17CB"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6.0</w:t>
            </w:r>
          </w:p>
        </w:tc>
      </w:tr>
      <w:tr w:rsidR="00981273" w:rsidRPr="008719DF" w14:paraId="289FC842" w14:textId="1C965314" w:rsidTr="004F4AD0">
        <w:trPr>
          <w:trHeight w:val="300"/>
          <w:jc w:val="center"/>
        </w:trPr>
        <w:tc>
          <w:tcPr>
            <w:tcW w:w="714" w:type="dxa"/>
            <w:noWrap/>
            <w:vAlign w:val="center"/>
          </w:tcPr>
          <w:p w14:paraId="1D8220B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Al</w:t>
            </w:r>
          </w:p>
        </w:tc>
        <w:tc>
          <w:tcPr>
            <w:tcW w:w="1385" w:type="dxa"/>
            <w:vAlign w:val="center"/>
          </w:tcPr>
          <w:p w14:paraId="242E43D5"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88104</w:t>
            </w:r>
          </w:p>
        </w:tc>
        <w:tc>
          <w:tcPr>
            <w:tcW w:w="1189" w:type="dxa"/>
            <w:vAlign w:val="center"/>
          </w:tcPr>
          <w:p w14:paraId="1DFEA16C" w14:textId="52B23F6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AEF9993" w14:textId="5577BAD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002F23C7" w14:textId="32EEC06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367517</w:t>
            </w:r>
          </w:p>
        </w:tc>
        <w:tc>
          <w:tcPr>
            <w:tcW w:w="1440" w:type="dxa"/>
            <w:vAlign w:val="center"/>
          </w:tcPr>
          <w:p w14:paraId="3B86A34D" w14:textId="3D13A63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88948</w:t>
            </w:r>
          </w:p>
        </w:tc>
        <w:tc>
          <w:tcPr>
            <w:tcW w:w="1440" w:type="dxa"/>
            <w:vAlign w:val="center"/>
          </w:tcPr>
          <w:p w14:paraId="4DFDEDBF" w14:textId="11C27A4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24.2</w:t>
            </w:r>
          </w:p>
        </w:tc>
      </w:tr>
      <w:tr w:rsidR="00981273" w:rsidRPr="008719DF" w14:paraId="2EA011B0" w14:textId="21969D2B" w:rsidTr="004F4AD0">
        <w:trPr>
          <w:trHeight w:val="300"/>
          <w:jc w:val="center"/>
        </w:trPr>
        <w:tc>
          <w:tcPr>
            <w:tcW w:w="714" w:type="dxa"/>
            <w:noWrap/>
            <w:vAlign w:val="center"/>
          </w:tcPr>
          <w:p w14:paraId="14D24227"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As</w:t>
            </w:r>
          </w:p>
        </w:tc>
        <w:tc>
          <w:tcPr>
            <w:tcW w:w="1385" w:type="dxa"/>
            <w:vAlign w:val="center"/>
          </w:tcPr>
          <w:p w14:paraId="61409228" w14:textId="22456DB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88103</w:t>
            </w:r>
          </w:p>
        </w:tc>
        <w:tc>
          <w:tcPr>
            <w:tcW w:w="1189" w:type="dxa"/>
            <w:vAlign w:val="center"/>
          </w:tcPr>
          <w:p w14:paraId="6B79670E" w14:textId="1B37622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74DFFE55" w14:textId="69A79A6C"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5825C3E3" w14:textId="0C5929C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367914</w:t>
            </w:r>
          </w:p>
        </w:tc>
        <w:tc>
          <w:tcPr>
            <w:tcW w:w="1440" w:type="dxa"/>
            <w:vAlign w:val="center"/>
          </w:tcPr>
          <w:p w14:paraId="4E461795" w14:textId="35DC16E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351554</w:t>
            </w:r>
          </w:p>
        </w:tc>
        <w:tc>
          <w:tcPr>
            <w:tcW w:w="1440" w:type="dxa"/>
            <w:vAlign w:val="center"/>
          </w:tcPr>
          <w:p w14:paraId="2A1839DD" w14:textId="6CDA24A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95.6</w:t>
            </w:r>
          </w:p>
        </w:tc>
      </w:tr>
      <w:tr w:rsidR="00981273" w:rsidRPr="008719DF" w14:paraId="5E58F16E" w14:textId="7E709272" w:rsidTr="004F4AD0">
        <w:trPr>
          <w:trHeight w:val="300"/>
          <w:jc w:val="center"/>
        </w:trPr>
        <w:tc>
          <w:tcPr>
            <w:tcW w:w="714" w:type="dxa"/>
            <w:noWrap/>
            <w:vAlign w:val="center"/>
          </w:tcPr>
          <w:p w14:paraId="4DD34C07"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Br</w:t>
            </w:r>
          </w:p>
        </w:tc>
        <w:tc>
          <w:tcPr>
            <w:tcW w:w="1385" w:type="dxa"/>
            <w:vAlign w:val="center"/>
          </w:tcPr>
          <w:p w14:paraId="3E188022" w14:textId="32F4B51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88109</w:t>
            </w:r>
          </w:p>
        </w:tc>
        <w:tc>
          <w:tcPr>
            <w:tcW w:w="1189" w:type="dxa"/>
            <w:vAlign w:val="center"/>
          </w:tcPr>
          <w:p w14:paraId="09C39B57" w14:textId="36BC74A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399</w:t>
            </w:r>
          </w:p>
        </w:tc>
        <w:tc>
          <w:tcPr>
            <w:tcW w:w="931" w:type="dxa"/>
            <w:vAlign w:val="center"/>
          </w:tcPr>
          <w:p w14:paraId="668EF465" w14:textId="6C486AE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274</w:t>
            </w:r>
          </w:p>
        </w:tc>
        <w:tc>
          <w:tcPr>
            <w:tcW w:w="1446" w:type="dxa"/>
            <w:vAlign w:val="center"/>
          </w:tcPr>
          <w:p w14:paraId="031DA99C" w14:textId="53A5A89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365196</w:t>
            </w:r>
          </w:p>
        </w:tc>
        <w:tc>
          <w:tcPr>
            <w:tcW w:w="1440" w:type="dxa"/>
            <w:vAlign w:val="center"/>
          </w:tcPr>
          <w:p w14:paraId="0F900267" w14:textId="5768232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170792</w:t>
            </w:r>
          </w:p>
        </w:tc>
        <w:tc>
          <w:tcPr>
            <w:tcW w:w="1440" w:type="dxa"/>
            <w:vAlign w:val="center"/>
          </w:tcPr>
          <w:p w14:paraId="3FAF2456" w14:textId="07BDD8B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46.8</w:t>
            </w:r>
          </w:p>
        </w:tc>
      </w:tr>
      <w:tr w:rsidR="00771246" w:rsidRPr="008719DF" w14:paraId="2C69B185" w14:textId="77777777" w:rsidTr="004F4AD0">
        <w:trPr>
          <w:trHeight w:val="300"/>
          <w:jc w:val="center"/>
        </w:trPr>
        <w:tc>
          <w:tcPr>
            <w:tcW w:w="714" w:type="dxa"/>
            <w:noWrap/>
            <w:vAlign w:val="center"/>
          </w:tcPr>
          <w:p w14:paraId="69F0F65F" w14:textId="52E65ECC" w:rsidR="00771246" w:rsidRPr="008719DF" w:rsidRDefault="00771246"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Cd</w:t>
            </w:r>
          </w:p>
        </w:tc>
        <w:tc>
          <w:tcPr>
            <w:tcW w:w="1385" w:type="dxa"/>
            <w:vAlign w:val="center"/>
          </w:tcPr>
          <w:p w14:paraId="5C2889EE" w14:textId="6ACFA80D" w:rsidR="00771246" w:rsidRPr="008719DF" w:rsidRDefault="00771246" w:rsidP="006E0A06">
            <w:pPr>
              <w:jc w:val="center"/>
              <w:rPr>
                <w:rFonts w:ascii="Times New Roman" w:hAnsi="Times New Roman" w:cs="Times New Roman"/>
                <w:sz w:val="16"/>
                <w:szCs w:val="16"/>
              </w:rPr>
            </w:pPr>
            <w:r w:rsidRPr="008719DF">
              <w:rPr>
                <w:rFonts w:ascii="Times New Roman" w:hAnsi="Times New Roman" w:cs="Times New Roman"/>
                <w:sz w:val="16"/>
                <w:szCs w:val="16"/>
              </w:rPr>
              <w:t>88110</w:t>
            </w:r>
          </w:p>
        </w:tc>
        <w:tc>
          <w:tcPr>
            <w:tcW w:w="1189" w:type="dxa"/>
            <w:vAlign w:val="center"/>
          </w:tcPr>
          <w:p w14:paraId="1A404D20" w14:textId="3B6EE2CC"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229</w:t>
            </w:r>
          </w:p>
        </w:tc>
        <w:tc>
          <w:tcPr>
            <w:tcW w:w="931" w:type="dxa"/>
            <w:vAlign w:val="center"/>
          </w:tcPr>
          <w:p w14:paraId="2FDB7A0D" w14:textId="27FF917D" w:rsidR="00771246" w:rsidRDefault="00771246" w:rsidP="006E0A06">
            <w:pPr>
              <w:jc w:val="center"/>
              <w:rPr>
                <w:rFonts w:ascii="Times New Roman" w:hAnsi="Times New Roman" w:cs="Times New Roman"/>
                <w:sz w:val="16"/>
                <w:szCs w:val="16"/>
              </w:rPr>
            </w:pPr>
            <w:r>
              <w:rPr>
                <w:rFonts w:ascii="Times New Roman" w:hAnsi="Times New Roman" w:cs="Times New Roman"/>
                <w:sz w:val="16"/>
                <w:szCs w:val="16"/>
              </w:rPr>
              <w:t>206</w:t>
            </w:r>
          </w:p>
        </w:tc>
        <w:tc>
          <w:tcPr>
            <w:tcW w:w="1446" w:type="dxa"/>
            <w:vAlign w:val="center"/>
          </w:tcPr>
          <w:p w14:paraId="11E60BC2" w14:textId="127D3909"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155782</w:t>
            </w:r>
          </w:p>
        </w:tc>
        <w:tc>
          <w:tcPr>
            <w:tcW w:w="1440" w:type="dxa"/>
            <w:vAlign w:val="center"/>
          </w:tcPr>
          <w:p w14:paraId="415DCC72" w14:textId="6901D2D4"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146261</w:t>
            </w:r>
          </w:p>
        </w:tc>
        <w:tc>
          <w:tcPr>
            <w:tcW w:w="1440" w:type="dxa"/>
            <w:vAlign w:val="center"/>
          </w:tcPr>
          <w:p w14:paraId="46790961" w14:textId="1930A70D"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93.9</w:t>
            </w:r>
          </w:p>
        </w:tc>
      </w:tr>
      <w:tr w:rsidR="00981273" w:rsidRPr="008719DF" w14:paraId="0DE834DD" w14:textId="3D11DA13" w:rsidTr="004F4AD0">
        <w:trPr>
          <w:trHeight w:val="300"/>
          <w:jc w:val="center"/>
        </w:trPr>
        <w:tc>
          <w:tcPr>
            <w:tcW w:w="714" w:type="dxa"/>
            <w:noWrap/>
            <w:vAlign w:val="center"/>
          </w:tcPr>
          <w:p w14:paraId="1532F1C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Ca</w:t>
            </w:r>
          </w:p>
        </w:tc>
        <w:tc>
          <w:tcPr>
            <w:tcW w:w="1385" w:type="dxa"/>
            <w:vAlign w:val="center"/>
          </w:tcPr>
          <w:p w14:paraId="5E728A47"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88111</w:t>
            </w:r>
          </w:p>
        </w:tc>
        <w:tc>
          <w:tcPr>
            <w:tcW w:w="1189" w:type="dxa"/>
            <w:vAlign w:val="center"/>
          </w:tcPr>
          <w:p w14:paraId="7F082CF6" w14:textId="76D46E1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C68014A" w14:textId="31D1B4A6"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3E23BBC9" w14:textId="154274A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367516</w:t>
            </w:r>
          </w:p>
        </w:tc>
        <w:tc>
          <w:tcPr>
            <w:tcW w:w="1440" w:type="dxa"/>
            <w:vAlign w:val="center"/>
          </w:tcPr>
          <w:p w14:paraId="2A917CC2" w14:textId="5118F9E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13527</w:t>
            </w:r>
          </w:p>
        </w:tc>
        <w:tc>
          <w:tcPr>
            <w:tcW w:w="1440" w:type="dxa"/>
            <w:vAlign w:val="center"/>
          </w:tcPr>
          <w:p w14:paraId="70E7D4C7" w14:textId="7A854FC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3.7</w:t>
            </w:r>
          </w:p>
        </w:tc>
      </w:tr>
      <w:tr w:rsidR="00981273" w:rsidRPr="008719DF" w14:paraId="729185A9" w14:textId="678747FE" w:rsidTr="004F4AD0">
        <w:trPr>
          <w:trHeight w:val="300"/>
          <w:jc w:val="center"/>
        </w:trPr>
        <w:tc>
          <w:tcPr>
            <w:tcW w:w="714" w:type="dxa"/>
            <w:noWrap/>
            <w:vAlign w:val="center"/>
          </w:tcPr>
          <w:p w14:paraId="30A07126"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Cl</w:t>
            </w:r>
          </w:p>
        </w:tc>
        <w:tc>
          <w:tcPr>
            <w:tcW w:w="1385" w:type="dxa"/>
            <w:vAlign w:val="center"/>
          </w:tcPr>
          <w:p w14:paraId="16218970"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88115</w:t>
            </w:r>
          </w:p>
        </w:tc>
        <w:tc>
          <w:tcPr>
            <w:tcW w:w="1189" w:type="dxa"/>
            <w:vAlign w:val="center"/>
          </w:tcPr>
          <w:p w14:paraId="557E1296" w14:textId="022AE0F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002BF1D7" w14:textId="23CEB905"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481499B7" w14:textId="4EB5359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367613</w:t>
            </w:r>
          </w:p>
        </w:tc>
        <w:tc>
          <w:tcPr>
            <w:tcW w:w="1440" w:type="dxa"/>
            <w:vAlign w:val="center"/>
          </w:tcPr>
          <w:p w14:paraId="254B37EA" w14:textId="55E50D9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229504</w:t>
            </w:r>
          </w:p>
        </w:tc>
        <w:tc>
          <w:tcPr>
            <w:tcW w:w="1440" w:type="dxa"/>
            <w:vAlign w:val="center"/>
          </w:tcPr>
          <w:p w14:paraId="4BE1B81C" w14:textId="675245A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62.4</w:t>
            </w:r>
          </w:p>
        </w:tc>
      </w:tr>
      <w:tr w:rsidR="00981273" w:rsidRPr="008719DF" w14:paraId="6CA9C33B" w14:textId="2D60E609" w:rsidTr="004F4AD0">
        <w:trPr>
          <w:trHeight w:val="300"/>
          <w:jc w:val="center"/>
        </w:trPr>
        <w:tc>
          <w:tcPr>
            <w:tcW w:w="714" w:type="dxa"/>
            <w:noWrap/>
            <w:vAlign w:val="center"/>
          </w:tcPr>
          <w:p w14:paraId="53C1887F"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Cu</w:t>
            </w:r>
          </w:p>
        </w:tc>
        <w:tc>
          <w:tcPr>
            <w:tcW w:w="1385" w:type="dxa"/>
            <w:vAlign w:val="center"/>
          </w:tcPr>
          <w:p w14:paraId="429E63C0" w14:textId="1A858C0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88114</w:t>
            </w:r>
          </w:p>
        </w:tc>
        <w:tc>
          <w:tcPr>
            <w:tcW w:w="1189" w:type="dxa"/>
            <w:vAlign w:val="center"/>
          </w:tcPr>
          <w:p w14:paraId="5A872831" w14:textId="42052FB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400</w:t>
            </w:r>
          </w:p>
        </w:tc>
        <w:tc>
          <w:tcPr>
            <w:tcW w:w="931" w:type="dxa"/>
            <w:vAlign w:val="center"/>
          </w:tcPr>
          <w:p w14:paraId="08171A0E" w14:textId="628D5E2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275</w:t>
            </w:r>
          </w:p>
        </w:tc>
        <w:tc>
          <w:tcPr>
            <w:tcW w:w="1446" w:type="dxa"/>
            <w:vAlign w:val="center"/>
          </w:tcPr>
          <w:p w14:paraId="69E04C32" w14:textId="18D577D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368536</w:t>
            </w:r>
          </w:p>
        </w:tc>
        <w:tc>
          <w:tcPr>
            <w:tcW w:w="1440" w:type="dxa"/>
            <w:vAlign w:val="center"/>
          </w:tcPr>
          <w:p w14:paraId="6B5793ED" w14:textId="4F473BF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251431</w:t>
            </w:r>
          </w:p>
        </w:tc>
        <w:tc>
          <w:tcPr>
            <w:tcW w:w="1440" w:type="dxa"/>
            <w:vAlign w:val="center"/>
          </w:tcPr>
          <w:p w14:paraId="7965B544" w14:textId="5A47191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68.2</w:t>
            </w:r>
          </w:p>
        </w:tc>
      </w:tr>
      <w:tr w:rsidR="00981273" w:rsidRPr="008719DF" w14:paraId="200D554F" w14:textId="4DE7F547" w:rsidTr="004F4AD0">
        <w:trPr>
          <w:trHeight w:val="300"/>
          <w:jc w:val="center"/>
        </w:trPr>
        <w:tc>
          <w:tcPr>
            <w:tcW w:w="714" w:type="dxa"/>
            <w:noWrap/>
            <w:vAlign w:val="center"/>
          </w:tcPr>
          <w:p w14:paraId="47B3B0BC"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Fe</w:t>
            </w:r>
          </w:p>
        </w:tc>
        <w:tc>
          <w:tcPr>
            <w:tcW w:w="1385" w:type="dxa"/>
            <w:vAlign w:val="center"/>
          </w:tcPr>
          <w:p w14:paraId="538FF157" w14:textId="308A841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88126</w:t>
            </w:r>
          </w:p>
        </w:tc>
        <w:tc>
          <w:tcPr>
            <w:tcW w:w="1189" w:type="dxa"/>
            <w:vAlign w:val="center"/>
          </w:tcPr>
          <w:p w14:paraId="263970D0" w14:textId="5C0413A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718CFB8F" w14:textId="108907C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89DE3A6" w14:textId="5062228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368820</w:t>
            </w:r>
          </w:p>
        </w:tc>
        <w:tc>
          <w:tcPr>
            <w:tcW w:w="1440" w:type="dxa"/>
            <w:vAlign w:val="center"/>
          </w:tcPr>
          <w:p w14:paraId="478C097B" w14:textId="7AD3371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9562</w:t>
            </w:r>
          </w:p>
        </w:tc>
        <w:tc>
          <w:tcPr>
            <w:tcW w:w="1440" w:type="dxa"/>
            <w:vAlign w:val="center"/>
          </w:tcPr>
          <w:p w14:paraId="56B97D22" w14:textId="7499959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2.6</w:t>
            </w:r>
          </w:p>
        </w:tc>
      </w:tr>
      <w:tr w:rsidR="00981273" w:rsidRPr="008719DF" w14:paraId="2B33A560" w14:textId="2502611D" w:rsidTr="004F4AD0">
        <w:trPr>
          <w:trHeight w:val="300"/>
          <w:jc w:val="center"/>
        </w:trPr>
        <w:tc>
          <w:tcPr>
            <w:tcW w:w="714" w:type="dxa"/>
            <w:noWrap/>
            <w:vAlign w:val="center"/>
          </w:tcPr>
          <w:p w14:paraId="3A8E7EA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Pb</w:t>
            </w:r>
          </w:p>
        </w:tc>
        <w:tc>
          <w:tcPr>
            <w:tcW w:w="1385" w:type="dxa"/>
            <w:vAlign w:val="center"/>
          </w:tcPr>
          <w:p w14:paraId="079DCD66" w14:textId="740C855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88128</w:t>
            </w:r>
          </w:p>
        </w:tc>
        <w:tc>
          <w:tcPr>
            <w:tcW w:w="1189" w:type="dxa"/>
            <w:vAlign w:val="center"/>
          </w:tcPr>
          <w:p w14:paraId="78B8DA9A" w14:textId="23723FB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11289E1D" w14:textId="4384080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23D16007" w14:textId="5FD294B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369222</w:t>
            </w:r>
          </w:p>
        </w:tc>
        <w:tc>
          <w:tcPr>
            <w:tcW w:w="1440" w:type="dxa"/>
            <w:vAlign w:val="center"/>
          </w:tcPr>
          <w:p w14:paraId="6186B6AF" w14:textId="13F60D9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300414</w:t>
            </w:r>
          </w:p>
        </w:tc>
        <w:tc>
          <w:tcPr>
            <w:tcW w:w="1440" w:type="dxa"/>
            <w:vAlign w:val="center"/>
          </w:tcPr>
          <w:p w14:paraId="67544E41" w14:textId="430D8C3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81.4</w:t>
            </w:r>
          </w:p>
        </w:tc>
      </w:tr>
      <w:tr w:rsidR="00981273" w:rsidRPr="008719DF" w14:paraId="307C7726" w14:textId="284B00B6" w:rsidTr="004F4AD0">
        <w:trPr>
          <w:trHeight w:val="300"/>
          <w:jc w:val="center"/>
        </w:trPr>
        <w:tc>
          <w:tcPr>
            <w:tcW w:w="714" w:type="dxa"/>
            <w:noWrap/>
            <w:vAlign w:val="center"/>
          </w:tcPr>
          <w:p w14:paraId="775C2D56"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Hg</w:t>
            </w:r>
          </w:p>
        </w:tc>
        <w:tc>
          <w:tcPr>
            <w:tcW w:w="1385" w:type="dxa"/>
            <w:vAlign w:val="center"/>
          </w:tcPr>
          <w:p w14:paraId="264437CD" w14:textId="6C6794A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88142</w:t>
            </w:r>
          </w:p>
        </w:tc>
        <w:tc>
          <w:tcPr>
            <w:tcW w:w="1189" w:type="dxa"/>
            <w:vAlign w:val="center"/>
          </w:tcPr>
          <w:p w14:paraId="39D65601" w14:textId="7104023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176</w:t>
            </w:r>
          </w:p>
        </w:tc>
        <w:tc>
          <w:tcPr>
            <w:tcW w:w="931" w:type="dxa"/>
            <w:vAlign w:val="center"/>
          </w:tcPr>
          <w:p w14:paraId="4FD88B87" w14:textId="387DE7D2"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162</w:t>
            </w:r>
          </w:p>
        </w:tc>
        <w:tc>
          <w:tcPr>
            <w:tcW w:w="1446" w:type="dxa"/>
            <w:vAlign w:val="center"/>
          </w:tcPr>
          <w:p w14:paraId="50518923" w14:textId="2C9F1E5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60060</w:t>
            </w:r>
          </w:p>
        </w:tc>
        <w:tc>
          <w:tcPr>
            <w:tcW w:w="1440" w:type="dxa"/>
            <w:vAlign w:val="center"/>
          </w:tcPr>
          <w:p w14:paraId="1ACFACCE" w14:textId="6174C47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55195</w:t>
            </w:r>
          </w:p>
        </w:tc>
        <w:tc>
          <w:tcPr>
            <w:tcW w:w="1440" w:type="dxa"/>
            <w:vAlign w:val="center"/>
          </w:tcPr>
          <w:p w14:paraId="60670B93" w14:textId="79C8EE4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91.9</w:t>
            </w:r>
          </w:p>
        </w:tc>
      </w:tr>
      <w:tr w:rsidR="00981273" w:rsidRPr="008719DF" w14:paraId="4826FD94" w14:textId="1B020C4F" w:rsidTr="004F4AD0">
        <w:trPr>
          <w:trHeight w:val="300"/>
          <w:jc w:val="center"/>
        </w:trPr>
        <w:tc>
          <w:tcPr>
            <w:tcW w:w="714" w:type="dxa"/>
            <w:noWrap/>
            <w:vAlign w:val="center"/>
          </w:tcPr>
          <w:p w14:paraId="31F3AD1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Ni</w:t>
            </w:r>
          </w:p>
        </w:tc>
        <w:tc>
          <w:tcPr>
            <w:tcW w:w="1385" w:type="dxa"/>
            <w:vAlign w:val="center"/>
          </w:tcPr>
          <w:p w14:paraId="6C4445B6"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88136</w:t>
            </w:r>
          </w:p>
        </w:tc>
        <w:tc>
          <w:tcPr>
            <w:tcW w:w="1189" w:type="dxa"/>
            <w:vAlign w:val="center"/>
          </w:tcPr>
          <w:p w14:paraId="2C22533F" w14:textId="634701C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258CA2BB" w14:textId="037F0181"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04945072" w14:textId="5C24A78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369220</w:t>
            </w:r>
          </w:p>
        </w:tc>
        <w:tc>
          <w:tcPr>
            <w:tcW w:w="1440" w:type="dxa"/>
            <w:vAlign w:val="center"/>
          </w:tcPr>
          <w:p w14:paraId="2768E4CB" w14:textId="6B70B26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325935</w:t>
            </w:r>
          </w:p>
        </w:tc>
        <w:tc>
          <w:tcPr>
            <w:tcW w:w="1440" w:type="dxa"/>
            <w:vAlign w:val="center"/>
          </w:tcPr>
          <w:p w14:paraId="389F0439" w14:textId="2C69DA8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88.3</w:t>
            </w:r>
          </w:p>
        </w:tc>
      </w:tr>
      <w:tr w:rsidR="00981273" w:rsidRPr="008719DF" w14:paraId="4E27ED47" w14:textId="4771CA29" w:rsidTr="004F4AD0">
        <w:trPr>
          <w:trHeight w:val="300"/>
          <w:jc w:val="center"/>
        </w:trPr>
        <w:tc>
          <w:tcPr>
            <w:tcW w:w="714" w:type="dxa"/>
            <w:noWrap/>
            <w:vAlign w:val="center"/>
          </w:tcPr>
          <w:p w14:paraId="1ADAE8A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Si</w:t>
            </w:r>
          </w:p>
        </w:tc>
        <w:tc>
          <w:tcPr>
            <w:tcW w:w="1385" w:type="dxa"/>
            <w:vAlign w:val="center"/>
          </w:tcPr>
          <w:p w14:paraId="5B1C89B0"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88165</w:t>
            </w:r>
          </w:p>
        </w:tc>
        <w:tc>
          <w:tcPr>
            <w:tcW w:w="1189" w:type="dxa"/>
            <w:vAlign w:val="center"/>
          </w:tcPr>
          <w:p w14:paraId="2B978855" w14:textId="361CF51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3543E72" w14:textId="4CEB774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2AA05891" w14:textId="053CF0B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368822</w:t>
            </w:r>
          </w:p>
        </w:tc>
        <w:tc>
          <w:tcPr>
            <w:tcW w:w="1440" w:type="dxa"/>
            <w:vAlign w:val="center"/>
          </w:tcPr>
          <w:p w14:paraId="60A6653F" w14:textId="5D7895D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17894</w:t>
            </w:r>
          </w:p>
        </w:tc>
        <w:tc>
          <w:tcPr>
            <w:tcW w:w="1440" w:type="dxa"/>
            <w:vAlign w:val="center"/>
          </w:tcPr>
          <w:p w14:paraId="73655D5C" w14:textId="73F16AD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4.9</w:t>
            </w:r>
          </w:p>
        </w:tc>
      </w:tr>
      <w:tr w:rsidR="00771246" w:rsidRPr="008719DF" w14:paraId="362BCE62" w14:textId="77777777" w:rsidTr="004F4AD0">
        <w:trPr>
          <w:trHeight w:val="300"/>
          <w:jc w:val="center"/>
        </w:trPr>
        <w:tc>
          <w:tcPr>
            <w:tcW w:w="714" w:type="dxa"/>
            <w:noWrap/>
            <w:vAlign w:val="center"/>
          </w:tcPr>
          <w:p w14:paraId="1ED313BD" w14:textId="69A2EE7E" w:rsidR="00771246" w:rsidRPr="008719DF" w:rsidRDefault="00771246" w:rsidP="006E0A06">
            <w:pPr>
              <w:jc w:val="center"/>
              <w:rPr>
                <w:rFonts w:ascii="Times New Roman" w:hAnsi="Times New Roman" w:cs="Times New Roman"/>
                <w:b/>
                <w:sz w:val="16"/>
                <w:szCs w:val="16"/>
              </w:rPr>
            </w:pPr>
            <w:r w:rsidRPr="008719DF">
              <w:rPr>
                <w:rFonts w:ascii="Times New Roman" w:hAnsi="Times New Roman" w:cs="Times New Roman"/>
                <w:b/>
                <w:sz w:val="16"/>
                <w:szCs w:val="16"/>
              </w:rPr>
              <w:t>Na</w:t>
            </w:r>
          </w:p>
        </w:tc>
        <w:tc>
          <w:tcPr>
            <w:tcW w:w="1385" w:type="dxa"/>
            <w:vAlign w:val="center"/>
          </w:tcPr>
          <w:p w14:paraId="22A90351" w14:textId="2AA44ADD" w:rsidR="00771246" w:rsidRPr="008719DF" w:rsidRDefault="00771246" w:rsidP="006E0A06">
            <w:pPr>
              <w:jc w:val="center"/>
              <w:rPr>
                <w:rFonts w:ascii="Times New Roman" w:hAnsi="Times New Roman" w:cs="Times New Roman"/>
                <w:sz w:val="16"/>
                <w:szCs w:val="16"/>
              </w:rPr>
            </w:pPr>
            <w:r w:rsidRPr="008719DF">
              <w:rPr>
                <w:rFonts w:ascii="Times New Roman" w:hAnsi="Times New Roman" w:cs="Times New Roman"/>
                <w:sz w:val="16"/>
                <w:szCs w:val="16"/>
              </w:rPr>
              <w:t>88184</w:t>
            </w:r>
          </w:p>
        </w:tc>
        <w:tc>
          <w:tcPr>
            <w:tcW w:w="1189" w:type="dxa"/>
            <w:vAlign w:val="center"/>
          </w:tcPr>
          <w:p w14:paraId="48F1031B" w14:textId="7BD8DA1F"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388</w:t>
            </w:r>
          </w:p>
        </w:tc>
        <w:tc>
          <w:tcPr>
            <w:tcW w:w="931" w:type="dxa"/>
            <w:vAlign w:val="center"/>
          </w:tcPr>
          <w:p w14:paraId="611103FD" w14:textId="4934CF4C" w:rsidR="00771246" w:rsidRDefault="00771246" w:rsidP="006E0A06">
            <w:pPr>
              <w:jc w:val="center"/>
              <w:rPr>
                <w:rFonts w:ascii="Times New Roman" w:hAnsi="Times New Roman" w:cs="Times New Roman"/>
                <w:sz w:val="16"/>
                <w:szCs w:val="16"/>
              </w:rPr>
            </w:pPr>
            <w:r>
              <w:rPr>
                <w:rFonts w:ascii="Times New Roman" w:hAnsi="Times New Roman" w:cs="Times New Roman"/>
                <w:sz w:val="16"/>
                <w:szCs w:val="16"/>
              </w:rPr>
              <w:t>264</w:t>
            </w:r>
          </w:p>
        </w:tc>
        <w:tc>
          <w:tcPr>
            <w:tcW w:w="1446" w:type="dxa"/>
            <w:vAlign w:val="center"/>
          </w:tcPr>
          <w:p w14:paraId="64D2F14D" w14:textId="0A017027"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359412</w:t>
            </w:r>
          </w:p>
        </w:tc>
        <w:tc>
          <w:tcPr>
            <w:tcW w:w="1440" w:type="dxa"/>
            <w:vAlign w:val="center"/>
          </w:tcPr>
          <w:p w14:paraId="0B800280" w14:textId="74383DF7"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164649</w:t>
            </w:r>
          </w:p>
        </w:tc>
        <w:tc>
          <w:tcPr>
            <w:tcW w:w="1440" w:type="dxa"/>
            <w:vAlign w:val="center"/>
          </w:tcPr>
          <w:p w14:paraId="48EC8EB7" w14:textId="0F9CDFB3"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45.8</w:t>
            </w:r>
          </w:p>
        </w:tc>
      </w:tr>
      <w:tr w:rsidR="00981273" w:rsidRPr="008719DF" w14:paraId="3DDB1DAB" w14:textId="12BB83CB" w:rsidTr="004F4AD0">
        <w:trPr>
          <w:trHeight w:val="300"/>
          <w:jc w:val="center"/>
        </w:trPr>
        <w:tc>
          <w:tcPr>
            <w:tcW w:w="714" w:type="dxa"/>
            <w:noWrap/>
            <w:vAlign w:val="center"/>
          </w:tcPr>
          <w:p w14:paraId="6CC6942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Ti</w:t>
            </w:r>
          </w:p>
        </w:tc>
        <w:tc>
          <w:tcPr>
            <w:tcW w:w="1385" w:type="dxa"/>
            <w:vAlign w:val="center"/>
          </w:tcPr>
          <w:p w14:paraId="192EBACB"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88161</w:t>
            </w:r>
          </w:p>
        </w:tc>
        <w:tc>
          <w:tcPr>
            <w:tcW w:w="1189" w:type="dxa"/>
            <w:vAlign w:val="center"/>
          </w:tcPr>
          <w:p w14:paraId="4D76546B" w14:textId="0FF2F7C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23EE57BB" w14:textId="4141BFFD"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184943DB" w14:textId="0DEA84A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368824</w:t>
            </w:r>
          </w:p>
        </w:tc>
        <w:tc>
          <w:tcPr>
            <w:tcW w:w="1440" w:type="dxa"/>
            <w:vAlign w:val="center"/>
          </w:tcPr>
          <w:p w14:paraId="573A62D4" w14:textId="76187DE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200973</w:t>
            </w:r>
          </w:p>
        </w:tc>
        <w:tc>
          <w:tcPr>
            <w:tcW w:w="1440" w:type="dxa"/>
            <w:vAlign w:val="center"/>
          </w:tcPr>
          <w:p w14:paraId="3EBBAF7B" w14:textId="103E99F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54.5</w:t>
            </w:r>
          </w:p>
        </w:tc>
      </w:tr>
      <w:tr w:rsidR="00981273" w:rsidRPr="008719DF" w14:paraId="6B573A61" w14:textId="4147C605" w:rsidTr="004F4AD0">
        <w:trPr>
          <w:trHeight w:val="300"/>
          <w:jc w:val="center"/>
        </w:trPr>
        <w:tc>
          <w:tcPr>
            <w:tcW w:w="714" w:type="dxa"/>
            <w:noWrap/>
            <w:vAlign w:val="center"/>
          </w:tcPr>
          <w:p w14:paraId="1A0E1159"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V</w:t>
            </w:r>
          </w:p>
        </w:tc>
        <w:tc>
          <w:tcPr>
            <w:tcW w:w="1385" w:type="dxa"/>
            <w:vAlign w:val="center"/>
          </w:tcPr>
          <w:p w14:paraId="28BC5036"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88164</w:t>
            </w:r>
          </w:p>
        </w:tc>
        <w:tc>
          <w:tcPr>
            <w:tcW w:w="1189" w:type="dxa"/>
            <w:vAlign w:val="center"/>
          </w:tcPr>
          <w:p w14:paraId="16F3333E" w14:textId="77185C4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1E0DC007" w14:textId="723B0B4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032A3DF" w14:textId="78F0BA8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368823</w:t>
            </w:r>
          </w:p>
        </w:tc>
        <w:tc>
          <w:tcPr>
            <w:tcW w:w="1440" w:type="dxa"/>
            <w:vAlign w:val="center"/>
          </w:tcPr>
          <w:p w14:paraId="4FD1322D" w14:textId="24A3780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313019</w:t>
            </w:r>
          </w:p>
        </w:tc>
        <w:tc>
          <w:tcPr>
            <w:tcW w:w="1440" w:type="dxa"/>
            <w:vAlign w:val="center"/>
          </w:tcPr>
          <w:p w14:paraId="79847A77" w14:textId="4CA64F1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84.9</w:t>
            </w:r>
          </w:p>
        </w:tc>
      </w:tr>
      <w:tr w:rsidR="00981273" w:rsidRPr="008719DF" w14:paraId="4341924B" w14:textId="6A5B2076" w:rsidTr="004F4AD0">
        <w:trPr>
          <w:trHeight w:val="300"/>
          <w:jc w:val="center"/>
        </w:trPr>
        <w:tc>
          <w:tcPr>
            <w:tcW w:w="714" w:type="dxa"/>
            <w:noWrap/>
            <w:vAlign w:val="center"/>
          </w:tcPr>
          <w:p w14:paraId="0C6788C9"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Zn</w:t>
            </w:r>
          </w:p>
        </w:tc>
        <w:tc>
          <w:tcPr>
            <w:tcW w:w="1385" w:type="dxa"/>
            <w:vAlign w:val="center"/>
          </w:tcPr>
          <w:p w14:paraId="7AF75012"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88167</w:t>
            </w:r>
          </w:p>
        </w:tc>
        <w:tc>
          <w:tcPr>
            <w:tcW w:w="1189" w:type="dxa"/>
            <w:vAlign w:val="center"/>
          </w:tcPr>
          <w:p w14:paraId="5543D811" w14:textId="7C9887C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7CB887B6" w14:textId="1B491A80"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4603B7F" w14:textId="463103D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368901</w:t>
            </w:r>
          </w:p>
        </w:tc>
        <w:tc>
          <w:tcPr>
            <w:tcW w:w="1440" w:type="dxa"/>
            <w:vAlign w:val="center"/>
          </w:tcPr>
          <w:p w14:paraId="479E5E12" w14:textId="2E40DF3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117888</w:t>
            </w:r>
          </w:p>
        </w:tc>
        <w:tc>
          <w:tcPr>
            <w:tcW w:w="1440" w:type="dxa"/>
            <w:vAlign w:val="center"/>
          </w:tcPr>
          <w:p w14:paraId="44F94B2C" w14:textId="2334C01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32.0</w:t>
            </w:r>
          </w:p>
        </w:tc>
      </w:tr>
      <w:tr w:rsidR="00981273" w:rsidRPr="008719DF" w14:paraId="0EC6D7E1" w14:textId="4D278C68" w:rsidTr="004F4AD0">
        <w:trPr>
          <w:trHeight w:val="300"/>
          <w:jc w:val="center"/>
        </w:trPr>
        <w:tc>
          <w:tcPr>
            <w:tcW w:w="714" w:type="dxa"/>
            <w:noWrap/>
            <w:vAlign w:val="center"/>
          </w:tcPr>
          <w:p w14:paraId="15C06F9C"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NH</w:t>
            </w:r>
            <w:r w:rsidRPr="008719DF">
              <w:rPr>
                <w:rFonts w:ascii="Times New Roman" w:hAnsi="Times New Roman" w:cs="Times New Roman"/>
                <w:b/>
                <w:sz w:val="16"/>
                <w:szCs w:val="16"/>
                <w:vertAlign w:val="subscript"/>
                <w:lang w:val="en-US"/>
              </w:rPr>
              <w:t>4</w:t>
            </w:r>
            <w:r w:rsidRPr="008719DF">
              <w:rPr>
                <w:rFonts w:ascii="Times New Roman" w:hAnsi="Times New Roman" w:cs="Times New Roman"/>
                <w:b/>
                <w:sz w:val="16"/>
                <w:szCs w:val="16"/>
                <w:vertAlign w:val="superscript"/>
                <w:lang w:val="en-US"/>
              </w:rPr>
              <w:t>+</w:t>
            </w:r>
          </w:p>
        </w:tc>
        <w:tc>
          <w:tcPr>
            <w:tcW w:w="1385" w:type="dxa"/>
            <w:vAlign w:val="center"/>
          </w:tcPr>
          <w:p w14:paraId="12867038"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88301</w:t>
            </w:r>
          </w:p>
        </w:tc>
        <w:tc>
          <w:tcPr>
            <w:tcW w:w="1189" w:type="dxa"/>
            <w:vAlign w:val="center"/>
          </w:tcPr>
          <w:p w14:paraId="42318455" w14:textId="750941C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237</w:t>
            </w:r>
          </w:p>
        </w:tc>
        <w:tc>
          <w:tcPr>
            <w:tcW w:w="931" w:type="dxa"/>
            <w:vAlign w:val="center"/>
          </w:tcPr>
          <w:p w14:paraId="7EDE9069" w14:textId="711C0E76"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213</w:t>
            </w:r>
          </w:p>
        </w:tc>
        <w:tc>
          <w:tcPr>
            <w:tcW w:w="1446" w:type="dxa"/>
            <w:vAlign w:val="center"/>
          </w:tcPr>
          <w:p w14:paraId="25B574D6" w14:textId="5D31C0A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161515</w:t>
            </w:r>
          </w:p>
        </w:tc>
        <w:tc>
          <w:tcPr>
            <w:tcW w:w="1440" w:type="dxa"/>
            <w:vAlign w:val="center"/>
          </w:tcPr>
          <w:p w14:paraId="10CFB4FE" w14:textId="04428C8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3649</w:t>
            </w:r>
          </w:p>
        </w:tc>
        <w:tc>
          <w:tcPr>
            <w:tcW w:w="1440" w:type="dxa"/>
            <w:vAlign w:val="center"/>
          </w:tcPr>
          <w:p w14:paraId="01425B36" w14:textId="39BA9FB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2.3</w:t>
            </w:r>
          </w:p>
        </w:tc>
      </w:tr>
      <w:tr w:rsidR="000B1CA3" w:rsidRPr="008719DF" w14:paraId="256ACFE6" w14:textId="77777777" w:rsidTr="004F4AD0">
        <w:trPr>
          <w:trHeight w:val="300"/>
          <w:jc w:val="center"/>
        </w:trPr>
        <w:tc>
          <w:tcPr>
            <w:tcW w:w="714" w:type="dxa"/>
            <w:noWrap/>
            <w:vAlign w:val="center"/>
          </w:tcPr>
          <w:p w14:paraId="2A1C2951" w14:textId="5982E247" w:rsidR="000B1CA3" w:rsidRPr="008719DF" w:rsidRDefault="000B1CA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rPr>
              <w:t>Na</w:t>
            </w:r>
            <w:r w:rsidRPr="008719DF">
              <w:rPr>
                <w:rFonts w:ascii="Times New Roman" w:hAnsi="Times New Roman" w:cs="Times New Roman"/>
                <w:b/>
                <w:sz w:val="16"/>
                <w:szCs w:val="16"/>
                <w:vertAlign w:val="superscript"/>
                <w:lang w:val="en-US"/>
              </w:rPr>
              <w:t>+</w:t>
            </w:r>
          </w:p>
        </w:tc>
        <w:tc>
          <w:tcPr>
            <w:tcW w:w="1385" w:type="dxa"/>
            <w:vAlign w:val="center"/>
          </w:tcPr>
          <w:p w14:paraId="1569DA07" w14:textId="0D2FAAAB" w:rsidR="000B1CA3" w:rsidRPr="008719DF" w:rsidRDefault="000B1CA3" w:rsidP="006E0A06">
            <w:pPr>
              <w:jc w:val="center"/>
              <w:rPr>
                <w:rFonts w:ascii="Times New Roman" w:hAnsi="Times New Roman" w:cs="Times New Roman"/>
                <w:sz w:val="16"/>
                <w:szCs w:val="16"/>
              </w:rPr>
            </w:pPr>
            <w:r w:rsidRPr="008719DF">
              <w:rPr>
                <w:rFonts w:ascii="Times New Roman" w:hAnsi="Times New Roman" w:cs="Times New Roman"/>
                <w:sz w:val="16"/>
                <w:szCs w:val="16"/>
              </w:rPr>
              <w:t>88302</w:t>
            </w:r>
          </w:p>
        </w:tc>
        <w:tc>
          <w:tcPr>
            <w:tcW w:w="1189" w:type="dxa"/>
            <w:vAlign w:val="center"/>
          </w:tcPr>
          <w:p w14:paraId="18DDEA9B" w14:textId="78B312AC"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237</w:t>
            </w:r>
          </w:p>
        </w:tc>
        <w:tc>
          <w:tcPr>
            <w:tcW w:w="931" w:type="dxa"/>
            <w:vAlign w:val="center"/>
          </w:tcPr>
          <w:p w14:paraId="147DE84B" w14:textId="08E0454D" w:rsidR="000B1CA3" w:rsidRDefault="000B1CA3" w:rsidP="006E0A06">
            <w:pPr>
              <w:jc w:val="center"/>
              <w:rPr>
                <w:rFonts w:ascii="Times New Roman" w:hAnsi="Times New Roman" w:cs="Times New Roman"/>
                <w:sz w:val="16"/>
                <w:szCs w:val="16"/>
              </w:rPr>
            </w:pPr>
            <w:r>
              <w:rPr>
                <w:rFonts w:ascii="Times New Roman" w:hAnsi="Times New Roman" w:cs="Times New Roman"/>
                <w:sz w:val="16"/>
                <w:szCs w:val="16"/>
              </w:rPr>
              <w:t>213</w:t>
            </w:r>
          </w:p>
        </w:tc>
        <w:tc>
          <w:tcPr>
            <w:tcW w:w="1446" w:type="dxa"/>
            <w:vAlign w:val="center"/>
          </w:tcPr>
          <w:p w14:paraId="3D4550A0" w14:textId="1ECF5558"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160155</w:t>
            </w:r>
          </w:p>
        </w:tc>
        <w:tc>
          <w:tcPr>
            <w:tcW w:w="1440" w:type="dxa"/>
            <w:vAlign w:val="center"/>
          </w:tcPr>
          <w:p w14:paraId="2732D9A0" w14:textId="1309D78E"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30298</w:t>
            </w:r>
          </w:p>
        </w:tc>
        <w:tc>
          <w:tcPr>
            <w:tcW w:w="1440" w:type="dxa"/>
            <w:vAlign w:val="center"/>
          </w:tcPr>
          <w:p w14:paraId="64D39E3F" w14:textId="478E8D31"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18.9</w:t>
            </w:r>
          </w:p>
        </w:tc>
      </w:tr>
      <w:tr w:rsidR="00981273" w:rsidRPr="008719DF" w14:paraId="7C59283A" w14:textId="69B1C988" w:rsidTr="004F4AD0">
        <w:trPr>
          <w:trHeight w:val="300"/>
          <w:jc w:val="center"/>
        </w:trPr>
        <w:tc>
          <w:tcPr>
            <w:tcW w:w="714" w:type="dxa"/>
            <w:noWrap/>
            <w:vAlign w:val="center"/>
          </w:tcPr>
          <w:p w14:paraId="7D549A71"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NO</w:t>
            </w:r>
            <w:r w:rsidRPr="008719DF">
              <w:rPr>
                <w:rFonts w:ascii="Times New Roman" w:hAnsi="Times New Roman" w:cs="Times New Roman"/>
                <w:b/>
                <w:sz w:val="16"/>
                <w:szCs w:val="16"/>
                <w:vertAlign w:val="subscript"/>
                <w:lang w:val="en-US"/>
              </w:rPr>
              <w:t>3</w:t>
            </w:r>
            <w:r w:rsidRPr="008719DF">
              <w:rPr>
                <w:rFonts w:ascii="Times New Roman" w:hAnsi="Times New Roman" w:cs="Times New Roman"/>
                <w:b/>
                <w:sz w:val="16"/>
                <w:szCs w:val="16"/>
                <w:vertAlign w:val="superscript"/>
                <w:lang w:val="en-US"/>
              </w:rPr>
              <w:t>-</w:t>
            </w:r>
          </w:p>
        </w:tc>
        <w:tc>
          <w:tcPr>
            <w:tcW w:w="1385" w:type="dxa"/>
            <w:vAlign w:val="center"/>
          </w:tcPr>
          <w:p w14:paraId="31B5DABC"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88306</w:t>
            </w:r>
          </w:p>
        </w:tc>
        <w:tc>
          <w:tcPr>
            <w:tcW w:w="1189" w:type="dxa"/>
            <w:vAlign w:val="center"/>
          </w:tcPr>
          <w:p w14:paraId="44207A1A" w14:textId="7F2E7CB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391</w:t>
            </w:r>
          </w:p>
        </w:tc>
        <w:tc>
          <w:tcPr>
            <w:tcW w:w="931" w:type="dxa"/>
            <w:vAlign w:val="center"/>
          </w:tcPr>
          <w:p w14:paraId="153F7E0F" w14:textId="0C677FD2"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267</w:t>
            </w:r>
          </w:p>
        </w:tc>
        <w:tc>
          <w:tcPr>
            <w:tcW w:w="1446" w:type="dxa"/>
            <w:vAlign w:val="center"/>
          </w:tcPr>
          <w:p w14:paraId="40423D88" w14:textId="58B7D9A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375890</w:t>
            </w:r>
          </w:p>
        </w:tc>
        <w:tc>
          <w:tcPr>
            <w:tcW w:w="1440" w:type="dxa"/>
            <w:vAlign w:val="center"/>
          </w:tcPr>
          <w:p w14:paraId="5BFAC8A1" w14:textId="0817097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2955</w:t>
            </w:r>
          </w:p>
        </w:tc>
        <w:tc>
          <w:tcPr>
            <w:tcW w:w="1440" w:type="dxa"/>
            <w:vAlign w:val="center"/>
          </w:tcPr>
          <w:p w14:paraId="648D58F9" w14:textId="42CB7CD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0.8</w:t>
            </w:r>
          </w:p>
        </w:tc>
      </w:tr>
      <w:tr w:rsidR="00981273" w:rsidRPr="008719DF" w14:paraId="18705577" w14:textId="1D9B2359" w:rsidTr="004F4AD0">
        <w:trPr>
          <w:trHeight w:val="300"/>
          <w:jc w:val="center"/>
        </w:trPr>
        <w:tc>
          <w:tcPr>
            <w:tcW w:w="714" w:type="dxa"/>
            <w:noWrap/>
            <w:vAlign w:val="center"/>
          </w:tcPr>
          <w:p w14:paraId="03692ABE"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SO</w:t>
            </w:r>
            <w:r w:rsidRPr="008719DF">
              <w:rPr>
                <w:rFonts w:ascii="Times New Roman" w:hAnsi="Times New Roman" w:cs="Times New Roman"/>
                <w:b/>
                <w:sz w:val="16"/>
                <w:szCs w:val="16"/>
                <w:vertAlign w:val="subscript"/>
                <w:lang w:val="en-US"/>
              </w:rPr>
              <w:t>4</w:t>
            </w:r>
            <w:r w:rsidRPr="008719DF">
              <w:rPr>
                <w:rFonts w:ascii="Times New Roman" w:hAnsi="Times New Roman" w:cs="Times New Roman"/>
                <w:b/>
                <w:sz w:val="16"/>
                <w:szCs w:val="16"/>
                <w:vertAlign w:val="superscript"/>
                <w:lang w:val="en-US"/>
              </w:rPr>
              <w:t>2-</w:t>
            </w:r>
          </w:p>
        </w:tc>
        <w:tc>
          <w:tcPr>
            <w:tcW w:w="1385" w:type="dxa"/>
            <w:vAlign w:val="center"/>
          </w:tcPr>
          <w:p w14:paraId="74995D43"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88403</w:t>
            </w:r>
          </w:p>
        </w:tc>
        <w:tc>
          <w:tcPr>
            <w:tcW w:w="1189" w:type="dxa"/>
            <w:vAlign w:val="center"/>
          </w:tcPr>
          <w:p w14:paraId="683BD01F" w14:textId="3573533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405</w:t>
            </w:r>
          </w:p>
        </w:tc>
        <w:tc>
          <w:tcPr>
            <w:tcW w:w="931" w:type="dxa"/>
            <w:vAlign w:val="center"/>
          </w:tcPr>
          <w:p w14:paraId="3ABD3300" w14:textId="169C555D"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277</w:t>
            </w:r>
          </w:p>
        </w:tc>
        <w:tc>
          <w:tcPr>
            <w:tcW w:w="1446" w:type="dxa"/>
            <w:vAlign w:val="center"/>
          </w:tcPr>
          <w:p w14:paraId="400FF7ED" w14:textId="2025842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391428</w:t>
            </w:r>
          </w:p>
        </w:tc>
        <w:tc>
          <w:tcPr>
            <w:tcW w:w="1440" w:type="dxa"/>
            <w:vAlign w:val="center"/>
          </w:tcPr>
          <w:p w14:paraId="0B07F89F" w14:textId="76D3DB7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3888</w:t>
            </w:r>
          </w:p>
        </w:tc>
        <w:tc>
          <w:tcPr>
            <w:tcW w:w="1440" w:type="dxa"/>
            <w:vAlign w:val="center"/>
          </w:tcPr>
          <w:p w14:paraId="63A7CD78" w14:textId="138167D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1.0</w:t>
            </w:r>
          </w:p>
        </w:tc>
      </w:tr>
      <w:tr w:rsidR="00981273" w:rsidRPr="008719DF" w14:paraId="3F059907" w14:textId="37826104" w:rsidTr="004F4AD0">
        <w:trPr>
          <w:trHeight w:val="300"/>
          <w:jc w:val="center"/>
        </w:trPr>
        <w:tc>
          <w:tcPr>
            <w:tcW w:w="714" w:type="dxa"/>
            <w:noWrap/>
            <w:vAlign w:val="center"/>
          </w:tcPr>
          <w:p w14:paraId="0413B509" w14:textId="4B660A46"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rPr>
              <w:t>EC (all)</w:t>
            </w:r>
          </w:p>
        </w:tc>
        <w:tc>
          <w:tcPr>
            <w:tcW w:w="1385" w:type="dxa"/>
            <w:vAlign w:val="center"/>
          </w:tcPr>
          <w:p w14:paraId="0314C415" w14:textId="2612B9F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(99321)</w:t>
            </w:r>
          </w:p>
        </w:tc>
        <w:tc>
          <w:tcPr>
            <w:tcW w:w="1189" w:type="dxa"/>
            <w:vAlign w:val="center"/>
          </w:tcPr>
          <w:p w14:paraId="1871F856" w14:textId="244C63F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318</w:t>
            </w:r>
          </w:p>
        </w:tc>
        <w:tc>
          <w:tcPr>
            <w:tcW w:w="931" w:type="dxa"/>
            <w:vAlign w:val="center"/>
          </w:tcPr>
          <w:p w14:paraId="6750AA38" w14:textId="7A70B72C"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201</w:t>
            </w:r>
          </w:p>
        </w:tc>
        <w:tc>
          <w:tcPr>
            <w:tcW w:w="1446" w:type="dxa"/>
            <w:vAlign w:val="center"/>
          </w:tcPr>
          <w:p w14:paraId="1C9F2247" w14:textId="2D61EEBC" w:rsidR="00981273" w:rsidRPr="008719DF" w:rsidRDefault="00601896" w:rsidP="006E0A06">
            <w:pPr>
              <w:jc w:val="center"/>
              <w:rPr>
                <w:rFonts w:ascii="Times New Roman" w:hAnsi="Times New Roman" w:cs="Times New Roman"/>
                <w:sz w:val="16"/>
                <w:szCs w:val="16"/>
              </w:rPr>
            </w:pPr>
            <w:r w:rsidRPr="00601896">
              <w:rPr>
                <w:rFonts w:ascii="Times New Roman" w:hAnsi="Times New Roman" w:cs="Times New Roman"/>
                <w:sz w:val="16"/>
                <w:szCs w:val="16"/>
              </w:rPr>
              <w:t>275540</w:t>
            </w:r>
          </w:p>
        </w:tc>
        <w:tc>
          <w:tcPr>
            <w:tcW w:w="1440" w:type="dxa"/>
            <w:vAlign w:val="center"/>
          </w:tcPr>
          <w:p w14:paraId="1FF2C1E8" w14:textId="4ACA3867" w:rsidR="00981273" w:rsidRPr="008719DF" w:rsidRDefault="00601896" w:rsidP="006E0A06">
            <w:pPr>
              <w:jc w:val="center"/>
              <w:rPr>
                <w:rFonts w:ascii="Times New Roman" w:hAnsi="Times New Roman" w:cs="Times New Roman"/>
                <w:sz w:val="16"/>
                <w:szCs w:val="16"/>
              </w:rPr>
            </w:pPr>
            <w:r>
              <w:rPr>
                <w:rFonts w:ascii="Times New Roman" w:hAnsi="Times New Roman" w:cs="Times New Roman"/>
                <w:sz w:val="16"/>
                <w:szCs w:val="16"/>
              </w:rPr>
              <w:t>25559</w:t>
            </w:r>
          </w:p>
        </w:tc>
        <w:tc>
          <w:tcPr>
            <w:tcW w:w="1440" w:type="dxa"/>
            <w:vAlign w:val="center"/>
          </w:tcPr>
          <w:p w14:paraId="1FD0A9ED" w14:textId="6678DF12" w:rsidR="00981273" w:rsidRPr="008719DF" w:rsidRDefault="00B35C26" w:rsidP="006E0A06">
            <w:pPr>
              <w:jc w:val="center"/>
              <w:rPr>
                <w:rFonts w:ascii="Times New Roman" w:hAnsi="Times New Roman" w:cs="Times New Roman"/>
                <w:sz w:val="16"/>
                <w:szCs w:val="16"/>
              </w:rPr>
            </w:pPr>
            <w:r>
              <w:rPr>
                <w:rFonts w:ascii="Times New Roman" w:hAnsi="Times New Roman" w:cs="Times New Roman"/>
                <w:sz w:val="16"/>
                <w:szCs w:val="16"/>
              </w:rPr>
              <w:t>9.3</w:t>
            </w:r>
          </w:p>
        </w:tc>
      </w:tr>
      <w:tr w:rsidR="00981273" w:rsidRPr="008719DF" w14:paraId="3ECECD6D" w14:textId="2313A9EA" w:rsidTr="004F4AD0">
        <w:trPr>
          <w:trHeight w:val="300"/>
          <w:jc w:val="center"/>
        </w:trPr>
        <w:tc>
          <w:tcPr>
            <w:tcW w:w="714" w:type="dxa"/>
            <w:noWrap/>
            <w:vAlign w:val="center"/>
          </w:tcPr>
          <w:p w14:paraId="288B8655"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0BAD2507" w14:textId="6C168956" w:rsidR="00981273" w:rsidRPr="008719DF" w:rsidRDefault="00981273" w:rsidP="004F4AD0">
            <w:pPr>
              <w:jc w:val="center"/>
              <w:rPr>
                <w:rFonts w:ascii="Times New Roman" w:hAnsi="Times New Roman" w:cs="Times New Roman"/>
                <w:sz w:val="16"/>
                <w:szCs w:val="16"/>
              </w:rPr>
            </w:pPr>
            <w:r w:rsidRPr="008719DF">
              <w:rPr>
                <w:rFonts w:ascii="Times New Roman" w:hAnsi="Times New Roman" w:cs="Times New Roman"/>
                <w:sz w:val="16"/>
                <w:szCs w:val="16"/>
              </w:rPr>
              <w:t>88307</w:t>
            </w:r>
          </w:p>
        </w:tc>
        <w:tc>
          <w:tcPr>
            <w:tcW w:w="1189" w:type="dxa"/>
            <w:vAlign w:val="center"/>
          </w:tcPr>
          <w:p w14:paraId="3C4FE1A4" w14:textId="21A48FD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136</w:t>
            </w:r>
          </w:p>
        </w:tc>
        <w:tc>
          <w:tcPr>
            <w:tcW w:w="931" w:type="dxa"/>
            <w:vAlign w:val="center"/>
          </w:tcPr>
          <w:p w14:paraId="2FD4DA34" w14:textId="2F91520B"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122</w:t>
            </w:r>
          </w:p>
        </w:tc>
        <w:tc>
          <w:tcPr>
            <w:tcW w:w="1446" w:type="dxa"/>
            <w:vAlign w:val="center"/>
          </w:tcPr>
          <w:p w14:paraId="06BF9485" w14:textId="5D18796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58840</w:t>
            </w:r>
          </w:p>
        </w:tc>
        <w:tc>
          <w:tcPr>
            <w:tcW w:w="1440" w:type="dxa"/>
            <w:vAlign w:val="center"/>
          </w:tcPr>
          <w:p w14:paraId="76F8363E" w14:textId="454EA7C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10171</w:t>
            </w:r>
          </w:p>
        </w:tc>
        <w:tc>
          <w:tcPr>
            <w:tcW w:w="1440" w:type="dxa"/>
            <w:vAlign w:val="center"/>
          </w:tcPr>
          <w:p w14:paraId="446A2E0E" w14:textId="4612921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17.3</w:t>
            </w:r>
          </w:p>
        </w:tc>
      </w:tr>
      <w:tr w:rsidR="00981273" w:rsidRPr="008719DF" w14:paraId="1494738D" w14:textId="3875A3D5" w:rsidTr="004F4AD0">
        <w:trPr>
          <w:trHeight w:val="300"/>
          <w:jc w:val="center"/>
        </w:trPr>
        <w:tc>
          <w:tcPr>
            <w:tcW w:w="714" w:type="dxa"/>
            <w:noWrap/>
            <w:vAlign w:val="center"/>
          </w:tcPr>
          <w:p w14:paraId="1F68F178" w14:textId="484B7EAE"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18045E17" w14:textId="29DBCCA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88316</w:t>
            </w:r>
          </w:p>
        </w:tc>
        <w:tc>
          <w:tcPr>
            <w:tcW w:w="1189" w:type="dxa"/>
            <w:vAlign w:val="center"/>
          </w:tcPr>
          <w:p w14:paraId="6F41DB15" w14:textId="412E138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w:t>
            </w:r>
          </w:p>
        </w:tc>
        <w:tc>
          <w:tcPr>
            <w:tcW w:w="931" w:type="dxa"/>
            <w:vAlign w:val="center"/>
          </w:tcPr>
          <w:p w14:paraId="4C7E9C67" w14:textId="655BFA85"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w:t>
            </w:r>
          </w:p>
        </w:tc>
        <w:tc>
          <w:tcPr>
            <w:tcW w:w="1446" w:type="dxa"/>
            <w:vAlign w:val="center"/>
          </w:tcPr>
          <w:p w14:paraId="30430B4A" w14:textId="0EF7250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1978</w:t>
            </w:r>
          </w:p>
        </w:tc>
        <w:tc>
          <w:tcPr>
            <w:tcW w:w="1440" w:type="dxa"/>
            <w:vAlign w:val="center"/>
          </w:tcPr>
          <w:p w14:paraId="1714D0A1" w14:textId="7586B4E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646</w:t>
            </w:r>
          </w:p>
        </w:tc>
        <w:tc>
          <w:tcPr>
            <w:tcW w:w="1440" w:type="dxa"/>
            <w:vAlign w:val="center"/>
          </w:tcPr>
          <w:p w14:paraId="141AE691" w14:textId="517AC94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32.7</w:t>
            </w:r>
          </w:p>
        </w:tc>
      </w:tr>
      <w:tr w:rsidR="00981273" w:rsidRPr="008719DF" w14:paraId="4544E4F8" w14:textId="670C0764" w:rsidTr="004F4AD0">
        <w:trPr>
          <w:trHeight w:val="300"/>
          <w:jc w:val="center"/>
        </w:trPr>
        <w:tc>
          <w:tcPr>
            <w:tcW w:w="714" w:type="dxa"/>
            <w:noWrap/>
            <w:vAlign w:val="center"/>
          </w:tcPr>
          <w:p w14:paraId="695260D1" w14:textId="764FFBDB"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185920D3" w14:textId="209BCAB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88321</w:t>
            </w:r>
          </w:p>
        </w:tc>
        <w:tc>
          <w:tcPr>
            <w:tcW w:w="1189" w:type="dxa"/>
            <w:vAlign w:val="center"/>
          </w:tcPr>
          <w:p w14:paraId="07E73A2C" w14:textId="1FAFEA4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187</w:t>
            </w:r>
          </w:p>
        </w:tc>
        <w:tc>
          <w:tcPr>
            <w:tcW w:w="931" w:type="dxa"/>
            <w:vAlign w:val="center"/>
          </w:tcPr>
          <w:p w14:paraId="4CAF59CA" w14:textId="076BB743"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83</w:t>
            </w:r>
          </w:p>
        </w:tc>
        <w:tc>
          <w:tcPr>
            <w:tcW w:w="1446" w:type="dxa"/>
            <w:vAlign w:val="center"/>
          </w:tcPr>
          <w:p w14:paraId="7E146FDF" w14:textId="3A54AD5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214722</w:t>
            </w:r>
          </w:p>
        </w:tc>
        <w:tc>
          <w:tcPr>
            <w:tcW w:w="1440" w:type="dxa"/>
            <w:vAlign w:val="center"/>
          </w:tcPr>
          <w:p w14:paraId="7114C7E1" w14:textId="1B4C8B5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14742</w:t>
            </w:r>
          </w:p>
        </w:tc>
        <w:tc>
          <w:tcPr>
            <w:tcW w:w="1440" w:type="dxa"/>
            <w:vAlign w:val="center"/>
          </w:tcPr>
          <w:p w14:paraId="53846271" w14:textId="6E87A11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6.9</w:t>
            </w:r>
          </w:p>
        </w:tc>
      </w:tr>
      <w:tr w:rsidR="00981273" w:rsidRPr="008719DF" w14:paraId="34D568AA" w14:textId="18C15E19" w:rsidTr="004F4AD0">
        <w:trPr>
          <w:trHeight w:val="300"/>
          <w:jc w:val="center"/>
        </w:trPr>
        <w:tc>
          <w:tcPr>
            <w:tcW w:w="714" w:type="dxa"/>
            <w:noWrap/>
            <w:vAlign w:val="center"/>
          </w:tcPr>
          <w:p w14:paraId="15DD3D0B" w14:textId="3E9063B5" w:rsidR="00981273" w:rsidRPr="008719DF" w:rsidRDefault="00981273" w:rsidP="006E0A06">
            <w:pPr>
              <w:jc w:val="center"/>
              <w:rPr>
                <w:rFonts w:ascii="Times New Roman" w:hAnsi="Times New Roman" w:cs="Times New Roman"/>
                <w:b/>
                <w:sz w:val="16"/>
                <w:szCs w:val="16"/>
              </w:rPr>
            </w:pPr>
            <w:bookmarkStart w:id="24" w:name="_Hlk501103990"/>
            <w:r w:rsidRPr="008719DF">
              <w:rPr>
                <w:rFonts w:ascii="Times New Roman" w:hAnsi="Times New Roman" w:cs="Times New Roman"/>
                <w:b/>
                <w:sz w:val="16"/>
                <w:szCs w:val="16"/>
              </w:rPr>
              <w:t>EC</w:t>
            </w:r>
          </w:p>
        </w:tc>
        <w:tc>
          <w:tcPr>
            <w:tcW w:w="1385" w:type="dxa"/>
            <w:vAlign w:val="center"/>
          </w:tcPr>
          <w:p w14:paraId="637B9C8C" w14:textId="63697B2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88381</w:t>
            </w:r>
          </w:p>
        </w:tc>
        <w:tc>
          <w:tcPr>
            <w:tcW w:w="1189" w:type="dxa"/>
            <w:vAlign w:val="center"/>
          </w:tcPr>
          <w:p w14:paraId="7CC58E89" w14:textId="6A89EB1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931" w:type="dxa"/>
            <w:vAlign w:val="center"/>
          </w:tcPr>
          <w:p w14:paraId="41FA2BC2" w14:textId="1140B75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1446" w:type="dxa"/>
            <w:vAlign w:val="center"/>
          </w:tcPr>
          <w:p w14:paraId="356D9369" w14:textId="2539133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0</w:t>
            </w:r>
          </w:p>
        </w:tc>
        <w:tc>
          <w:tcPr>
            <w:tcW w:w="1440" w:type="dxa"/>
            <w:vAlign w:val="center"/>
          </w:tcPr>
          <w:p w14:paraId="47BCE621" w14:textId="0D2A277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1440" w:type="dxa"/>
            <w:vAlign w:val="center"/>
          </w:tcPr>
          <w:p w14:paraId="4D439EC7" w14:textId="2AEC707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r>
      <w:bookmarkEnd w:id="24"/>
    </w:tbl>
    <w:p w14:paraId="7E4BA77E" w14:textId="77777777" w:rsidR="006D3219" w:rsidRDefault="006D3219" w:rsidP="00CE20FC">
      <w:pPr>
        <w:spacing w:line="240" w:lineRule="auto"/>
        <w:rPr>
          <w:rFonts w:ascii="Times New Roman" w:hAnsi="Times New Roman" w:cs="Times New Roman"/>
          <w:b/>
          <w:sz w:val="24"/>
          <w:szCs w:val="24"/>
          <w:lang w:val="en-US"/>
        </w:rPr>
      </w:pPr>
    </w:p>
    <w:p w14:paraId="7EFF58F7" w14:textId="77777777" w:rsidR="003B4B7A" w:rsidRDefault="003B4B7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5A2BCB2" w14:textId="1527090D" w:rsidR="006D3219" w:rsidRPr="004549A1" w:rsidRDefault="006D3219" w:rsidP="006D3219">
      <w:pPr>
        <w:rPr>
          <w:rFonts w:ascii="Times New Roman" w:hAnsi="Times New Roman" w:cs="Times New Roman"/>
          <w:b/>
          <w:sz w:val="24"/>
          <w:szCs w:val="24"/>
          <w:lang w:val="en-US"/>
        </w:rPr>
      </w:pPr>
      <w:commentRangeStart w:id="25"/>
      <w:r w:rsidRPr="004549A1">
        <w:rPr>
          <w:rFonts w:ascii="Times New Roman" w:hAnsi="Times New Roman" w:cs="Times New Roman"/>
          <w:b/>
          <w:sz w:val="24"/>
          <w:szCs w:val="24"/>
          <w:lang w:val="en-US"/>
        </w:rPr>
        <w:lastRenderedPageBreak/>
        <w:t xml:space="preserve">Table </w:t>
      </w:r>
      <w:r w:rsidR="00415BA6">
        <w:rPr>
          <w:rFonts w:ascii="Times New Roman" w:hAnsi="Times New Roman" w:cs="Times New Roman"/>
          <w:b/>
          <w:sz w:val="24"/>
          <w:szCs w:val="24"/>
          <w:lang w:val="en-US"/>
        </w:rPr>
        <w:t>4</w:t>
      </w:r>
      <w:r w:rsidRPr="004549A1">
        <w:rPr>
          <w:rFonts w:ascii="Times New Roman" w:hAnsi="Times New Roman" w:cs="Times New Roman"/>
          <w:b/>
          <w:sz w:val="24"/>
          <w:szCs w:val="24"/>
          <w:lang w:val="en-US"/>
        </w:rPr>
        <w:t xml:space="preserve">.  </w:t>
      </w:r>
      <w:r w:rsidR="005A792C">
        <w:rPr>
          <w:rFonts w:ascii="Times New Roman" w:hAnsi="Times New Roman" w:cs="Times New Roman"/>
          <w:b/>
          <w:sz w:val="24"/>
          <w:szCs w:val="24"/>
          <w:lang w:val="en-US"/>
        </w:rPr>
        <w:t>Mean</w:t>
      </w:r>
      <w:r w:rsidR="00764C38">
        <w:rPr>
          <w:rFonts w:ascii="Times New Roman" w:hAnsi="Times New Roman" w:cs="Times New Roman"/>
          <w:b/>
          <w:sz w:val="24"/>
          <w:szCs w:val="24"/>
          <w:lang w:val="en-US"/>
        </w:rPr>
        <w:t xml:space="preserve">, 95% confidence interval, and </w:t>
      </w:r>
      <w:r w:rsidR="00B83334">
        <w:rPr>
          <w:rFonts w:ascii="Times New Roman" w:hAnsi="Times New Roman" w:cs="Times New Roman"/>
          <w:b/>
          <w:i/>
          <w:sz w:val="24"/>
          <w:szCs w:val="24"/>
          <w:lang w:val="en-US"/>
        </w:rPr>
        <w:t>n</w:t>
      </w:r>
      <w:r w:rsidR="005A792C">
        <w:rPr>
          <w:rFonts w:ascii="Times New Roman" w:hAnsi="Times New Roman" w:cs="Times New Roman"/>
          <w:b/>
          <w:sz w:val="24"/>
          <w:szCs w:val="24"/>
          <w:lang w:val="en-US"/>
        </w:rPr>
        <w:t xml:space="preserve"> </w:t>
      </w:r>
      <w:r w:rsidR="00B83334">
        <w:rPr>
          <w:rFonts w:ascii="Times New Roman" w:hAnsi="Times New Roman" w:cs="Times New Roman"/>
          <w:b/>
          <w:sz w:val="24"/>
          <w:szCs w:val="24"/>
          <w:lang w:val="en-US"/>
        </w:rPr>
        <w:t>for</w:t>
      </w:r>
      <w:r w:rsidRPr="004549A1">
        <w:rPr>
          <w:rFonts w:ascii="Times New Roman" w:hAnsi="Times New Roman" w:cs="Times New Roman"/>
          <w:b/>
          <w:sz w:val="24"/>
          <w:szCs w:val="24"/>
          <w:lang w:val="en-US"/>
        </w:rPr>
        <w:t xml:space="preserve"> PM</w:t>
      </w:r>
      <w:r w:rsidRPr="004549A1">
        <w:rPr>
          <w:rFonts w:ascii="Times New Roman" w:hAnsi="Times New Roman" w:cs="Times New Roman"/>
          <w:b/>
          <w:sz w:val="24"/>
          <w:szCs w:val="24"/>
          <w:vertAlign w:val="subscript"/>
          <w:lang w:val="en-US"/>
        </w:rPr>
        <w:t>2.5</w:t>
      </w:r>
      <w:r w:rsidRPr="004549A1">
        <w:rPr>
          <w:rFonts w:ascii="Times New Roman" w:hAnsi="Times New Roman" w:cs="Times New Roman"/>
          <w:b/>
          <w:sz w:val="24"/>
          <w:szCs w:val="24"/>
          <w:lang w:val="en-US"/>
        </w:rPr>
        <w:t xml:space="preserve"> component levels by quintile of racial isolation</w:t>
      </w:r>
      <w:r w:rsidR="00FB23CF">
        <w:rPr>
          <w:rFonts w:ascii="Times New Roman" w:hAnsi="Times New Roman" w:cs="Times New Roman"/>
          <w:b/>
          <w:sz w:val="24"/>
          <w:szCs w:val="24"/>
          <w:lang w:val="en-US"/>
        </w:rPr>
        <w:t xml:space="preserve"> among all urban tracts in the United States</w:t>
      </w:r>
      <w:r w:rsidRPr="004549A1">
        <w:rPr>
          <w:rFonts w:ascii="Times New Roman" w:hAnsi="Times New Roman" w:cs="Times New Roman"/>
          <w:b/>
          <w:sz w:val="24"/>
          <w:szCs w:val="24"/>
          <w:lang w:val="en-US"/>
        </w:rPr>
        <w:t xml:space="preserve">. </w:t>
      </w:r>
      <w:commentRangeEnd w:id="25"/>
      <w:r w:rsidRPr="004549A1">
        <w:rPr>
          <w:rStyle w:val="CommentReference"/>
          <w:rFonts w:ascii="Times New Roman" w:hAnsi="Times New Roman" w:cs="Times New Roman"/>
        </w:rPr>
        <w:commentReference w:id="25"/>
      </w:r>
    </w:p>
    <w:tbl>
      <w:tblPr>
        <w:tblStyle w:val="TableGrid"/>
        <w:tblW w:w="9540" w:type="dxa"/>
        <w:tblInd w:w="-185" w:type="dxa"/>
        <w:tblLook w:val="04A0" w:firstRow="1" w:lastRow="0" w:firstColumn="1" w:lastColumn="0" w:noHBand="0" w:noVBand="1"/>
      </w:tblPr>
      <w:tblGrid>
        <w:gridCol w:w="810"/>
        <w:gridCol w:w="900"/>
        <w:gridCol w:w="1530"/>
        <w:gridCol w:w="1530"/>
        <w:gridCol w:w="1530"/>
        <w:gridCol w:w="1530"/>
        <w:gridCol w:w="1710"/>
      </w:tblGrid>
      <w:tr w:rsidR="008B5B69" w:rsidRPr="008335B5" w14:paraId="21D67334" w14:textId="77777777" w:rsidTr="00857781">
        <w:trPr>
          <w:trHeight w:val="300"/>
        </w:trPr>
        <w:tc>
          <w:tcPr>
            <w:tcW w:w="810" w:type="dxa"/>
            <w:noWrap/>
            <w:hideMark/>
          </w:tcPr>
          <w:p w14:paraId="2F2DD880" w14:textId="44337E13" w:rsidR="005271BF" w:rsidRPr="008335B5" w:rsidRDefault="005271BF" w:rsidP="003B170F">
            <w:pPr>
              <w:rPr>
                <w:rFonts w:ascii="Times New Roman" w:hAnsi="Times New Roman" w:cs="Times New Roman"/>
                <w:sz w:val="16"/>
                <w:szCs w:val="16"/>
                <w:lang w:val="es-MX"/>
              </w:rPr>
            </w:pPr>
            <w:r w:rsidRPr="008335B5">
              <w:rPr>
                <w:rFonts w:ascii="Times New Roman" w:hAnsi="Times New Roman" w:cs="Times New Roman"/>
                <w:sz w:val="16"/>
                <w:szCs w:val="16"/>
                <w:lang w:val="es-MX"/>
              </w:rPr>
              <w:t xml:space="preserve">Racial </w:t>
            </w:r>
            <w:proofErr w:type="spellStart"/>
            <w:r w:rsidRPr="008335B5">
              <w:rPr>
                <w:rFonts w:ascii="Times New Roman" w:hAnsi="Times New Roman" w:cs="Times New Roman"/>
                <w:sz w:val="16"/>
                <w:szCs w:val="16"/>
                <w:lang w:val="es-MX"/>
              </w:rPr>
              <w:t>isolation</w:t>
            </w:r>
            <w:proofErr w:type="spellEnd"/>
            <w:r w:rsidRPr="008335B5">
              <w:rPr>
                <w:rFonts w:ascii="Times New Roman" w:hAnsi="Times New Roman" w:cs="Times New Roman"/>
                <w:sz w:val="16"/>
                <w:szCs w:val="16"/>
                <w:lang w:val="es-MX"/>
              </w:rPr>
              <w:t xml:space="preserve"> </w:t>
            </w:r>
            <w:proofErr w:type="spellStart"/>
            <w:r w:rsidRPr="008335B5">
              <w:rPr>
                <w:rFonts w:ascii="Times New Roman" w:hAnsi="Times New Roman" w:cs="Times New Roman"/>
                <w:sz w:val="16"/>
                <w:szCs w:val="16"/>
                <w:lang w:val="es-MX"/>
              </w:rPr>
              <w:t>quintile</w:t>
            </w:r>
            <w:proofErr w:type="spellEnd"/>
            <w:r w:rsidRPr="008335B5">
              <w:rPr>
                <w:rFonts w:ascii="Times New Roman" w:hAnsi="Times New Roman" w:cs="Times New Roman"/>
                <w:sz w:val="16"/>
                <w:szCs w:val="16"/>
                <w:lang w:val="es-MX"/>
              </w:rPr>
              <w:t xml:space="preserve"> </w:t>
            </w:r>
            <w:r w:rsidRPr="008335B5">
              <w:rPr>
                <w:rFonts w:ascii="Times New Roman" w:hAnsi="Times New Roman" w:cs="Times New Roman"/>
                <w:sz w:val="16"/>
                <w:szCs w:val="16"/>
                <w:lang w:val="es-MX"/>
              </w:rPr>
              <w:br/>
              <w:t>(</w:t>
            </w:r>
            <w:proofErr w:type="spellStart"/>
            <w:r w:rsidRPr="008335B5">
              <w:rPr>
                <w:rFonts w:ascii="Times New Roman" w:hAnsi="Times New Roman" w:cs="Times New Roman"/>
                <w:sz w:val="16"/>
                <w:szCs w:val="16"/>
                <w:lang w:val="es-MX"/>
              </w:rPr>
              <w:t>border</w:t>
            </w:r>
            <w:proofErr w:type="spellEnd"/>
            <w:r w:rsidRPr="008335B5">
              <w:rPr>
                <w:rFonts w:ascii="Times New Roman" w:hAnsi="Times New Roman" w:cs="Times New Roman"/>
                <w:sz w:val="16"/>
                <w:szCs w:val="16"/>
                <w:lang w:val="es-MX"/>
              </w:rPr>
              <w:t xml:space="preserve"> </w:t>
            </w:r>
            <w:proofErr w:type="spellStart"/>
            <w:r w:rsidRPr="008335B5">
              <w:rPr>
                <w:rFonts w:ascii="Times New Roman" w:hAnsi="Times New Roman" w:cs="Times New Roman"/>
                <w:sz w:val="16"/>
                <w:szCs w:val="16"/>
                <w:lang w:val="es-MX"/>
              </w:rPr>
              <w:t>values</w:t>
            </w:r>
            <w:proofErr w:type="spellEnd"/>
            <w:r w:rsidRPr="008335B5">
              <w:rPr>
                <w:rFonts w:ascii="Times New Roman" w:hAnsi="Times New Roman" w:cs="Times New Roman"/>
                <w:sz w:val="16"/>
                <w:szCs w:val="16"/>
                <w:lang w:val="es-MX"/>
              </w:rPr>
              <w:t>)</w:t>
            </w:r>
          </w:p>
        </w:tc>
        <w:tc>
          <w:tcPr>
            <w:tcW w:w="900" w:type="dxa"/>
          </w:tcPr>
          <w:p w14:paraId="68B75E85" w14:textId="2EA6ADFE" w:rsidR="005271BF" w:rsidRPr="008335B5" w:rsidRDefault="005271BF" w:rsidP="003B170F">
            <w:pPr>
              <w:rPr>
                <w:rFonts w:ascii="Times New Roman" w:hAnsi="Times New Roman" w:cs="Times New Roman"/>
                <w:sz w:val="16"/>
                <w:szCs w:val="16"/>
                <w:lang w:val="en-US"/>
              </w:rPr>
            </w:pPr>
          </w:p>
        </w:tc>
        <w:tc>
          <w:tcPr>
            <w:tcW w:w="1530" w:type="dxa"/>
            <w:noWrap/>
            <w:vAlign w:val="center"/>
            <w:hideMark/>
          </w:tcPr>
          <w:p w14:paraId="06CA51C5" w14:textId="4926988E" w:rsidR="005271BF" w:rsidRPr="008335B5" w:rsidRDefault="005271BF" w:rsidP="00857781">
            <w:pPr>
              <w:jc w:val="center"/>
              <w:rPr>
                <w:rFonts w:ascii="Times New Roman" w:hAnsi="Times New Roman" w:cs="Times New Roman"/>
                <w:sz w:val="16"/>
                <w:szCs w:val="16"/>
                <w:lang w:val="en-US"/>
              </w:rPr>
            </w:pPr>
            <w:r w:rsidRPr="008335B5">
              <w:rPr>
                <w:rFonts w:ascii="Times New Roman" w:hAnsi="Times New Roman" w:cs="Times New Roman"/>
                <w:sz w:val="16"/>
                <w:szCs w:val="16"/>
                <w:lang w:val="en-US"/>
              </w:rPr>
              <w:t>&lt; 20</w:t>
            </w:r>
          </w:p>
          <w:p w14:paraId="0CD76631" w14:textId="21F51B1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lang w:val="en-US"/>
              </w:rPr>
              <w:t>(0.000–0.014)</w:t>
            </w:r>
          </w:p>
        </w:tc>
        <w:tc>
          <w:tcPr>
            <w:tcW w:w="1530" w:type="dxa"/>
            <w:noWrap/>
            <w:vAlign w:val="center"/>
            <w:hideMark/>
          </w:tcPr>
          <w:p w14:paraId="6D57722A"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20 - &lt; 40</w:t>
            </w:r>
          </w:p>
          <w:p w14:paraId="3E78286A" w14:textId="6B17B79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(0.014–0.037)</w:t>
            </w:r>
          </w:p>
        </w:tc>
        <w:tc>
          <w:tcPr>
            <w:tcW w:w="1530" w:type="dxa"/>
            <w:noWrap/>
            <w:vAlign w:val="center"/>
            <w:hideMark/>
          </w:tcPr>
          <w:p w14:paraId="1FB27462"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40 - &lt; 60</w:t>
            </w:r>
          </w:p>
          <w:p w14:paraId="22B33058" w14:textId="444431B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(0.037–0.084)</w:t>
            </w:r>
          </w:p>
        </w:tc>
        <w:tc>
          <w:tcPr>
            <w:tcW w:w="1530" w:type="dxa"/>
            <w:noWrap/>
            <w:vAlign w:val="center"/>
            <w:hideMark/>
          </w:tcPr>
          <w:p w14:paraId="00118E63"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60 - &lt; 80</w:t>
            </w:r>
          </w:p>
          <w:p w14:paraId="4F525E89" w14:textId="4CFDB77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(0.084–0.214)</w:t>
            </w:r>
          </w:p>
        </w:tc>
        <w:tc>
          <w:tcPr>
            <w:tcW w:w="1710" w:type="dxa"/>
            <w:noWrap/>
            <w:vAlign w:val="center"/>
            <w:hideMark/>
          </w:tcPr>
          <w:p w14:paraId="54C65996"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 80</w:t>
            </w:r>
          </w:p>
          <w:p w14:paraId="26017AF3" w14:textId="6CAB9F2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(0.214–1.000)</w:t>
            </w:r>
          </w:p>
        </w:tc>
      </w:tr>
      <w:tr w:rsidR="008B5B69" w:rsidRPr="008335B5" w14:paraId="1354F9B4" w14:textId="77777777" w:rsidTr="005073C8">
        <w:trPr>
          <w:trHeight w:val="300"/>
        </w:trPr>
        <w:tc>
          <w:tcPr>
            <w:tcW w:w="810" w:type="dxa"/>
            <w:noWrap/>
            <w:vAlign w:val="center"/>
            <w:hideMark/>
          </w:tcPr>
          <w:p w14:paraId="3B0E4AD6" w14:textId="77777777" w:rsidR="005271BF" w:rsidRPr="008335B5" w:rsidRDefault="005271BF" w:rsidP="005073C8">
            <w:pPr>
              <w:jc w:val="center"/>
              <w:rPr>
                <w:rFonts w:ascii="Times New Roman" w:hAnsi="Times New Roman" w:cs="Times New Roman"/>
                <w:sz w:val="16"/>
                <w:szCs w:val="16"/>
              </w:rPr>
            </w:pPr>
            <w:bookmarkStart w:id="26" w:name="_Hlk501104512" w:colFirst="0" w:colLast="0"/>
            <w:r w:rsidRPr="008335B5">
              <w:rPr>
                <w:rFonts w:ascii="Times New Roman" w:hAnsi="Times New Roman" w:cs="Times New Roman"/>
                <w:b/>
                <w:sz w:val="16"/>
                <w:szCs w:val="16"/>
                <w:lang w:val="en-US"/>
              </w:rPr>
              <w:t>PM</w:t>
            </w:r>
            <w:r w:rsidRPr="008335B5">
              <w:rPr>
                <w:rFonts w:ascii="Times New Roman" w:hAnsi="Times New Roman" w:cs="Times New Roman"/>
                <w:b/>
                <w:sz w:val="16"/>
                <w:szCs w:val="16"/>
                <w:vertAlign w:val="subscript"/>
                <w:lang w:val="en-US"/>
              </w:rPr>
              <w:t>2.5</w:t>
            </w:r>
          </w:p>
        </w:tc>
        <w:tc>
          <w:tcPr>
            <w:tcW w:w="900" w:type="dxa"/>
            <w:vAlign w:val="center"/>
          </w:tcPr>
          <w:p w14:paraId="0ED65D06" w14:textId="1FFE41D7" w:rsidR="005271BF" w:rsidRPr="008335B5" w:rsidRDefault="005271BF" w:rsidP="005073C8">
            <w:pPr>
              <w:jc w:val="center"/>
              <w:rPr>
                <w:rFonts w:ascii="Times New Roman" w:hAnsi="Times New Roman" w:cs="Times New Roman"/>
                <w:sz w:val="16"/>
                <w:szCs w:val="16"/>
              </w:rPr>
            </w:pPr>
            <w:r>
              <w:rPr>
                <w:rFonts w:ascii="Times New Roman" w:hAnsi="Times New Roman" w:cs="Times New Roman"/>
                <w:sz w:val="16"/>
                <w:szCs w:val="16"/>
              </w:rPr>
              <w:t>Mean (95% CI)</w:t>
            </w:r>
          </w:p>
        </w:tc>
        <w:tc>
          <w:tcPr>
            <w:tcW w:w="1530" w:type="dxa"/>
            <w:noWrap/>
            <w:vAlign w:val="center"/>
          </w:tcPr>
          <w:p w14:paraId="41B649B5" w14:textId="625390E5"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8.57</w:t>
            </w:r>
          </w:p>
          <w:p w14:paraId="2E59CF62" w14:textId="5F224B7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(8.18–8.95)</w:t>
            </w:r>
          </w:p>
        </w:tc>
        <w:tc>
          <w:tcPr>
            <w:tcW w:w="1530" w:type="dxa"/>
            <w:noWrap/>
            <w:vAlign w:val="center"/>
          </w:tcPr>
          <w:p w14:paraId="0A41A34B" w14:textId="3AEA849F"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10.10</w:t>
            </w:r>
          </w:p>
          <w:p w14:paraId="46759BB2" w14:textId="106436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(9.64–10.57</w:t>
            </w:r>
            <w:r>
              <w:rPr>
                <w:rFonts w:ascii="Times New Roman" w:hAnsi="Times New Roman" w:cs="Times New Roman"/>
                <w:sz w:val="16"/>
                <w:szCs w:val="16"/>
              </w:rPr>
              <w:t>)</w:t>
            </w:r>
          </w:p>
        </w:tc>
        <w:tc>
          <w:tcPr>
            <w:tcW w:w="1530" w:type="dxa"/>
            <w:noWrap/>
            <w:vAlign w:val="center"/>
          </w:tcPr>
          <w:p w14:paraId="1E49CDAD" w14:textId="51EEA306"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10.48</w:t>
            </w:r>
          </w:p>
          <w:p w14:paraId="28E2E53D" w14:textId="132219F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(10.03–10.92)</w:t>
            </w:r>
          </w:p>
        </w:tc>
        <w:tc>
          <w:tcPr>
            <w:tcW w:w="1530" w:type="dxa"/>
            <w:noWrap/>
            <w:vAlign w:val="center"/>
          </w:tcPr>
          <w:p w14:paraId="65375FD6" w14:textId="4AF10029"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10.83</w:t>
            </w:r>
          </w:p>
          <w:p w14:paraId="23812C61" w14:textId="6F81E4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(10.58–11.09)</w:t>
            </w:r>
          </w:p>
        </w:tc>
        <w:tc>
          <w:tcPr>
            <w:tcW w:w="1710" w:type="dxa"/>
            <w:noWrap/>
            <w:vAlign w:val="center"/>
          </w:tcPr>
          <w:p w14:paraId="62A4FCC3" w14:textId="1A9FFCB7"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11.23</w:t>
            </w:r>
          </w:p>
          <w:p w14:paraId="2D904933" w14:textId="1864809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(11.00–11.46)</w:t>
            </w:r>
          </w:p>
        </w:tc>
      </w:tr>
      <w:tr w:rsidR="008B5B69" w:rsidRPr="008335B5" w14:paraId="70388E44" w14:textId="77777777" w:rsidTr="005073C8">
        <w:trPr>
          <w:trHeight w:val="300"/>
        </w:trPr>
        <w:tc>
          <w:tcPr>
            <w:tcW w:w="810" w:type="dxa"/>
            <w:noWrap/>
            <w:vAlign w:val="center"/>
          </w:tcPr>
          <w:p w14:paraId="05825CC4"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41D860C7" w14:textId="78309EE8" w:rsidR="005271BF" w:rsidRPr="005271BF" w:rsidRDefault="005271BF" w:rsidP="005073C8">
            <w:pPr>
              <w:jc w:val="center"/>
              <w:rPr>
                <w:rFonts w:ascii="Times New Roman" w:hAnsi="Times New Roman" w:cs="Times New Roman"/>
                <w:i/>
                <w:sz w:val="16"/>
                <w:szCs w:val="16"/>
              </w:rPr>
            </w:pPr>
            <w:r w:rsidRPr="005271BF">
              <w:rPr>
                <w:rFonts w:ascii="Times New Roman" w:hAnsi="Times New Roman" w:cs="Times New Roman"/>
                <w:i/>
                <w:sz w:val="16"/>
                <w:szCs w:val="16"/>
              </w:rPr>
              <w:t>n</w:t>
            </w:r>
          </w:p>
        </w:tc>
        <w:tc>
          <w:tcPr>
            <w:tcW w:w="1530" w:type="dxa"/>
            <w:noWrap/>
            <w:vAlign w:val="center"/>
          </w:tcPr>
          <w:p w14:paraId="752D81F9" w14:textId="136234B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163</w:t>
            </w:r>
          </w:p>
        </w:tc>
        <w:tc>
          <w:tcPr>
            <w:tcW w:w="1530" w:type="dxa"/>
            <w:noWrap/>
            <w:vAlign w:val="center"/>
          </w:tcPr>
          <w:p w14:paraId="6DE02531" w14:textId="6F154C5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158</w:t>
            </w:r>
          </w:p>
        </w:tc>
        <w:tc>
          <w:tcPr>
            <w:tcW w:w="1530" w:type="dxa"/>
            <w:noWrap/>
            <w:vAlign w:val="center"/>
          </w:tcPr>
          <w:p w14:paraId="4AFFACD4" w14:textId="79E68086"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144</w:t>
            </w:r>
          </w:p>
        </w:tc>
        <w:tc>
          <w:tcPr>
            <w:tcW w:w="1530" w:type="dxa"/>
            <w:noWrap/>
            <w:vAlign w:val="center"/>
          </w:tcPr>
          <w:p w14:paraId="4D962DBC" w14:textId="268F1E32"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202</w:t>
            </w:r>
          </w:p>
        </w:tc>
        <w:tc>
          <w:tcPr>
            <w:tcW w:w="1710" w:type="dxa"/>
            <w:noWrap/>
            <w:vAlign w:val="center"/>
          </w:tcPr>
          <w:p w14:paraId="156574A5" w14:textId="43330DA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219</w:t>
            </w:r>
          </w:p>
        </w:tc>
      </w:tr>
      <w:tr w:rsidR="008B5B69" w:rsidRPr="008335B5" w14:paraId="160D530A" w14:textId="77777777" w:rsidTr="005073C8">
        <w:trPr>
          <w:trHeight w:val="300"/>
        </w:trPr>
        <w:tc>
          <w:tcPr>
            <w:tcW w:w="810" w:type="dxa"/>
            <w:noWrap/>
            <w:vAlign w:val="center"/>
            <w:hideMark/>
          </w:tcPr>
          <w:p w14:paraId="3DFC2F81"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Al</w:t>
            </w:r>
          </w:p>
        </w:tc>
        <w:tc>
          <w:tcPr>
            <w:tcW w:w="900" w:type="dxa"/>
            <w:vAlign w:val="center"/>
          </w:tcPr>
          <w:p w14:paraId="61875E64" w14:textId="3285221D"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EE1FD2C" w14:textId="06AEA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0.052</w:t>
            </w:r>
          </w:p>
          <w:p w14:paraId="0EB73BC9" w14:textId="6E81A69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0.064)</w:t>
            </w:r>
          </w:p>
        </w:tc>
        <w:tc>
          <w:tcPr>
            <w:tcW w:w="1530" w:type="dxa"/>
            <w:noWrap/>
            <w:vAlign w:val="center"/>
          </w:tcPr>
          <w:p w14:paraId="11B07A92" w14:textId="755B2F6F"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0.044</w:t>
            </w:r>
          </w:p>
          <w:p w14:paraId="267D5248" w14:textId="3EBA71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0.052)</w:t>
            </w:r>
          </w:p>
        </w:tc>
        <w:tc>
          <w:tcPr>
            <w:tcW w:w="1530" w:type="dxa"/>
            <w:noWrap/>
            <w:vAlign w:val="center"/>
          </w:tcPr>
          <w:p w14:paraId="4CC5C210" w14:textId="46379FC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0.047</w:t>
            </w:r>
          </w:p>
          <w:p w14:paraId="30CA59D7" w14:textId="3A5AE9B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0.059)</w:t>
            </w:r>
          </w:p>
        </w:tc>
        <w:tc>
          <w:tcPr>
            <w:tcW w:w="1530" w:type="dxa"/>
            <w:noWrap/>
            <w:vAlign w:val="center"/>
          </w:tcPr>
          <w:p w14:paraId="66CDC95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0.041</w:t>
            </w:r>
          </w:p>
          <w:p w14:paraId="5DE56419" w14:textId="2A630A9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3229DDE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0.039</w:t>
            </w:r>
          </w:p>
          <w:p w14:paraId="443DE880" w14:textId="590F11C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0.043)</w:t>
            </w:r>
          </w:p>
        </w:tc>
      </w:tr>
      <w:tr w:rsidR="008B5B69" w:rsidRPr="008335B5" w14:paraId="2782D195" w14:textId="77777777" w:rsidTr="005073C8">
        <w:trPr>
          <w:trHeight w:val="300"/>
        </w:trPr>
        <w:tc>
          <w:tcPr>
            <w:tcW w:w="810" w:type="dxa"/>
            <w:noWrap/>
            <w:vAlign w:val="center"/>
          </w:tcPr>
          <w:p w14:paraId="0B61C17E"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F60043A" w14:textId="387A80B0"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048AD14" w14:textId="6DEEFFB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3F24BBD8" w14:textId="1C7A315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7F4736AA" w14:textId="3EE9823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A0918DB" w14:textId="52FF79A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7A0B888F" w14:textId="0DC6D9F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BCD58D0" w14:textId="77777777" w:rsidTr="005073C8">
        <w:trPr>
          <w:trHeight w:val="300"/>
        </w:trPr>
        <w:tc>
          <w:tcPr>
            <w:tcW w:w="810" w:type="dxa"/>
            <w:noWrap/>
            <w:vAlign w:val="center"/>
            <w:hideMark/>
          </w:tcPr>
          <w:p w14:paraId="183766A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As</w:t>
            </w:r>
          </w:p>
        </w:tc>
        <w:tc>
          <w:tcPr>
            <w:tcW w:w="900" w:type="dxa"/>
            <w:vAlign w:val="center"/>
          </w:tcPr>
          <w:p w14:paraId="471513F6" w14:textId="5B7D4563"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4BB163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0.00031</w:t>
            </w:r>
          </w:p>
          <w:p w14:paraId="2068C040" w14:textId="59F69B9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(0.00023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0.00039)</w:t>
            </w:r>
          </w:p>
        </w:tc>
        <w:tc>
          <w:tcPr>
            <w:tcW w:w="1530" w:type="dxa"/>
            <w:noWrap/>
            <w:vAlign w:val="center"/>
          </w:tcPr>
          <w:p w14:paraId="3E2EE69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0.00067</w:t>
            </w:r>
          </w:p>
          <w:p w14:paraId="6DA40C99" w14:textId="5A3BAB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0.00087)</w:t>
            </w:r>
          </w:p>
        </w:tc>
        <w:tc>
          <w:tcPr>
            <w:tcW w:w="1530" w:type="dxa"/>
            <w:noWrap/>
            <w:vAlign w:val="center"/>
          </w:tcPr>
          <w:p w14:paraId="42FB491C"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0.00063</w:t>
            </w:r>
          </w:p>
          <w:p w14:paraId="49843002" w14:textId="0957B05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(0.0005</w:t>
            </w:r>
            <w:r w:rsidR="008B5B69">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0.00076)</w:t>
            </w:r>
          </w:p>
        </w:tc>
        <w:tc>
          <w:tcPr>
            <w:tcW w:w="1530" w:type="dxa"/>
            <w:noWrap/>
            <w:vAlign w:val="center"/>
          </w:tcPr>
          <w:p w14:paraId="6C8F0A4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0.00078</w:t>
            </w:r>
          </w:p>
          <w:p w14:paraId="6F32A240" w14:textId="0AE775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0.00092)</w:t>
            </w:r>
          </w:p>
        </w:tc>
        <w:tc>
          <w:tcPr>
            <w:tcW w:w="1710" w:type="dxa"/>
            <w:noWrap/>
            <w:vAlign w:val="center"/>
          </w:tcPr>
          <w:p w14:paraId="15AB176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0.00076</w:t>
            </w:r>
          </w:p>
          <w:p w14:paraId="0487762D" w14:textId="4F9B58D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0.00084</w:t>
            </w:r>
            <w:r>
              <w:rPr>
                <w:rFonts w:ascii="Times New Roman" w:hAnsi="Times New Roman" w:cs="Times New Roman"/>
                <w:color w:val="000000"/>
                <w:sz w:val="16"/>
                <w:szCs w:val="16"/>
              </w:rPr>
              <w:t>)</w:t>
            </w:r>
          </w:p>
        </w:tc>
      </w:tr>
      <w:tr w:rsidR="008B5B69" w:rsidRPr="008335B5" w14:paraId="67FA7F4C" w14:textId="77777777" w:rsidTr="005073C8">
        <w:trPr>
          <w:trHeight w:val="300"/>
        </w:trPr>
        <w:tc>
          <w:tcPr>
            <w:tcW w:w="810" w:type="dxa"/>
            <w:noWrap/>
            <w:vAlign w:val="center"/>
          </w:tcPr>
          <w:p w14:paraId="45BA2AC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207BA96" w14:textId="6FDBC16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D8DB900" w14:textId="30D74D4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0FF0ACB" w14:textId="5727897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34DE6C2" w14:textId="69C8FFA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3E9A9896" w14:textId="25227A7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BDC92D9" w14:textId="044CFD9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7E69CBA" w14:textId="77777777" w:rsidTr="005073C8">
        <w:trPr>
          <w:trHeight w:val="300"/>
        </w:trPr>
        <w:tc>
          <w:tcPr>
            <w:tcW w:w="810" w:type="dxa"/>
            <w:noWrap/>
            <w:vAlign w:val="center"/>
            <w:hideMark/>
          </w:tcPr>
          <w:p w14:paraId="6FD513CD"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Br</w:t>
            </w:r>
          </w:p>
        </w:tc>
        <w:tc>
          <w:tcPr>
            <w:tcW w:w="900" w:type="dxa"/>
            <w:vAlign w:val="center"/>
          </w:tcPr>
          <w:p w14:paraId="694004A8" w14:textId="25C07D9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00D25CF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0.0023</w:t>
            </w:r>
          </w:p>
          <w:p w14:paraId="5C65A36C" w14:textId="227515C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0.0027)</w:t>
            </w:r>
          </w:p>
        </w:tc>
        <w:tc>
          <w:tcPr>
            <w:tcW w:w="1530" w:type="dxa"/>
            <w:noWrap/>
            <w:vAlign w:val="center"/>
          </w:tcPr>
          <w:p w14:paraId="470CF86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0.0031</w:t>
            </w:r>
          </w:p>
          <w:p w14:paraId="423B3B21" w14:textId="045EE1E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c>
          <w:tcPr>
            <w:tcW w:w="1530" w:type="dxa"/>
            <w:noWrap/>
            <w:vAlign w:val="center"/>
          </w:tcPr>
          <w:p w14:paraId="7DEFE7F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7558331B" w14:textId="0B56044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0.0035)</w:t>
            </w:r>
          </w:p>
        </w:tc>
        <w:tc>
          <w:tcPr>
            <w:tcW w:w="1530" w:type="dxa"/>
            <w:noWrap/>
            <w:vAlign w:val="center"/>
          </w:tcPr>
          <w:p w14:paraId="15505E4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0.0034</w:t>
            </w:r>
          </w:p>
          <w:p w14:paraId="53AD9602" w14:textId="6912E7B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c>
          <w:tcPr>
            <w:tcW w:w="1710" w:type="dxa"/>
            <w:noWrap/>
            <w:vAlign w:val="center"/>
          </w:tcPr>
          <w:p w14:paraId="20B83BD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0.0035</w:t>
            </w:r>
          </w:p>
          <w:p w14:paraId="4560A6AA" w14:textId="216AFEA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r>
      <w:tr w:rsidR="008B5B69" w:rsidRPr="008335B5" w14:paraId="4B228F7D" w14:textId="77777777" w:rsidTr="005073C8">
        <w:trPr>
          <w:trHeight w:val="300"/>
        </w:trPr>
        <w:tc>
          <w:tcPr>
            <w:tcW w:w="810" w:type="dxa"/>
            <w:noWrap/>
            <w:vAlign w:val="center"/>
          </w:tcPr>
          <w:p w14:paraId="103ACFB2"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B3E87FA" w14:textId="649E648A"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F35104" w14:textId="64DA84A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978066E" w14:textId="08D209F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530" w:type="dxa"/>
            <w:noWrap/>
            <w:vAlign w:val="center"/>
          </w:tcPr>
          <w:p w14:paraId="6C9B8D17" w14:textId="061F899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680911C" w14:textId="1321205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710" w:type="dxa"/>
            <w:noWrap/>
            <w:vAlign w:val="center"/>
          </w:tcPr>
          <w:p w14:paraId="2D4BAC6D" w14:textId="7448909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0D8B0E3C" w14:textId="77777777" w:rsidTr="005073C8">
        <w:trPr>
          <w:trHeight w:val="300"/>
        </w:trPr>
        <w:tc>
          <w:tcPr>
            <w:tcW w:w="810" w:type="dxa"/>
            <w:noWrap/>
            <w:vAlign w:val="center"/>
            <w:hideMark/>
          </w:tcPr>
          <w:p w14:paraId="551764A9" w14:textId="6F1FED41"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w:t>
            </w:r>
            <w:r w:rsidR="009F702B">
              <w:rPr>
                <w:rFonts w:ascii="Times New Roman" w:hAnsi="Times New Roman" w:cs="Times New Roman"/>
                <w:b/>
                <w:sz w:val="16"/>
                <w:szCs w:val="16"/>
              </w:rPr>
              <w:t>d</w:t>
            </w:r>
          </w:p>
        </w:tc>
        <w:tc>
          <w:tcPr>
            <w:tcW w:w="900" w:type="dxa"/>
            <w:vAlign w:val="center"/>
          </w:tcPr>
          <w:p w14:paraId="01A61155" w14:textId="6E9FCEB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8F6D5E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0.0016</w:t>
            </w:r>
          </w:p>
          <w:p w14:paraId="7D7D801B" w14:textId="043AA5C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p>
        </w:tc>
        <w:tc>
          <w:tcPr>
            <w:tcW w:w="1530" w:type="dxa"/>
            <w:noWrap/>
            <w:vAlign w:val="center"/>
          </w:tcPr>
          <w:p w14:paraId="1CBC56F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52A88E68" w14:textId="2C538FB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0.0019)</w:t>
            </w:r>
          </w:p>
        </w:tc>
        <w:tc>
          <w:tcPr>
            <w:tcW w:w="1530" w:type="dxa"/>
            <w:noWrap/>
            <w:vAlign w:val="center"/>
          </w:tcPr>
          <w:p w14:paraId="65AEF5A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276C1CB3" w14:textId="22F6809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p>
        </w:tc>
        <w:tc>
          <w:tcPr>
            <w:tcW w:w="1530" w:type="dxa"/>
            <w:noWrap/>
            <w:vAlign w:val="center"/>
          </w:tcPr>
          <w:p w14:paraId="196A19A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7995CE99" w14:textId="59C298B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p>
        </w:tc>
        <w:tc>
          <w:tcPr>
            <w:tcW w:w="1710" w:type="dxa"/>
            <w:noWrap/>
            <w:vAlign w:val="center"/>
          </w:tcPr>
          <w:p w14:paraId="6A78378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0.0016</w:t>
            </w:r>
          </w:p>
          <w:p w14:paraId="0323C00B" w14:textId="7D48BC9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p>
        </w:tc>
      </w:tr>
      <w:tr w:rsidR="008B5B69" w:rsidRPr="008335B5" w14:paraId="1584BFDA" w14:textId="77777777" w:rsidTr="005073C8">
        <w:trPr>
          <w:trHeight w:val="300"/>
        </w:trPr>
        <w:tc>
          <w:tcPr>
            <w:tcW w:w="810" w:type="dxa"/>
            <w:noWrap/>
            <w:vAlign w:val="center"/>
          </w:tcPr>
          <w:p w14:paraId="1A14434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6659D0A" w14:textId="03C9AFD4"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34647FC" w14:textId="7BC0D76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26</w:t>
            </w:r>
          </w:p>
        </w:tc>
        <w:tc>
          <w:tcPr>
            <w:tcW w:w="1530" w:type="dxa"/>
            <w:noWrap/>
            <w:vAlign w:val="center"/>
          </w:tcPr>
          <w:p w14:paraId="4A446B58" w14:textId="313BF68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35</w:t>
            </w:r>
          </w:p>
        </w:tc>
        <w:tc>
          <w:tcPr>
            <w:tcW w:w="1530" w:type="dxa"/>
            <w:noWrap/>
            <w:vAlign w:val="center"/>
          </w:tcPr>
          <w:p w14:paraId="3DD6FA91" w14:textId="47EDDA4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32</w:t>
            </w:r>
          </w:p>
        </w:tc>
        <w:tc>
          <w:tcPr>
            <w:tcW w:w="1530" w:type="dxa"/>
            <w:noWrap/>
            <w:vAlign w:val="center"/>
          </w:tcPr>
          <w:p w14:paraId="7B576038" w14:textId="19663E6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6213327D" w14:textId="36EEF15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5B74D558" w14:textId="77777777" w:rsidTr="005073C8">
        <w:trPr>
          <w:trHeight w:val="300"/>
        </w:trPr>
        <w:tc>
          <w:tcPr>
            <w:tcW w:w="810" w:type="dxa"/>
            <w:noWrap/>
            <w:vAlign w:val="center"/>
            <w:hideMark/>
          </w:tcPr>
          <w:p w14:paraId="2AADDC08" w14:textId="74BE01BE"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w:t>
            </w:r>
            <w:r w:rsidR="009F702B">
              <w:rPr>
                <w:rFonts w:ascii="Times New Roman" w:hAnsi="Times New Roman" w:cs="Times New Roman"/>
                <w:b/>
                <w:sz w:val="16"/>
                <w:szCs w:val="16"/>
              </w:rPr>
              <w:t>a</w:t>
            </w:r>
          </w:p>
        </w:tc>
        <w:tc>
          <w:tcPr>
            <w:tcW w:w="900" w:type="dxa"/>
            <w:vAlign w:val="center"/>
          </w:tcPr>
          <w:p w14:paraId="4CA0F7FC" w14:textId="4AF1043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1DCE6DEE" w14:textId="349ABE64"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0.067</w:t>
            </w:r>
          </w:p>
          <w:p w14:paraId="6ADEED47" w14:textId="6FAB685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0.099)</w:t>
            </w:r>
          </w:p>
        </w:tc>
        <w:tc>
          <w:tcPr>
            <w:tcW w:w="1530" w:type="dxa"/>
            <w:noWrap/>
            <w:vAlign w:val="center"/>
          </w:tcPr>
          <w:p w14:paraId="50ED4223"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0.052</w:t>
            </w:r>
          </w:p>
          <w:p w14:paraId="0541BCD9" w14:textId="2F86D34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41C8AD6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0.063</w:t>
            </w:r>
          </w:p>
          <w:p w14:paraId="45F694A4" w14:textId="1261821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0.078)</w:t>
            </w:r>
          </w:p>
        </w:tc>
        <w:tc>
          <w:tcPr>
            <w:tcW w:w="1530" w:type="dxa"/>
            <w:noWrap/>
            <w:vAlign w:val="center"/>
          </w:tcPr>
          <w:p w14:paraId="780CC49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0.059</w:t>
            </w:r>
          </w:p>
          <w:p w14:paraId="1FB1402E" w14:textId="6A8128F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0.072)</w:t>
            </w:r>
          </w:p>
        </w:tc>
        <w:tc>
          <w:tcPr>
            <w:tcW w:w="1710" w:type="dxa"/>
            <w:noWrap/>
            <w:vAlign w:val="center"/>
          </w:tcPr>
          <w:p w14:paraId="08D513A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0.049</w:t>
            </w:r>
          </w:p>
          <w:p w14:paraId="6DF7EE10" w14:textId="5773998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0.056)</w:t>
            </w:r>
          </w:p>
        </w:tc>
      </w:tr>
      <w:tr w:rsidR="008B5B69" w:rsidRPr="008335B5" w14:paraId="1F140627" w14:textId="77777777" w:rsidTr="005073C8">
        <w:trPr>
          <w:trHeight w:val="300"/>
        </w:trPr>
        <w:tc>
          <w:tcPr>
            <w:tcW w:w="810" w:type="dxa"/>
            <w:noWrap/>
            <w:vAlign w:val="center"/>
          </w:tcPr>
          <w:p w14:paraId="780C3A0E"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81C1ABC" w14:textId="1B3C955E"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393A4449" w14:textId="2161296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B5A81E2" w14:textId="08EA5F7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A357B04" w14:textId="7D95E79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0BD1FF8" w14:textId="37D47D7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52804CED" w14:textId="0C7F41B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6E21D7E2" w14:textId="77777777" w:rsidTr="005073C8">
        <w:trPr>
          <w:trHeight w:val="300"/>
        </w:trPr>
        <w:tc>
          <w:tcPr>
            <w:tcW w:w="810" w:type="dxa"/>
            <w:noWrap/>
            <w:vAlign w:val="center"/>
            <w:hideMark/>
          </w:tcPr>
          <w:p w14:paraId="2C2982C9"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Cl</w:t>
            </w:r>
          </w:p>
        </w:tc>
        <w:tc>
          <w:tcPr>
            <w:tcW w:w="900" w:type="dxa"/>
            <w:vAlign w:val="center"/>
          </w:tcPr>
          <w:p w14:paraId="4A13996E" w14:textId="289B327B"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7A7F67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0.046</w:t>
            </w:r>
          </w:p>
          <w:p w14:paraId="4F8B2F7C" w14:textId="0025728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0.077)</w:t>
            </w:r>
          </w:p>
        </w:tc>
        <w:tc>
          <w:tcPr>
            <w:tcW w:w="1530" w:type="dxa"/>
            <w:noWrap/>
            <w:vAlign w:val="center"/>
          </w:tcPr>
          <w:p w14:paraId="05C530C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0.056</w:t>
            </w:r>
          </w:p>
          <w:p w14:paraId="29A9996A" w14:textId="449E3E3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(0.028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0.084)</w:t>
            </w:r>
          </w:p>
        </w:tc>
        <w:tc>
          <w:tcPr>
            <w:tcW w:w="1530" w:type="dxa"/>
            <w:noWrap/>
            <w:vAlign w:val="center"/>
          </w:tcPr>
          <w:p w14:paraId="03AF89D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0.053</w:t>
            </w:r>
          </w:p>
          <w:p w14:paraId="6A6F4A87" w14:textId="62631EA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(0.02</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0.086)</w:t>
            </w:r>
          </w:p>
        </w:tc>
        <w:tc>
          <w:tcPr>
            <w:tcW w:w="1530" w:type="dxa"/>
            <w:noWrap/>
            <w:vAlign w:val="center"/>
          </w:tcPr>
          <w:p w14:paraId="1E1C91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0.049</w:t>
            </w:r>
          </w:p>
          <w:p w14:paraId="4A8B00C6" w14:textId="4B47D75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0.067)</w:t>
            </w:r>
          </w:p>
        </w:tc>
        <w:tc>
          <w:tcPr>
            <w:tcW w:w="1710" w:type="dxa"/>
            <w:noWrap/>
            <w:vAlign w:val="center"/>
          </w:tcPr>
          <w:p w14:paraId="1990D7D0"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0.031</w:t>
            </w:r>
          </w:p>
          <w:p w14:paraId="51A97CB4" w14:textId="33748EA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0.044)</w:t>
            </w:r>
          </w:p>
        </w:tc>
      </w:tr>
      <w:tr w:rsidR="008B5B69" w:rsidRPr="008335B5" w14:paraId="1031B4C3" w14:textId="77777777" w:rsidTr="005073C8">
        <w:trPr>
          <w:trHeight w:val="300"/>
        </w:trPr>
        <w:tc>
          <w:tcPr>
            <w:tcW w:w="810" w:type="dxa"/>
            <w:noWrap/>
            <w:vAlign w:val="center"/>
          </w:tcPr>
          <w:p w14:paraId="3A5A2F4D"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0D5608F" w14:textId="64EC69E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04E621A6" w14:textId="4103885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BA58CAA" w14:textId="6BE654C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9120170" w14:textId="1FE1C01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72CE21EA" w14:textId="347FD4C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68F8145A" w14:textId="055A370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1960E9AD" w14:textId="77777777" w:rsidTr="005073C8">
        <w:trPr>
          <w:trHeight w:val="300"/>
        </w:trPr>
        <w:tc>
          <w:tcPr>
            <w:tcW w:w="810" w:type="dxa"/>
            <w:noWrap/>
            <w:vAlign w:val="center"/>
            <w:hideMark/>
          </w:tcPr>
          <w:p w14:paraId="2363F8C8"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Cu</w:t>
            </w:r>
          </w:p>
        </w:tc>
        <w:tc>
          <w:tcPr>
            <w:tcW w:w="900" w:type="dxa"/>
            <w:vAlign w:val="center"/>
          </w:tcPr>
          <w:p w14:paraId="16D25745" w14:textId="19A23E3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6608EA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w:t>
            </w:r>
          </w:p>
          <w:p w14:paraId="4D4BD7EA" w14:textId="67F67E8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0.0029)</w:t>
            </w:r>
          </w:p>
        </w:tc>
        <w:tc>
          <w:tcPr>
            <w:tcW w:w="1530" w:type="dxa"/>
            <w:noWrap/>
            <w:vAlign w:val="center"/>
          </w:tcPr>
          <w:p w14:paraId="373053B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0.0042</w:t>
            </w:r>
          </w:p>
          <w:p w14:paraId="71A6FBE1" w14:textId="6C5C979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0.0054)</w:t>
            </w:r>
          </w:p>
        </w:tc>
        <w:tc>
          <w:tcPr>
            <w:tcW w:w="1530" w:type="dxa"/>
            <w:noWrap/>
            <w:vAlign w:val="center"/>
          </w:tcPr>
          <w:p w14:paraId="3F4E3CB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0.0045</w:t>
            </w:r>
          </w:p>
          <w:p w14:paraId="2E19D8B5" w14:textId="10B65E5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0.0059)</w:t>
            </w:r>
          </w:p>
        </w:tc>
        <w:tc>
          <w:tcPr>
            <w:tcW w:w="1530" w:type="dxa"/>
            <w:noWrap/>
            <w:vAlign w:val="center"/>
          </w:tcPr>
          <w:p w14:paraId="7AF0C58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0.0048</w:t>
            </w:r>
          </w:p>
          <w:p w14:paraId="309B55DF" w14:textId="0F9CF0A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0.006</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5DCCDDE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0.0042</w:t>
            </w:r>
          </w:p>
          <w:p w14:paraId="523A15BE" w14:textId="16412FA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0.0048)</w:t>
            </w:r>
          </w:p>
        </w:tc>
      </w:tr>
      <w:tr w:rsidR="008B5B69" w:rsidRPr="008335B5" w14:paraId="111F888B" w14:textId="77777777" w:rsidTr="005073C8">
        <w:trPr>
          <w:trHeight w:val="300"/>
        </w:trPr>
        <w:tc>
          <w:tcPr>
            <w:tcW w:w="810" w:type="dxa"/>
            <w:noWrap/>
            <w:vAlign w:val="center"/>
          </w:tcPr>
          <w:p w14:paraId="1743B9D4"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C3CAFF7" w14:textId="003A9FF4"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F37682D" w14:textId="5346E61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71</w:t>
            </w:r>
          </w:p>
        </w:tc>
        <w:tc>
          <w:tcPr>
            <w:tcW w:w="1530" w:type="dxa"/>
            <w:noWrap/>
            <w:vAlign w:val="center"/>
          </w:tcPr>
          <w:p w14:paraId="6BA47131" w14:textId="473273C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1E9765C1" w14:textId="6815B5F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312767D1" w14:textId="1C4161F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FC69A70" w14:textId="144AE8F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4D5743CF" w14:textId="77777777" w:rsidTr="005073C8">
        <w:trPr>
          <w:trHeight w:val="300"/>
        </w:trPr>
        <w:tc>
          <w:tcPr>
            <w:tcW w:w="810" w:type="dxa"/>
            <w:noWrap/>
            <w:vAlign w:val="center"/>
            <w:hideMark/>
          </w:tcPr>
          <w:p w14:paraId="35F1488C"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Fe</w:t>
            </w:r>
          </w:p>
        </w:tc>
        <w:tc>
          <w:tcPr>
            <w:tcW w:w="900" w:type="dxa"/>
            <w:vAlign w:val="center"/>
          </w:tcPr>
          <w:p w14:paraId="7DAB082A" w14:textId="43F17CB8"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092CA5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0.053</w:t>
            </w:r>
          </w:p>
          <w:p w14:paraId="0478ED44" w14:textId="12C8D85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0.066)</w:t>
            </w:r>
          </w:p>
        </w:tc>
        <w:tc>
          <w:tcPr>
            <w:tcW w:w="1530" w:type="dxa"/>
            <w:noWrap/>
            <w:vAlign w:val="center"/>
          </w:tcPr>
          <w:p w14:paraId="48A4AFF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0.082</w:t>
            </w:r>
          </w:p>
          <w:p w14:paraId="2E330B57" w14:textId="4F9642F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01</w:t>
            </w:r>
            <w:r w:rsidRPr="008335B5">
              <w:rPr>
                <w:rFonts w:ascii="Times New Roman" w:hAnsi="Times New Roman" w:cs="Times New Roman"/>
                <w:color w:val="000000"/>
                <w:sz w:val="16"/>
                <w:szCs w:val="16"/>
              </w:rPr>
              <w:t>)</w:t>
            </w:r>
          </w:p>
        </w:tc>
        <w:tc>
          <w:tcPr>
            <w:tcW w:w="1530" w:type="dxa"/>
            <w:noWrap/>
            <w:vAlign w:val="center"/>
          </w:tcPr>
          <w:p w14:paraId="0DAEB1C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0.085</w:t>
            </w:r>
          </w:p>
          <w:p w14:paraId="7746E6F0" w14:textId="7228201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03</w:t>
            </w:r>
            <w:r w:rsidRPr="008335B5">
              <w:rPr>
                <w:rFonts w:ascii="Times New Roman" w:hAnsi="Times New Roman" w:cs="Times New Roman"/>
                <w:color w:val="000000"/>
                <w:sz w:val="16"/>
                <w:szCs w:val="16"/>
              </w:rPr>
              <w:t>)</w:t>
            </w:r>
          </w:p>
        </w:tc>
        <w:tc>
          <w:tcPr>
            <w:tcW w:w="1530" w:type="dxa"/>
            <w:noWrap/>
            <w:vAlign w:val="center"/>
          </w:tcPr>
          <w:p w14:paraId="0AF74677" w14:textId="4D9E605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09</w:t>
            </w:r>
          </w:p>
          <w:p w14:paraId="76167953" w14:textId="7F7499F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37</w:t>
            </w:r>
            <w:r w:rsidRPr="008335B5">
              <w:rPr>
                <w:rFonts w:ascii="Times New Roman" w:hAnsi="Times New Roman" w:cs="Times New Roman"/>
                <w:color w:val="000000"/>
                <w:sz w:val="16"/>
                <w:szCs w:val="16"/>
              </w:rPr>
              <w:t>)</w:t>
            </w:r>
          </w:p>
        </w:tc>
        <w:tc>
          <w:tcPr>
            <w:tcW w:w="1710" w:type="dxa"/>
            <w:noWrap/>
            <w:vAlign w:val="center"/>
          </w:tcPr>
          <w:p w14:paraId="4BE31C7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0.095</w:t>
            </w:r>
          </w:p>
          <w:p w14:paraId="573953F8" w14:textId="4FE2973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(0.078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1</w:t>
            </w:r>
            <w:r w:rsidRPr="008335B5">
              <w:rPr>
                <w:rFonts w:ascii="Times New Roman" w:hAnsi="Times New Roman" w:cs="Times New Roman"/>
                <w:color w:val="000000"/>
                <w:sz w:val="16"/>
                <w:szCs w:val="16"/>
              </w:rPr>
              <w:t>1)</w:t>
            </w:r>
          </w:p>
        </w:tc>
      </w:tr>
      <w:tr w:rsidR="008B5B69" w:rsidRPr="008335B5" w14:paraId="37E6E9C6" w14:textId="77777777" w:rsidTr="005073C8">
        <w:trPr>
          <w:trHeight w:val="300"/>
        </w:trPr>
        <w:tc>
          <w:tcPr>
            <w:tcW w:w="810" w:type="dxa"/>
            <w:noWrap/>
            <w:vAlign w:val="center"/>
          </w:tcPr>
          <w:p w14:paraId="0CFABBF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A0972F5" w14:textId="224A88CB"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78BE963" w14:textId="1D194FC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3D854046" w14:textId="1B7F3109"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3BFF97F2" w14:textId="158B9E3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5774E293" w14:textId="0439F28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3A24FC11" w14:textId="0168EE6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F2AB67C" w14:textId="77777777" w:rsidTr="005073C8">
        <w:trPr>
          <w:trHeight w:val="300"/>
        </w:trPr>
        <w:tc>
          <w:tcPr>
            <w:tcW w:w="810" w:type="dxa"/>
            <w:noWrap/>
            <w:vAlign w:val="center"/>
            <w:hideMark/>
          </w:tcPr>
          <w:p w14:paraId="27D1399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Pb</w:t>
            </w:r>
          </w:p>
        </w:tc>
        <w:tc>
          <w:tcPr>
            <w:tcW w:w="900" w:type="dxa"/>
            <w:vAlign w:val="center"/>
          </w:tcPr>
          <w:p w14:paraId="33BC66E9" w14:textId="0DF72F1A"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49E7B3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209A093B" w14:textId="4E3F7CA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0.0022)</w:t>
            </w:r>
          </w:p>
        </w:tc>
        <w:tc>
          <w:tcPr>
            <w:tcW w:w="1530" w:type="dxa"/>
            <w:noWrap/>
            <w:vAlign w:val="center"/>
          </w:tcPr>
          <w:p w14:paraId="10121C5C"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0.0026</w:t>
            </w:r>
          </w:p>
          <w:p w14:paraId="5060CD96" w14:textId="166732B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0.0034)</w:t>
            </w:r>
          </w:p>
        </w:tc>
        <w:tc>
          <w:tcPr>
            <w:tcW w:w="1530" w:type="dxa"/>
            <w:noWrap/>
            <w:vAlign w:val="center"/>
          </w:tcPr>
          <w:p w14:paraId="4649CEC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0.0025</w:t>
            </w:r>
          </w:p>
          <w:p w14:paraId="2CBBD354" w14:textId="4225FC3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0.0031)</w:t>
            </w:r>
          </w:p>
        </w:tc>
        <w:tc>
          <w:tcPr>
            <w:tcW w:w="1530" w:type="dxa"/>
            <w:noWrap/>
            <w:vAlign w:val="center"/>
          </w:tcPr>
          <w:p w14:paraId="7D7F02E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3CA6FD35" w14:textId="0AE13A1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0.0038)</w:t>
            </w:r>
          </w:p>
        </w:tc>
        <w:tc>
          <w:tcPr>
            <w:tcW w:w="1710" w:type="dxa"/>
            <w:noWrap/>
            <w:vAlign w:val="center"/>
          </w:tcPr>
          <w:p w14:paraId="4FAAC042" w14:textId="42D0CA63"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w:t>
            </w:r>
            <w:r w:rsidR="00E96F90">
              <w:rPr>
                <w:rFonts w:ascii="Times New Roman" w:hAnsi="Times New Roman" w:cs="Times New Roman"/>
                <w:color w:val="000000"/>
                <w:sz w:val="16"/>
                <w:szCs w:val="16"/>
              </w:rPr>
              <w:t>0</w:t>
            </w:r>
          </w:p>
          <w:p w14:paraId="6D4C9CDD" w14:textId="3B7697C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0.0037)</w:t>
            </w:r>
          </w:p>
        </w:tc>
      </w:tr>
      <w:tr w:rsidR="008B5B69" w:rsidRPr="008335B5" w14:paraId="014953AE" w14:textId="77777777" w:rsidTr="005073C8">
        <w:trPr>
          <w:trHeight w:val="300"/>
        </w:trPr>
        <w:tc>
          <w:tcPr>
            <w:tcW w:w="810" w:type="dxa"/>
            <w:noWrap/>
            <w:vAlign w:val="center"/>
          </w:tcPr>
          <w:p w14:paraId="03C41DB4"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5B42A8E" w14:textId="5ED6BAE8"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3BD14AD9" w14:textId="63848D3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673148B0" w14:textId="34F9A76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8BE6A51" w14:textId="1F4D43B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C019238" w14:textId="71EDAA9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135364A9" w14:textId="28B73EE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6C1A1E9B" w14:textId="77777777" w:rsidTr="005073C8">
        <w:trPr>
          <w:trHeight w:val="300"/>
        </w:trPr>
        <w:tc>
          <w:tcPr>
            <w:tcW w:w="810" w:type="dxa"/>
            <w:noWrap/>
            <w:vAlign w:val="center"/>
            <w:hideMark/>
          </w:tcPr>
          <w:p w14:paraId="14A7719D"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Hg</w:t>
            </w:r>
          </w:p>
        </w:tc>
        <w:tc>
          <w:tcPr>
            <w:tcW w:w="900" w:type="dxa"/>
            <w:vAlign w:val="center"/>
          </w:tcPr>
          <w:p w14:paraId="63C005B9" w14:textId="4D7A0BC1"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5D6AEA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0.00091</w:t>
            </w:r>
          </w:p>
          <w:p w14:paraId="76BE6135" w14:textId="5EB9DB2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0.0011</w:t>
            </w:r>
            <w:r w:rsidR="009F702B">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c>
          <w:tcPr>
            <w:tcW w:w="1530" w:type="dxa"/>
            <w:noWrap/>
            <w:vAlign w:val="center"/>
          </w:tcPr>
          <w:p w14:paraId="3193A00B" w14:textId="6E105CC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00A431E8" w14:textId="1B18428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0.0012)</w:t>
            </w:r>
          </w:p>
        </w:tc>
        <w:tc>
          <w:tcPr>
            <w:tcW w:w="1530" w:type="dxa"/>
            <w:noWrap/>
            <w:vAlign w:val="center"/>
          </w:tcPr>
          <w:p w14:paraId="5322670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0.00096</w:t>
            </w:r>
          </w:p>
          <w:p w14:paraId="361B4A4D" w14:textId="5EFAB5E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0.0011)</w:t>
            </w:r>
          </w:p>
        </w:tc>
        <w:tc>
          <w:tcPr>
            <w:tcW w:w="1530" w:type="dxa"/>
            <w:noWrap/>
            <w:vAlign w:val="center"/>
          </w:tcPr>
          <w:p w14:paraId="4298B95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0.00088</w:t>
            </w:r>
          </w:p>
          <w:p w14:paraId="4FFE4E94" w14:textId="74E0F4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r w:rsidRPr="008335B5">
              <w:rPr>
                <w:rFonts w:ascii="Times New Roman" w:hAnsi="Times New Roman" w:cs="Times New Roman"/>
                <w:color w:val="000000"/>
                <w:sz w:val="16"/>
                <w:szCs w:val="16"/>
              </w:rPr>
              <w:t>)</w:t>
            </w:r>
          </w:p>
        </w:tc>
        <w:tc>
          <w:tcPr>
            <w:tcW w:w="1710" w:type="dxa"/>
            <w:noWrap/>
            <w:vAlign w:val="center"/>
          </w:tcPr>
          <w:p w14:paraId="3681F63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0.00094</w:t>
            </w:r>
          </w:p>
          <w:p w14:paraId="6A196A91" w14:textId="4CB12E3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02</w:t>
            </w:r>
            <w:r w:rsidRPr="008335B5">
              <w:rPr>
                <w:rFonts w:ascii="Times New Roman" w:hAnsi="Times New Roman" w:cs="Times New Roman"/>
                <w:color w:val="000000"/>
                <w:sz w:val="16"/>
                <w:szCs w:val="16"/>
              </w:rPr>
              <w:t>)</w:t>
            </w:r>
          </w:p>
        </w:tc>
      </w:tr>
      <w:tr w:rsidR="008B5B69" w:rsidRPr="008335B5" w14:paraId="702CB96B" w14:textId="77777777" w:rsidTr="005073C8">
        <w:trPr>
          <w:trHeight w:val="300"/>
        </w:trPr>
        <w:tc>
          <w:tcPr>
            <w:tcW w:w="810" w:type="dxa"/>
            <w:noWrap/>
            <w:vAlign w:val="center"/>
          </w:tcPr>
          <w:p w14:paraId="6D746893"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25DCC5DE" w14:textId="5E21CE51"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19F8FDF" w14:textId="0438E225"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20</w:t>
            </w:r>
          </w:p>
        </w:tc>
        <w:tc>
          <w:tcPr>
            <w:tcW w:w="1530" w:type="dxa"/>
            <w:noWrap/>
            <w:vAlign w:val="center"/>
          </w:tcPr>
          <w:p w14:paraId="015F16A9" w14:textId="11D034D5"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37F51129" w14:textId="1B23A12B"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24</w:t>
            </w:r>
          </w:p>
        </w:tc>
        <w:tc>
          <w:tcPr>
            <w:tcW w:w="1530" w:type="dxa"/>
            <w:noWrap/>
            <w:vAlign w:val="center"/>
          </w:tcPr>
          <w:p w14:paraId="4FA01B7A" w14:textId="0841BDC1"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710" w:type="dxa"/>
            <w:noWrap/>
            <w:vAlign w:val="center"/>
          </w:tcPr>
          <w:p w14:paraId="4C4AE47F" w14:textId="2BBDF4A7"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57</w:t>
            </w:r>
          </w:p>
        </w:tc>
      </w:tr>
      <w:tr w:rsidR="008B5B69" w:rsidRPr="008335B5" w14:paraId="2A5673B5" w14:textId="77777777" w:rsidTr="005073C8">
        <w:trPr>
          <w:trHeight w:val="300"/>
        </w:trPr>
        <w:tc>
          <w:tcPr>
            <w:tcW w:w="810" w:type="dxa"/>
            <w:noWrap/>
            <w:vAlign w:val="center"/>
          </w:tcPr>
          <w:p w14:paraId="62A5222B" w14:textId="65A82AD8" w:rsidR="005271BF" w:rsidRPr="008335B5" w:rsidRDefault="009F702B" w:rsidP="005073C8">
            <w:pPr>
              <w:jc w:val="center"/>
              <w:rPr>
                <w:rFonts w:ascii="Times New Roman" w:hAnsi="Times New Roman" w:cs="Times New Roman"/>
                <w:b/>
                <w:sz w:val="16"/>
                <w:szCs w:val="16"/>
              </w:rPr>
            </w:pPr>
            <w:r>
              <w:rPr>
                <w:rFonts w:ascii="Times New Roman" w:hAnsi="Times New Roman" w:cs="Times New Roman"/>
                <w:b/>
                <w:sz w:val="16"/>
                <w:szCs w:val="16"/>
              </w:rPr>
              <w:t>Ni</w:t>
            </w:r>
          </w:p>
        </w:tc>
        <w:tc>
          <w:tcPr>
            <w:tcW w:w="900" w:type="dxa"/>
            <w:vAlign w:val="center"/>
          </w:tcPr>
          <w:p w14:paraId="5400D942" w14:textId="332410F6"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4864EC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0.00032</w:t>
            </w:r>
          </w:p>
          <w:p w14:paraId="741CAD1A" w14:textId="7CC26335" w:rsidR="005271BF" w:rsidRP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(0.00021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0.00043)</w:t>
            </w:r>
          </w:p>
        </w:tc>
        <w:tc>
          <w:tcPr>
            <w:tcW w:w="1530" w:type="dxa"/>
            <w:noWrap/>
            <w:vAlign w:val="center"/>
          </w:tcPr>
          <w:p w14:paraId="58FCC8A1" w14:textId="288824D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0B29A45A" w14:textId="09FA582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0.0013</w:t>
            </w:r>
            <w:r w:rsidR="009F702B">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c>
          <w:tcPr>
            <w:tcW w:w="1530" w:type="dxa"/>
            <w:noWrap/>
            <w:vAlign w:val="center"/>
          </w:tcPr>
          <w:p w14:paraId="36A193E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0.00095</w:t>
            </w:r>
          </w:p>
          <w:p w14:paraId="5792C55E" w14:textId="2B0550A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19</w:t>
            </w:r>
            <w:r w:rsidRPr="008335B5">
              <w:rPr>
                <w:rFonts w:ascii="Times New Roman" w:hAnsi="Times New Roman" w:cs="Times New Roman"/>
                <w:color w:val="000000"/>
                <w:sz w:val="16"/>
                <w:szCs w:val="16"/>
              </w:rPr>
              <w:t>)</w:t>
            </w:r>
          </w:p>
        </w:tc>
        <w:tc>
          <w:tcPr>
            <w:tcW w:w="1530" w:type="dxa"/>
            <w:noWrap/>
            <w:vAlign w:val="center"/>
          </w:tcPr>
          <w:p w14:paraId="42FDF348" w14:textId="05F3A91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0.0013</w:t>
            </w:r>
            <w:r w:rsidR="009F702B">
              <w:rPr>
                <w:rFonts w:ascii="Times New Roman" w:hAnsi="Times New Roman" w:cs="Times New Roman"/>
                <w:color w:val="000000"/>
                <w:sz w:val="16"/>
                <w:szCs w:val="16"/>
              </w:rPr>
              <w:t>3</w:t>
            </w:r>
          </w:p>
          <w:p w14:paraId="34AA9B97" w14:textId="6FAB182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(0.00091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r w:rsidR="009F702B">
              <w:rPr>
                <w:rFonts w:ascii="Times New Roman" w:hAnsi="Times New Roman" w:cs="Times New Roman"/>
                <w:color w:val="000000"/>
                <w:sz w:val="16"/>
                <w:szCs w:val="16"/>
              </w:rPr>
              <w:t>5</w:t>
            </w:r>
            <w:r w:rsidRPr="008335B5">
              <w:rPr>
                <w:rFonts w:ascii="Times New Roman" w:hAnsi="Times New Roman" w:cs="Times New Roman"/>
                <w:color w:val="000000"/>
                <w:sz w:val="16"/>
                <w:szCs w:val="16"/>
              </w:rPr>
              <w:t>)</w:t>
            </w:r>
          </w:p>
        </w:tc>
        <w:tc>
          <w:tcPr>
            <w:tcW w:w="1710" w:type="dxa"/>
            <w:noWrap/>
            <w:vAlign w:val="center"/>
          </w:tcPr>
          <w:p w14:paraId="6DE29227" w14:textId="43D32A4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18</w:t>
            </w:r>
          </w:p>
          <w:p w14:paraId="101FADAD" w14:textId="76BE382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47</w:t>
            </w:r>
            <w:r w:rsidRPr="008335B5">
              <w:rPr>
                <w:rFonts w:ascii="Times New Roman" w:hAnsi="Times New Roman" w:cs="Times New Roman"/>
                <w:color w:val="000000"/>
                <w:sz w:val="16"/>
                <w:szCs w:val="16"/>
              </w:rPr>
              <w:t>)</w:t>
            </w:r>
          </w:p>
        </w:tc>
      </w:tr>
      <w:tr w:rsidR="00A30C23" w:rsidRPr="008335B5" w14:paraId="7DED9D50" w14:textId="77777777" w:rsidTr="005073C8">
        <w:trPr>
          <w:trHeight w:val="300"/>
        </w:trPr>
        <w:tc>
          <w:tcPr>
            <w:tcW w:w="810" w:type="dxa"/>
            <w:noWrap/>
            <w:vAlign w:val="center"/>
          </w:tcPr>
          <w:p w14:paraId="66B5B441" w14:textId="77777777" w:rsidR="000A7E8B" w:rsidRPr="009F702B" w:rsidRDefault="000A7E8B" w:rsidP="005073C8">
            <w:pPr>
              <w:jc w:val="center"/>
              <w:rPr>
                <w:rFonts w:ascii="Times New Roman" w:hAnsi="Times New Roman" w:cs="Times New Roman"/>
                <w:b/>
                <w:sz w:val="16"/>
                <w:szCs w:val="16"/>
              </w:rPr>
            </w:pPr>
          </w:p>
        </w:tc>
        <w:tc>
          <w:tcPr>
            <w:tcW w:w="900" w:type="dxa"/>
            <w:vAlign w:val="center"/>
          </w:tcPr>
          <w:p w14:paraId="63D11DC5" w14:textId="09AB765A" w:rsidR="000A7E8B" w:rsidRPr="008335B5" w:rsidRDefault="000A7E8B"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6FE794" w14:textId="049D8C12"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281410E1" w14:textId="2B1331E8"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4D841BC" w14:textId="1A6E60EF"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175E9367" w14:textId="17896786"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2249A28C" w14:textId="0D554A16"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4B98594" w14:textId="77777777" w:rsidTr="005073C8">
        <w:trPr>
          <w:trHeight w:val="300"/>
        </w:trPr>
        <w:tc>
          <w:tcPr>
            <w:tcW w:w="810" w:type="dxa"/>
            <w:noWrap/>
            <w:vAlign w:val="center"/>
            <w:hideMark/>
          </w:tcPr>
          <w:p w14:paraId="411509A8" w14:textId="625280CE" w:rsidR="005271BF" w:rsidRPr="009F702B" w:rsidRDefault="009F702B" w:rsidP="005073C8">
            <w:pPr>
              <w:jc w:val="center"/>
              <w:rPr>
                <w:rFonts w:ascii="Times New Roman" w:hAnsi="Times New Roman" w:cs="Times New Roman"/>
                <w:b/>
                <w:sz w:val="16"/>
                <w:szCs w:val="16"/>
              </w:rPr>
            </w:pPr>
            <w:r w:rsidRPr="009F702B">
              <w:rPr>
                <w:rFonts w:ascii="Times New Roman" w:hAnsi="Times New Roman" w:cs="Times New Roman"/>
                <w:b/>
                <w:sz w:val="16"/>
                <w:szCs w:val="16"/>
              </w:rPr>
              <w:t>Si</w:t>
            </w:r>
          </w:p>
        </w:tc>
        <w:tc>
          <w:tcPr>
            <w:tcW w:w="900" w:type="dxa"/>
            <w:vAlign w:val="center"/>
          </w:tcPr>
          <w:p w14:paraId="4D6218D9" w14:textId="3274A40F"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E65C7AD" w14:textId="70D5404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38</w:t>
            </w:r>
          </w:p>
          <w:p w14:paraId="5F205ADB" w14:textId="2463823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69</w:t>
            </w:r>
            <w:r w:rsidRPr="008335B5">
              <w:rPr>
                <w:rFonts w:ascii="Times New Roman" w:hAnsi="Times New Roman" w:cs="Times New Roman"/>
                <w:color w:val="000000"/>
                <w:sz w:val="16"/>
                <w:szCs w:val="16"/>
              </w:rPr>
              <w:t>)</w:t>
            </w:r>
          </w:p>
        </w:tc>
        <w:tc>
          <w:tcPr>
            <w:tcW w:w="1530" w:type="dxa"/>
            <w:noWrap/>
            <w:vAlign w:val="center"/>
          </w:tcPr>
          <w:p w14:paraId="590CB3C3" w14:textId="3F186A2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19</w:t>
            </w:r>
          </w:p>
          <w:p w14:paraId="774A61D1" w14:textId="26AD401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0.14</w:t>
            </w:r>
            <w:r w:rsidR="009F702B">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2BAC76EF" w14:textId="3F680F8F"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25</w:t>
            </w:r>
          </w:p>
          <w:p w14:paraId="7B977C18" w14:textId="1F811DA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56</w:t>
            </w:r>
            <w:r w:rsidRPr="008335B5">
              <w:rPr>
                <w:rFonts w:ascii="Times New Roman" w:hAnsi="Times New Roman" w:cs="Times New Roman"/>
                <w:color w:val="000000"/>
                <w:sz w:val="16"/>
                <w:szCs w:val="16"/>
              </w:rPr>
              <w:t>)</w:t>
            </w:r>
          </w:p>
        </w:tc>
        <w:tc>
          <w:tcPr>
            <w:tcW w:w="1530" w:type="dxa"/>
            <w:noWrap/>
            <w:vAlign w:val="center"/>
          </w:tcPr>
          <w:p w14:paraId="5D80EB7D" w14:textId="74AAFA9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03</w:t>
            </w:r>
          </w:p>
          <w:p w14:paraId="7D809795" w14:textId="5E5B578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0.12</w:t>
            </w:r>
            <w:r w:rsidR="009F702B">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573C09C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0.099</w:t>
            </w:r>
          </w:p>
          <w:p w14:paraId="49441A80" w14:textId="31F326E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09</w:t>
            </w:r>
            <w:r w:rsidRPr="008335B5">
              <w:rPr>
                <w:rFonts w:ascii="Times New Roman" w:hAnsi="Times New Roman" w:cs="Times New Roman"/>
                <w:color w:val="000000"/>
                <w:sz w:val="16"/>
                <w:szCs w:val="16"/>
              </w:rPr>
              <w:t>)</w:t>
            </w:r>
          </w:p>
        </w:tc>
      </w:tr>
      <w:tr w:rsidR="008B5B69" w:rsidRPr="008335B5" w14:paraId="774BECB3" w14:textId="77777777" w:rsidTr="005073C8">
        <w:trPr>
          <w:trHeight w:val="300"/>
        </w:trPr>
        <w:tc>
          <w:tcPr>
            <w:tcW w:w="810" w:type="dxa"/>
            <w:noWrap/>
            <w:vAlign w:val="center"/>
          </w:tcPr>
          <w:p w14:paraId="7720EA5C" w14:textId="77777777" w:rsidR="005271BF" w:rsidRPr="009F702B" w:rsidRDefault="005271BF" w:rsidP="005073C8">
            <w:pPr>
              <w:jc w:val="center"/>
              <w:rPr>
                <w:rFonts w:ascii="Times New Roman" w:hAnsi="Times New Roman" w:cs="Times New Roman"/>
                <w:b/>
                <w:sz w:val="16"/>
                <w:szCs w:val="16"/>
              </w:rPr>
            </w:pPr>
          </w:p>
        </w:tc>
        <w:tc>
          <w:tcPr>
            <w:tcW w:w="900" w:type="dxa"/>
            <w:vAlign w:val="center"/>
          </w:tcPr>
          <w:p w14:paraId="44CBB55F" w14:textId="3FC697B6"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5F9D15B" w14:textId="05D819C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6BE173B6" w14:textId="0643AA7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4320FD49" w14:textId="0C912EE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3A1B036" w14:textId="4B3AB1B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CF1E786" w14:textId="6F552C9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63B1940" w14:textId="77777777" w:rsidTr="005073C8">
        <w:trPr>
          <w:trHeight w:val="300"/>
        </w:trPr>
        <w:tc>
          <w:tcPr>
            <w:tcW w:w="810" w:type="dxa"/>
            <w:noWrap/>
            <w:vAlign w:val="center"/>
            <w:hideMark/>
          </w:tcPr>
          <w:p w14:paraId="6C4659E0" w14:textId="11168B21" w:rsidR="005271BF" w:rsidRPr="009F702B" w:rsidRDefault="009F702B" w:rsidP="005073C8">
            <w:pPr>
              <w:jc w:val="center"/>
              <w:rPr>
                <w:rFonts w:ascii="Times New Roman" w:hAnsi="Times New Roman" w:cs="Times New Roman"/>
                <w:b/>
                <w:sz w:val="16"/>
                <w:szCs w:val="16"/>
              </w:rPr>
            </w:pPr>
            <w:r w:rsidRPr="009F702B">
              <w:rPr>
                <w:rFonts w:ascii="Times New Roman" w:hAnsi="Times New Roman" w:cs="Times New Roman"/>
                <w:b/>
                <w:sz w:val="16"/>
                <w:szCs w:val="16"/>
              </w:rPr>
              <w:t>Na</w:t>
            </w:r>
          </w:p>
        </w:tc>
        <w:tc>
          <w:tcPr>
            <w:tcW w:w="900" w:type="dxa"/>
            <w:vAlign w:val="center"/>
          </w:tcPr>
          <w:p w14:paraId="4E3E200A" w14:textId="7213B0B2"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4F6F6D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0.073</w:t>
            </w:r>
          </w:p>
          <w:p w14:paraId="61F2E1C8" w14:textId="7C94FDD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04</w:t>
            </w:r>
            <w:r w:rsidRPr="008335B5">
              <w:rPr>
                <w:rFonts w:ascii="Times New Roman" w:hAnsi="Times New Roman" w:cs="Times New Roman"/>
                <w:color w:val="000000"/>
                <w:sz w:val="16"/>
                <w:szCs w:val="16"/>
              </w:rPr>
              <w:t>)</w:t>
            </w:r>
          </w:p>
        </w:tc>
        <w:tc>
          <w:tcPr>
            <w:tcW w:w="1530" w:type="dxa"/>
            <w:noWrap/>
            <w:vAlign w:val="center"/>
          </w:tcPr>
          <w:p w14:paraId="6ED5E40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0.083</w:t>
            </w:r>
          </w:p>
          <w:p w14:paraId="3DCC95CA" w14:textId="7ADC13A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0.11</w:t>
            </w:r>
            <w:r w:rsidR="009F702B">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530" w:type="dxa"/>
            <w:noWrap/>
            <w:vAlign w:val="center"/>
          </w:tcPr>
          <w:p w14:paraId="6280214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0.099</w:t>
            </w:r>
          </w:p>
          <w:p w14:paraId="6C9B41F1" w14:textId="3CD6456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w:t>
            </w:r>
            <w:r w:rsidR="009F702B">
              <w:rPr>
                <w:rFonts w:ascii="Times New Roman" w:hAnsi="Times New Roman" w:cs="Times New Roman"/>
                <w:color w:val="000000"/>
                <w:sz w:val="16"/>
                <w:szCs w:val="16"/>
              </w:rPr>
              <w:t>60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38</w:t>
            </w:r>
            <w:r w:rsidRPr="008335B5">
              <w:rPr>
                <w:rFonts w:ascii="Times New Roman" w:hAnsi="Times New Roman" w:cs="Times New Roman"/>
                <w:color w:val="000000"/>
                <w:sz w:val="16"/>
                <w:szCs w:val="16"/>
              </w:rPr>
              <w:t>)</w:t>
            </w:r>
          </w:p>
        </w:tc>
        <w:tc>
          <w:tcPr>
            <w:tcW w:w="1530" w:type="dxa"/>
            <w:noWrap/>
            <w:vAlign w:val="center"/>
          </w:tcPr>
          <w:p w14:paraId="7EFCD0D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0.097</w:t>
            </w:r>
          </w:p>
          <w:p w14:paraId="1B3DB968" w14:textId="716DC8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28</w:t>
            </w:r>
            <w:r w:rsidRPr="008335B5">
              <w:rPr>
                <w:rFonts w:ascii="Times New Roman" w:hAnsi="Times New Roman" w:cs="Times New Roman"/>
                <w:color w:val="000000"/>
                <w:sz w:val="16"/>
                <w:szCs w:val="16"/>
              </w:rPr>
              <w:t>)</w:t>
            </w:r>
          </w:p>
        </w:tc>
        <w:tc>
          <w:tcPr>
            <w:tcW w:w="1710" w:type="dxa"/>
            <w:noWrap/>
            <w:vAlign w:val="center"/>
          </w:tcPr>
          <w:p w14:paraId="7E443BFB"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0.071</w:t>
            </w:r>
          </w:p>
          <w:p w14:paraId="29FE9231" w14:textId="3C1EA24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0.089)</w:t>
            </w:r>
          </w:p>
        </w:tc>
      </w:tr>
      <w:tr w:rsidR="008B5B69" w:rsidRPr="008335B5" w14:paraId="66383A3F" w14:textId="77777777" w:rsidTr="005073C8">
        <w:trPr>
          <w:trHeight w:val="300"/>
        </w:trPr>
        <w:tc>
          <w:tcPr>
            <w:tcW w:w="810" w:type="dxa"/>
            <w:noWrap/>
            <w:vAlign w:val="center"/>
          </w:tcPr>
          <w:p w14:paraId="019315A0"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2B1562C" w14:textId="786E8A0E"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438E8E" w14:textId="588E32E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67</w:t>
            </w:r>
          </w:p>
        </w:tc>
        <w:tc>
          <w:tcPr>
            <w:tcW w:w="1530" w:type="dxa"/>
            <w:noWrap/>
            <w:vAlign w:val="center"/>
          </w:tcPr>
          <w:p w14:paraId="02C0C840" w14:textId="681483A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43</w:t>
            </w:r>
          </w:p>
        </w:tc>
        <w:tc>
          <w:tcPr>
            <w:tcW w:w="1530" w:type="dxa"/>
            <w:noWrap/>
            <w:vAlign w:val="center"/>
          </w:tcPr>
          <w:p w14:paraId="38CEDE45" w14:textId="21AB805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36</w:t>
            </w:r>
          </w:p>
        </w:tc>
        <w:tc>
          <w:tcPr>
            <w:tcW w:w="1530" w:type="dxa"/>
            <w:noWrap/>
            <w:vAlign w:val="center"/>
          </w:tcPr>
          <w:p w14:paraId="7331DE8C" w14:textId="77C1149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710" w:type="dxa"/>
            <w:noWrap/>
            <w:vAlign w:val="center"/>
          </w:tcPr>
          <w:p w14:paraId="5B339DC3" w14:textId="6608E38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451B8206" w14:textId="77777777" w:rsidTr="005073C8">
        <w:trPr>
          <w:trHeight w:val="300"/>
        </w:trPr>
        <w:tc>
          <w:tcPr>
            <w:tcW w:w="810" w:type="dxa"/>
            <w:noWrap/>
            <w:vAlign w:val="center"/>
          </w:tcPr>
          <w:p w14:paraId="44446F9C" w14:textId="77777777" w:rsidR="005271BF" w:rsidRPr="008335B5" w:rsidRDefault="005271BF" w:rsidP="005073C8">
            <w:pPr>
              <w:jc w:val="center"/>
              <w:rPr>
                <w:rFonts w:ascii="Times New Roman" w:hAnsi="Times New Roman" w:cs="Times New Roman"/>
                <w:sz w:val="16"/>
                <w:szCs w:val="16"/>
                <w:lang w:val="en-US"/>
              </w:rPr>
            </w:pPr>
            <w:r w:rsidRPr="008335B5">
              <w:rPr>
                <w:rFonts w:ascii="Times New Roman" w:hAnsi="Times New Roman" w:cs="Times New Roman"/>
                <w:b/>
                <w:sz w:val="16"/>
                <w:szCs w:val="16"/>
              </w:rPr>
              <w:t>Ti</w:t>
            </w:r>
          </w:p>
        </w:tc>
        <w:tc>
          <w:tcPr>
            <w:tcW w:w="900" w:type="dxa"/>
            <w:vAlign w:val="center"/>
          </w:tcPr>
          <w:p w14:paraId="40819FA2" w14:textId="0A7344D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4382C6D0"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0.0037</w:t>
            </w:r>
          </w:p>
          <w:p w14:paraId="107A98D4" w14:textId="068F53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0.0045)</w:t>
            </w:r>
          </w:p>
        </w:tc>
        <w:tc>
          <w:tcPr>
            <w:tcW w:w="1530" w:type="dxa"/>
            <w:noWrap/>
            <w:vAlign w:val="center"/>
          </w:tcPr>
          <w:p w14:paraId="4495157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0.0035</w:t>
            </w:r>
          </w:p>
          <w:p w14:paraId="4A45B8BC" w14:textId="1BA82ED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0.0041)</w:t>
            </w:r>
          </w:p>
        </w:tc>
        <w:tc>
          <w:tcPr>
            <w:tcW w:w="1530" w:type="dxa"/>
            <w:noWrap/>
            <w:vAlign w:val="center"/>
          </w:tcPr>
          <w:p w14:paraId="49D9A71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0.0041</w:t>
            </w:r>
          </w:p>
          <w:p w14:paraId="6FCCD538" w14:textId="1E18F39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0.0052)</w:t>
            </w:r>
          </w:p>
        </w:tc>
        <w:tc>
          <w:tcPr>
            <w:tcW w:w="1530" w:type="dxa"/>
            <w:noWrap/>
            <w:vAlign w:val="center"/>
          </w:tcPr>
          <w:p w14:paraId="05B8987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0.0039</w:t>
            </w:r>
          </w:p>
          <w:p w14:paraId="201CA5C7" w14:textId="2E80292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0.0047)</w:t>
            </w:r>
          </w:p>
        </w:tc>
        <w:tc>
          <w:tcPr>
            <w:tcW w:w="1710" w:type="dxa"/>
            <w:noWrap/>
            <w:vAlign w:val="center"/>
          </w:tcPr>
          <w:p w14:paraId="33A7375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06109472" w14:textId="2B09D7C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0.0035)</w:t>
            </w:r>
          </w:p>
        </w:tc>
      </w:tr>
      <w:tr w:rsidR="008B5B69" w:rsidRPr="008335B5" w14:paraId="3C699403" w14:textId="77777777" w:rsidTr="005073C8">
        <w:trPr>
          <w:trHeight w:val="300"/>
        </w:trPr>
        <w:tc>
          <w:tcPr>
            <w:tcW w:w="810" w:type="dxa"/>
            <w:noWrap/>
            <w:vAlign w:val="center"/>
          </w:tcPr>
          <w:p w14:paraId="143B3A5F"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F3B0A9B" w14:textId="03242CF2"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712A9B5" w14:textId="1713390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20576F3" w14:textId="70435BB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6B0F4DD" w14:textId="2419586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DAE78AF" w14:textId="4A98C76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5958BD78" w14:textId="6A18943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77CC2642" w14:textId="77777777" w:rsidTr="005073C8">
        <w:trPr>
          <w:trHeight w:val="300"/>
        </w:trPr>
        <w:tc>
          <w:tcPr>
            <w:tcW w:w="810" w:type="dxa"/>
            <w:noWrap/>
            <w:vAlign w:val="center"/>
            <w:hideMark/>
          </w:tcPr>
          <w:p w14:paraId="4B580B4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V</w:t>
            </w:r>
          </w:p>
        </w:tc>
        <w:tc>
          <w:tcPr>
            <w:tcW w:w="900" w:type="dxa"/>
            <w:vAlign w:val="center"/>
          </w:tcPr>
          <w:p w14:paraId="732DF33D" w14:textId="67E30990"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BFF7A27" w14:textId="3E460F1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w:t>
            </w:r>
            <w:r w:rsidR="009F702B">
              <w:rPr>
                <w:rFonts w:ascii="Times New Roman" w:hAnsi="Times New Roman" w:cs="Times New Roman"/>
                <w:color w:val="000000"/>
                <w:sz w:val="16"/>
                <w:szCs w:val="16"/>
              </w:rPr>
              <w:t>0</w:t>
            </w:r>
          </w:p>
          <w:p w14:paraId="0BB485BF" w14:textId="5D1E3C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(0.00046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0.00074)</w:t>
            </w:r>
          </w:p>
        </w:tc>
        <w:tc>
          <w:tcPr>
            <w:tcW w:w="1530" w:type="dxa"/>
            <w:noWrap/>
            <w:vAlign w:val="center"/>
          </w:tcPr>
          <w:p w14:paraId="751EB229" w14:textId="328954B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277BAEA7" w14:textId="25AF992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0.0012</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329DDBD6" w14:textId="3BCEF92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06</w:t>
            </w:r>
          </w:p>
          <w:p w14:paraId="4EE81455" w14:textId="2ED83E8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5B3CB8">
              <w:rPr>
                <w:rFonts w:ascii="Times New Roman" w:hAnsi="Times New Roman" w:cs="Times New Roman"/>
                <w:color w:val="000000"/>
                <w:sz w:val="16"/>
                <w:szCs w:val="16"/>
              </w:rPr>
              <w:t>39</w:t>
            </w:r>
            <w:r w:rsidRPr="008335B5">
              <w:rPr>
                <w:rFonts w:ascii="Times New Roman" w:hAnsi="Times New Roman" w:cs="Times New Roman"/>
                <w:color w:val="000000"/>
                <w:sz w:val="16"/>
                <w:szCs w:val="16"/>
              </w:rPr>
              <w:t>)</w:t>
            </w:r>
          </w:p>
        </w:tc>
        <w:tc>
          <w:tcPr>
            <w:tcW w:w="1530" w:type="dxa"/>
            <w:noWrap/>
            <w:vAlign w:val="center"/>
          </w:tcPr>
          <w:p w14:paraId="17775D53" w14:textId="0E38F23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0.0014</w:t>
            </w:r>
            <w:r w:rsidR="009F702B">
              <w:rPr>
                <w:rFonts w:ascii="Times New Roman" w:hAnsi="Times New Roman" w:cs="Times New Roman"/>
                <w:color w:val="000000"/>
                <w:sz w:val="16"/>
                <w:szCs w:val="16"/>
              </w:rPr>
              <w:t>4</w:t>
            </w:r>
          </w:p>
          <w:p w14:paraId="3860EEA6" w14:textId="0BFDDA3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r w:rsidR="009F702B">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710" w:type="dxa"/>
            <w:noWrap/>
            <w:vAlign w:val="center"/>
          </w:tcPr>
          <w:p w14:paraId="79D0A075" w14:textId="38E4028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0.0013</w:t>
            </w:r>
            <w:r w:rsidR="005B3CB8">
              <w:rPr>
                <w:rFonts w:ascii="Times New Roman" w:hAnsi="Times New Roman" w:cs="Times New Roman"/>
                <w:color w:val="000000"/>
                <w:sz w:val="16"/>
                <w:szCs w:val="16"/>
              </w:rPr>
              <w:t>3</w:t>
            </w:r>
          </w:p>
          <w:p w14:paraId="79B0341D" w14:textId="71A22E8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w:t>
            </w:r>
            <w:r w:rsidR="005B3CB8">
              <w:rPr>
                <w:rFonts w:ascii="Times New Roman" w:hAnsi="Times New Roman" w:cs="Times New Roman"/>
                <w:color w:val="000000"/>
                <w:sz w:val="16"/>
                <w:szCs w:val="16"/>
              </w:rPr>
              <w:t>05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0.0016</w:t>
            </w:r>
            <w:r w:rsidR="005B3CB8">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r>
      <w:tr w:rsidR="008B5B69" w:rsidRPr="008335B5" w14:paraId="69AC84B0" w14:textId="77777777" w:rsidTr="005073C8">
        <w:trPr>
          <w:trHeight w:val="300"/>
        </w:trPr>
        <w:tc>
          <w:tcPr>
            <w:tcW w:w="810" w:type="dxa"/>
            <w:noWrap/>
            <w:vAlign w:val="center"/>
          </w:tcPr>
          <w:p w14:paraId="3D2A7602"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20FE01CC" w14:textId="0BF2C5BD"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B97A522" w14:textId="2B1A077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13A6E1C5" w14:textId="209E042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043002EF" w14:textId="6912196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40ED3F6D" w14:textId="7666021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68A6FFB4" w14:textId="426C60D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EFEC15B" w14:textId="77777777" w:rsidTr="005073C8">
        <w:trPr>
          <w:trHeight w:val="300"/>
        </w:trPr>
        <w:tc>
          <w:tcPr>
            <w:tcW w:w="810" w:type="dxa"/>
            <w:noWrap/>
            <w:vAlign w:val="center"/>
            <w:hideMark/>
          </w:tcPr>
          <w:p w14:paraId="6DE49734"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Zn</w:t>
            </w:r>
          </w:p>
        </w:tc>
        <w:tc>
          <w:tcPr>
            <w:tcW w:w="900" w:type="dxa"/>
            <w:vAlign w:val="center"/>
          </w:tcPr>
          <w:p w14:paraId="61499F5D" w14:textId="4A7244E7"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291BBA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0.0061</w:t>
            </w:r>
          </w:p>
          <w:p w14:paraId="75898F03" w14:textId="0A06665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0.0084)</w:t>
            </w:r>
          </w:p>
        </w:tc>
        <w:tc>
          <w:tcPr>
            <w:tcW w:w="1530" w:type="dxa"/>
            <w:noWrap/>
            <w:vAlign w:val="center"/>
          </w:tcPr>
          <w:p w14:paraId="2E2A9618" w14:textId="75DFC3D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0.011</w:t>
            </w:r>
            <w:r w:rsidR="005B3CB8">
              <w:rPr>
                <w:rFonts w:ascii="Times New Roman" w:hAnsi="Times New Roman" w:cs="Times New Roman"/>
                <w:color w:val="000000"/>
                <w:sz w:val="16"/>
                <w:szCs w:val="16"/>
              </w:rPr>
              <w:t>3</w:t>
            </w:r>
          </w:p>
          <w:p w14:paraId="3940604C" w14:textId="0A4FB04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(0.0073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0.015)</w:t>
            </w:r>
          </w:p>
        </w:tc>
        <w:tc>
          <w:tcPr>
            <w:tcW w:w="1530" w:type="dxa"/>
            <w:noWrap/>
            <w:vAlign w:val="center"/>
          </w:tcPr>
          <w:p w14:paraId="4C271D42" w14:textId="6619B08A"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02</w:t>
            </w:r>
          </w:p>
          <w:p w14:paraId="75BB2756" w14:textId="1285569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(0.0079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26</w:t>
            </w:r>
            <w:r w:rsidR="000A7E8B">
              <w:rPr>
                <w:rFonts w:ascii="Times New Roman" w:hAnsi="Times New Roman" w:cs="Times New Roman"/>
                <w:color w:val="000000"/>
                <w:sz w:val="16"/>
                <w:szCs w:val="16"/>
              </w:rPr>
              <w:t>)</w:t>
            </w:r>
          </w:p>
        </w:tc>
        <w:tc>
          <w:tcPr>
            <w:tcW w:w="1530" w:type="dxa"/>
            <w:noWrap/>
            <w:vAlign w:val="center"/>
          </w:tcPr>
          <w:p w14:paraId="53FAB079" w14:textId="5C03151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67</w:t>
            </w:r>
          </w:p>
          <w:p w14:paraId="27E10561" w14:textId="717811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(0.011</w:t>
            </w:r>
            <w:r w:rsidR="005B3CB8">
              <w:rPr>
                <w:rFonts w:ascii="Times New Roman" w:hAnsi="Times New Roman" w:cs="Times New Roman"/>
                <w:color w:val="000000"/>
                <w:sz w:val="16"/>
                <w:szCs w:val="16"/>
              </w:rPr>
              <w:t>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0.022</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710" w:type="dxa"/>
            <w:noWrap/>
            <w:vAlign w:val="center"/>
          </w:tcPr>
          <w:p w14:paraId="0F075D81" w14:textId="53588C6E"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36</w:t>
            </w:r>
          </w:p>
          <w:p w14:paraId="7E982CE1" w14:textId="46C67B7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0.016</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r>
      <w:tr w:rsidR="008B5B69" w:rsidRPr="008335B5" w14:paraId="6D207EFB" w14:textId="77777777" w:rsidTr="005073C8">
        <w:trPr>
          <w:trHeight w:val="300"/>
        </w:trPr>
        <w:tc>
          <w:tcPr>
            <w:tcW w:w="810" w:type="dxa"/>
            <w:noWrap/>
            <w:vAlign w:val="center"/>
          </w:tcPr>
          <w:p w14:paraId="04CF2684" w14:textId="3B5B220B" w:rsidR="005271BF" w:rsidRPr="008335B5" w:rsidRDefault="005271BF" w:rsidP="005073C8">
            <w:pPr>
              <w:jc w:val="center"/>
              <w:rPr>
                <w:rFonts w:ascii="Times New Roman" w:hAnsi="Times New Roman" w:cs="Times New Roman"/>
                <w:b/>
                <w:sz w:val="16"/>
                <w:szCs w:val="16"/>
              </w:rPr>
            </w:pPr>
          </w:p>
        </w:tc>
        <w:tc>
          <w:tcPr>
            <w:tcW w:w="900" w:type="dxa"/>
            <w:vAlign w:val="center"/>
          </w:tcPr>
          <w:p w14:paraId="1A053F3E" w14:textId="1CCA38CC"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657E438" w14:textId="297F45D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4DB291D" w14:textId="12A7D08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6C4FF2C" w14:textId="4AF8A3F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E7E1952" w14:textId="3FB60B8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369E2C91" w14:textId="45E5E02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F3D6775" w14:textId="77777777" w:rsidTr="005073C8">
        <w:trPr>
          <w:trHeight w:val="300"/>
        </w:trPr>
        <w:tc>
          <w:tcPr>
            <w:tcW w:w="810" w:type="dxa"/>
            <w:noWrap/>
            <w:vAlign w:val="center"/>
            <w:hideMark/>
          </w:tcPr>
          <w:p w14:paraId="7E4C7F38" w14:textId="21AC5C0D" w:rsidR="005271BF" w:rsidRPr="008335B5" w:rsidRDefault="009F702B"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NH</w:t>
            </w:r>
            <w:r w:rsidRPr="008335B5">
              <w:rPr>
                <w:rFonts w:ascii="Times New Roman" w:hAnsi="Times New Roman" w:cs="Times New Roman"/>
                <w:b/>
                <w:sz w:val="16"/>
                <w:szCs w:val="16"/>
                <w:vertAlign w:val="subscript"/>
                <w:lang w:val="en-US"/>
              </w:rPr>
              <w:t>4</w:t>
            </w:r>
            <w:r w:rsidRPr="008335B5">
              <w:rPr>
                <w:rFonts w:ascii="Times New Roman" w:hAnsi="Times New Roman" w:cs="Times New Roman"/>
                <w:b/>
                <w:sz w:val="16"/>
                <w:szCs w:val="16"/>
                <w:vertAlign w:val="superscript"/>
                <w:lang w:val="en-US"/>
              </w:rPr>
              <w:t>+</w:t>
            </w:r>
          </w:p>
        </w:tc>
        <w:tc>
          <w:tcPr>
            <w:tcW w:w="900" w:type="dxa"/>
            <w:vAlign w:val="center"/>
          </w:tcPr>
          <w:p w14:paraId="4FB51BF4" w14:textId="11AE2AF1"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7175F6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0.78</w:t>
            </w:r>
          </w:p>
          <w:p w14:paraId="57B98C44" w14:textId="54E8191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(0.62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0.95)</w:t>
            </w:r>
          </w:p>
        </w:tc>
        <w:tc>
          <w:tcPr>
            <w:tcW w:w="1530" w:type="dxa"/>
            <w:noWrap/>
            <w:vAlign w:val="center"/>
          </w:tcPr>
          <w:p w14:paraId="429FACB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0.96</w:t>
            </w:r>
          </w:p>
          <w:p w14:paraId="0446EF8A" w14:textId="477B3E7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(0.78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091C22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0.99</w:t>
            </w:r>
          </w:p>
          <w:p w14:paraId="306024A6" w14:textId="0E1DEC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(0.81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17</w:t>
            </w:r>
            <w:r w:rsidRPr="008335B5">
              <w:rPr>
                <w:rFonts w:ascii="Times New Roman" w:hAnsi="Times New Roman" w:cs="Times New Roman"/>
                <w:color w:val="000000"/>
                <w:sz w:val="16"/>
                <w:szCs w:val="16"/>
              </w:rPr>
              <w:t>)</w:t>
            </w:r>
          </w:p>
        </w:tc>
        <w:tc>
          <w:tcPr>
            <w:tcW w:w="1530" w:type="dxa"/>
            <w:noWrap/>
            <w:vAlign w:val="center"/>
          </w:tcPr>
          <w:p w14:paraId="6AE01C3E" w14:textId="2D0253AE"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1</w:t>
            </w:r>
          </w:p>
          <w:p w14:paraId="736AD1E3" w14:textId="4D50F92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(0.98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710" w:type="dxa"/>
            <w:noWrap/>
            <w:vAlign w:val="center"/>
          </w:tcPr>
          <w:p w14:paraId="71F6BBF1" w14:textId="5D165B4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3</w:t>
            </w:r>
          </w:p>
          <w:p w14:paraId="6402ECA5" w14:textId="3DB7CA1E" w:rsidR="005271BF" w:rsidRPr="005B3CB8"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r>
      <w:tr w:rsidR="008B5B69" w:rsidRPr="008335B5" w14:paraId="0274959F" w14:textId="77777777" w:rsidTr="005073C8">
        <w:trPr>
          <w:trHeight w:val="300"/>
        </w:trPr>
        <w:tc>
          <w:tcPr>
            <w:tcW w:w="810" w:type="dxa"/>
            <w:noWrap/>
            <w:vAlign w:val="center"/>
          </w:tcPr>
          <w:p w14:paraId="7E6EFABF"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2965DE3" w14:textId="61B22A41"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D9C818A" w14:textId="57C8954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58226E30" w14:textId="0D4ED01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39</w:t>
            </w:r>
          </w:p>
        </w:tc>
        <w:tc>
          <w:tcPr>
            <w:tcW w:w="1530" w:type="dxa"/>
            <w:noWrap/>
            <w:vAlign w:val="center"/>
          </w:tcPr>
          <w:p w14:paraId="3BEA1D3A" w14:textId="2AB9BE5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1F70023B" w14:textId="60ABF27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271241D7" w14:textId="426DBF4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28EFE497" w14:textId="77777777" w:rsidTr="005073C8">
        <w:trPr>
          <w:trHeight w:val="300"/>
        </w:trPr>
        <w:tc>
          <w:tcPr>
            <w:tcW w:w="810" w:type="dxa"/>
            <w:noWrap/>
            <w:vAlign w:val="center"/>
            <w:hideMark/>
          </w:tcPr>
          <w:p w14:paraId="51B6D476" w14:textId="2FE369C8" w:rsidR="005271BF" w:rsidRPr="008335B5" w:rsidRDefault="009F702B" w:rsidP="005073C8">
            <w:pPr>
              <w:jc w:val="center"/>
              <w:rPr>
                <w:rFonts w:ascii="Times New Roman" w:hAnsi="Times New Roman" w:cs="Times New Roman"/>
                <w:sz w:val="16"/>
                <w:szCs w:val="16"/>
              </w:rPr>
            </w:pPr>
            <w:r w:rsidRPr="008335B5">
              <w:rPr>
                <w:rFonts w:ascii="Times New Roman" w:hAnsi="Times New Roman" w:cs="Times New Roman"/>
                <w:b/>
                <w:sz w:val="16"/>
                <w:szCs w:val="16"/>
              </w:rPr>
              <w:lastRenderedPageBreak/>
              <w:t>Na</w:t>
            </w:r>
            <w:r w:rsidRPr="008335B5">
              <w:rPr>
                <w:rFonts w:ascii="Times New Roman" w:hAnsi="Times New Roman" w:cs="Times New Roman"/>
                <w:b/>
                <w:sz w:val="16"/>
                <w:szCs w:val="16"/>
                <w:vertAlign w:val="superscript"/>
                <w:lang w:val="en-US"/>
              </w:rPr>
              <w:t>+</w:t>
            </w:r>
          </w:p>
        </w:tc>
        <w:tc>
          <w:tcPr>
            <w:tcW w:w="900" w:type="dxa"/>
            <w:vAlign w:val="center"/>
          </w:tcPr>
          <w:p w14:paraId="443A2F77" w14:textId="58E64C37"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8D806D2" w14:textId="4ED1C441"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0.12</w:t>
            </w:r>
            <w:r w:rsidR="005B3CB8">
              <w:rPr>
                <w:rFonts w:ascii="Times New Roman" w:hAnsi="Times New Roman" w:cs="Times New Roman"/>
                <w:color w:val="000000"/>
                <w:sz w:val="16"/>
                <w:szCs w:val="16"/>
              </w:rPr>
              <w:t>3</w:t>
            </w:r>
          </w:p>
          <w:p w14:paraId="6E018E5A" w14:textId="22CC530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86</w:t>
            </w:r>
            <w:r w:rsidRPr="008335B5">
              <w:rPr>
                <w:rFonts w:ascii="Times New Roman" w:hAnsi="Times New Roman" w:cs="Times New Roman"/>
                <w:color w:val="000000"/>
                <w:sz w:val="16"/>
                <w:szCs w:val="16"/>
              </w:rPr>
              <w:t>)</w:t>
            </w:r>
          </w:p>
        </w:tc>
        <w:tc>
          <w:tcPr>
            <w:tcW w:w="1530" w:type="dxa"/>
            <w:noWrap/>
            <w:vAlign w:val="center"/>
          </w:tcPr>
          <w:p w14:paraId="0F0AEC82" w14:textId="2ED9D31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0.14</w:t>
            </w:r>
            <w:r w:rsidR="005B3CB8">
              <w:rPr>
                <w:rFonts w:ascii="Times New Roman" w:hAnsi="Times New Roman" w:cs="Times New Roman"/>
                <w:color w:val="000000"/>
                <w:sz w:val="16"/>
                <w:szCs w:val="16"/>
              </w:rPr>
              <w:t>3</w:t>
            </w:r>
          </w:p>
          <w:p w14:paraId="4CBF0A95" w14:textId="6A0B9B2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0.18</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7116A6BF" w14:textId="20E1DB0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39</w:t>
            </w:r>
          </w:p>
          <w:p w14:paraId="5805C195" w14:textId="139C6F2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0.18</w:t>
            </w:r>
            <w:r w:rsidR="005B3CB8">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189FFEFD" w14:textId="39F815D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29</w:t>
            </w:r>
          </w:p>
          <w:p w14:paraId="6FE04798" w14:textId="016BD6A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58</w:t>
            </w:r>
            <w:r w:rsidRPr="008335B5">
              <w:rPr>
                <w:rFonts w:ascii="Times New Roman" w:hAnsi="Times New Roman" w:cs="Times New Roman"/>
                <w:color w:val="000000"/>
                <w:sz w:val="16"/>
                <w:szCs w:val="16"/>
              </w:rPr>
              <w:t>)</w:t>
            </w:r>
          </w:p>
        </w:tc>
        <w:tc>
          <w:tcPr>
            <w:tcW w:w="1710" w:type="dxa"/>
            <w:noWrap/>
            <w:vAlign w:val="center"/>
          </w:tcPr>
          <w:p w14:paraId="35FC124E" w14:textId="4BFCB46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07</w:t>
            </w:r>
          </w:p>
          <w:p w14:paraId="0A278397" w14:textId="38A0F51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0.12</w:t>
            </w:r>
            <w:r w:rsidR="005B3CB8">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r>
      <w:tr w:rsidR="008B5B69" w:rsidRPr="008335B5" w14:paraId="00E439E2" w14:textId="77777777" w:rsidTr="005073C8">
        <w:trPr>
          <w:trHeight w:val="300"/>
        </w:trPr>
        <w:tc>
          <w:tcPr>
            <w:tcW w:w="810" w:type="dxa"/>
            <w:noWrap/>
            <w:vAlign w:val="center"/>
          </w:tcPr>
          <w:p w14:paraId="3525CF3B"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068BE793" w14:textId="1606C90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03F9D69" w14:textId="1981510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6386A906" w14:textId="7E7C462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39</w:t>
            </w:r>
          </w:p>
        </w:tc>
        <w:tc>
          <w:tcPr>
            <w:tcW w:w="1530" w:type="dxa"/>
            <w:noWrap/>
            <w:vAlign w:val="center"/>
          </w:tcPr>
          <w:p w14:paraId="400F29E4" w14:textId="04D1AD0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20C6DA16" w14:textId="179A489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07A931B2" w14:textId="4F5AB43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233AEB4D" w14:textId="77777777" w:rsidTr="005073C8">
        <w:trPr>
          <w:trHeight w:val="300"/>
        </w:trPr>
        <w:tc>
          <w:tcPr>
            <w:tcW w:w="810" w:type="dxa"/>
            <w:noWrap/>
            <w:vAlign w:val="center"/>
            <w:hideMark/>
          </w:tcPr>
          <w:p w14:paraId="16213931"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NO</w:t>
            </w:r>
            <w:r w:rsidRPr="008335B5">
              <w:rPr>
                <w:rFonts w:ascii="Times New Roman" w:hAnsi="Times New Roman" w:cs="Times New Roman"/>
                <w:b/>
                <w:sz w:val="16"/>
                <w:szCs w:val="16"/>
                <w:vertAlign w:val="subscript"/>
                <w:lang w:val="en-US"/>
              </w:rPr>
              <w:t>3</w:t>
            </w:r>
            <w:r w:rsidRPr="008335B5">
              <w:rPr>
                <w:rFonts w:ascii="Times New Roman" w:hAnsi="Times New Roman" w:cs="Times New Roman"/>
                <w:b/>
                <w:sz w:val="16"/>
                <w:szCs w:val="16"/>
                <w:vertAlign w:val="superscript"/>
                <w:lang w:val="en-US"/>
              </w:rPr>
              <w:t>-</w:t>
            </w:r>
          </w:p>
        </w:tc>
        <w:tc>
          <w:tcPr>
            <w:tcW w:w="900" w:type="dxa"/>
            <w:vAlign w:val="center"/>
          </w:tcPr>
          <w:p w14:paraId="17C81E49" w14:textId="3F4EE4DF"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C2ACBC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0.74</w:t>
            </w:r>
          </w:p>
          <w:p w14:paraId="139BD975" w14:textId="01015BC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(0.57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0.91)</w:t>
            </w:r>
          </w:p>
        </w:tc>
        <w:tc>
          <w:tcPr>
            <w:tcW w:w="1530" w:type="dxa"/>
            <w:noWrap/>
            <w:vAlign w:val="center"/>
          </w:tcPr>
          <w:p w14:paraId="48223C6E" w14:textId="05E00EA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37</w:t>
            </w:r>
          </w:p>
          <w:p w14:paraId="5CF20A03" w14:textId="6939A8D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68</w:t>
            </w:r>
            <w:r w:rsidRPr="008335B5">
              <w:rPr>
                <w:rFonts w:ascii="Times New Roman" w:hAnsi="Times New Roman" w:cs="Times New Roman"/>
                <w:color w:val="000000"/>
                <w:sz w:val="16"/>
                <w:szCs w:val="16"/>
              </w:rPr>
              <w:t>)</w:t>
            </w:r>
          </w:p>
        </w:tc>
        <w:tc>
          <w:tcPr>
            <w:tcW w:w="1530" w:type="dxa"/>
            <w:noWrap/>
            <w:vAlign w:val="center"/>
          </w:tcPr>
          <w:p w14:paraId="47A39C1A" w14:textId="7AAC039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65</w:t>
            </w:r>
          </w:p>
          <w:p w14:paraId="4C76EAE2" w14:textId="69B0AB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06</w:t>
            </w:r>
            <w:r w:rsidR="000A7E8B">
              <w:rPr>
                <w:rFonts w:ascii="Times New Roman" w:hAnsi="Times New Roman" w:cs="Times New Roman"/>
                <w:color w:val="000000"/>
                <w:sz w:val="16"/>
                <w:szCs w:val="16"/>
              </w:rPr>
              <w:t>)</w:t>
            </w:r>
          </w:p>
        </w:tc>
        <w:tc>
          <w:tcPr>
            <w:tcW w:w="1530" w:type="dxa"/>
            <w:noWrap/>
            <w:vAlign w:val="center"/>
          </w:tcPr>
          <w:p w14:paraId="0E8D3074" w14:textId="156B313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36</w:t>
            </w:r>
          </w:p>
          <w:p w14:paraId="091DB91F" w14:textId="2676A71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1.6</w:t>
            </w:r>
            <w:r w:rsidR="005B3CB8">
              <w:rPr>
                <w:rFonts w:ascii="Times New Roman" w:hAnsi="Times New Roman" w:cs="Times New Roman"/>
                <w:color w:val="000000"/>
                <w:sz w:val="16"/>
                <w:szCs w:val="16"/>
              </w:rPr>
              <w:t>1</w:t>
            </w:r>
            <w:r w:rsidRPr="008335B5">
              <w:rPr>
                <w:rFonts w:ascii="Times New Roman" w:hAnsi="Times New Roman" w:cs="Times New Roman"/>
                <w:color w:val="000000"/>
                <w:sz w:val="16"/>
                <w:szCs w:val="16"/>
              </w:rPr>
              <w:t>)</w:t>
            </w:r>
          </w:p>
        </w:tc>
        <w:tc>
          <w:tcPr>
            <w:tcW w:w="1710" w:type="dxa"/>
            <w:noWrap/>
            <w:vAlign w:val="center"/>
          </w:tcPr>
          <w:p w14:paraId="2B55FA24" w14:textId="30F5212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4</w:t>
            </w:r>
          </w:p>
          <w:p w14:paraId="545385A5" w14:textId="7EF902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39</w:t>
            </w:r>
            <w:r w:rsidRPr="008335B5">
              <w:rPr>
                <w:rFonts w:ascii="Times New Roman" w:hAnsi="Times New Roman" w:cs="Times New Roman"/>
                <w:color w:val="000000"/>
                <w:sz w:val="16"/>
                <w:szCs w:val="16"/>
              </w:rPr>
              <w:t>)</w:t>
            </w:r>
          </w:p>
        </w:tc>
      </w:tr>
      <w:tr w:rsidR="008B5B69" w:rsidRPr="008335B5" w14:paraId="1C4E66CC" w14:textId="77777777" w:rsidTr="005073C8">
        <w:trPr>
          <w:trHeight w:val="300"/>
        </w:trPr>
        <w:tc>
          <w:tcPr>
            <w:tcW w:w="810" w:type="dxa"/>
            <w:noWrap/>
            <w:vAlign w:val="center"/>
          </w:tcPr>
          <w:p w14:paraId="03F41E76"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47413FA7" w14:textId="50AF1448"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D33B8A5" w14:textId="7F97E05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69</w:t>
            </w:r>
          </w:p>
        </w:tc>
        <w:tc>
          <w:tcPr>
            <w:tcW w:w="1530" w:type="dxa"/>
            <w:noWrap/>
            <w:vAlign w:val="center"/>
          </w:tcPr>
          <w:p w14:paraId="343F56A7" w14:textId="6BC7FEE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530" w:type="dxa"/>
            <w:noWrap/>
            <w:vAlign w:val="center"/>
          </w:tcPr>
          <w:p w14:paraId="7CEC0DCB" w14:textId="68AB9829"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35</w:t>
            </w:r>
          </w:p>
        </w:tc>
        <w:tc>
          <w:tcPr>
            <w:tcW w:w="1530" w:type="dxa"/>
            <w:noWrap/>
            <w:vAlign w:val="center"/>
          </w:tcPr>
          <w:p w14:paraId="06DA2FBE" w14:textId="0A7607C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710" w:type="dxa"/>
            <w:noWrap/>
            <w:vAlign w:val="center"/>
          </w:tcPr>
          <w:p w14:paraId="7B663D66" w14:textId="7A430CE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69</w:t>
            </w:r>
          </w:p>
        </w:tc>
      </w:tr>
      <w:tr w:rsidR="008B5B69" w:rsidRPr="008335B5" w14:paraId="58B26E1F" w14:textId="77777777" w:rsidTr="005073C8">
        <w:trPr>
          <w:trHeight w:val="300"/>
        </w:trPr>
        <w:tc>
          <w:tcPr>
            <w:tcW w:w="810" w:type="dxa"/>
            <w:noWrap/>
            <w:vAlign w:val="center"/>
            <w:hideMark/>
          </w:tcPr>
          <w:p w14:paraId="2661B314"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SO</w:t>
            </w:r>
            <w:r w:rsidRPr="008335B5">
              <w:rPr>
                <w:rFonts w:ascii="Times New Roman" w:hAnsi="Times New Roman" w:cs="Times New Roman"/>
                <w:b/>
                <w:sz w:val="16"/>
                <w:szCs w:val="16"/>
                <w:vertAlign w:val="subscript"/>
                <w:lang w:val="en-US"/>
              </w:rPr>
              <w:t>4</w:t>
            </w:r>
            <w:r w:rsidRPr="008335B5">
              <w:rPr>
                <w:rFonts w:ascii="Times New Roman" w:hAnsi="Times New Roman" w:cs="Times New Roman"/>
                <w:b/>
                <w:sz w:val="16"/>
                <w:szCs w:val="16"/>
                <w:vertAlign w:val="superscript"/>
                <w:lang w:val="en-US"/>
              </w:rPr>
              <w:t>2-</w:t>
            </w:r>
          </w:p>
        </w:tc>
        <w:tc>
          <w:tcPr>
            <w:tcW w:w="900" w:type="dxa"/>
            <w:vAlign w:val="center"/>
          </w:tcPr>
          <w:p w14:paraId="44DE63AA" w14:textId="7888992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290FE59" w14:textId="2699B99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27</w:t>
            </w:r>
          </w:p>
          <w:p w14:paraId="0D1FD265" w14:textId="18D516C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49</w:t>
            </w:r>
            <w:r w:rsidRPr="008335B5">
              <w:rPr>
                <w:rFonts w:ascii="Times New Roman" w:hAnsi="Times New Roman" w:cs="Times New Roman"/>
                <w:color w:val="000000"/>
                <w:sz w:val="16"/>
                <w:szCs w:val="16"/>
              </w:rPr>
              <w:t>)</w:t>
            </w:r>
          </w:p>
        </w:tc>
        <w:tc>
          <w:tcPr>
            <w:tcW w:w="1530" w:type="dxa"/>
            <w:noWrap/>
            <w:vAlign w:val="center"/>
          </w:tcPr>
          <w:p w14:paraId="3D409633" w14:textId="5D02087D"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1.8</w:t>
            </w:r>
            <w:r w:rsidR="005B3CB8">
              <w:rPr>
                <w:rFonts w:ascii="Times New Roman" w:hAnsi="Times New Roman" w:cs="Times New Roman"/>
                <w:color w:val="000000"/>
                <w:sz w:val="16"/>
                <w:szCs w:val="16"/>
              </w:rPr>
              <w:t>2</w:t>
            </w:r>
          </w:p>
          <w:p w14:paraId="18D73526" w14:textId="2402B3D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(1.5</w:t>
            </w:r>
            <w:r w:rsidR="005B3CB8">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2.1</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11BD33FD" w14:textId="677EB16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.00</w:t>
            </w:r>
          </w:p>
          <w:p w14:paraId="131EBF16" w14:textId="4F6229B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2.3</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530" w:type="dxa"/>
            <w:noWrap/>
            <w:vAlign w:val="center"/>
          </w:tcPr>
          <w:p w14:paraId="5CF50921" w14:textId="03E6FA1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2.5</w:t>
            </w:r>
            <w:r w:rsidR="005B3CB8">
              <w:rPr>
                <w:rFonts w:ascii="Times New Roman" w:hAnsi="Times New Roman" w:cs="Times New Roman"/>
                <w:color w:val="000000"/>
                <w:sz w:val="16"/>
                <w:szCs w:val="16"/>
              </w:rPr>
              <w:t>2</w:t>
            </w:r>
          </w:p>
          <w:p w14:paraId="1D955F06" w14:textId="483827A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27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77</w:t>
            </w:r>
            <w:r w:rsidRPr="008335B5">
              <w:rPr>
                <w:rFonts w:ascii="Times New Roman" w:hAnsi="Times New Roman" w:cs="Times New Roman"/>
                <w:color w:val="000000"/>
                <w:sz w:val="16"/>
                <w:szCs w:val="16"/>
              </w:rPr>
              <w:t>)</w:t>
            </w:r>
          </w:p>
        </w:tc>
        <w:tc>
          <w:tcPr>
            <w:tcW w:w="1710" w:type="dxa"/>
            <w:noWrap/>
            <w:vAlign w:val="center"/>
          </w:tcPr>
          <w:p w14:paraId="56CA5E86" w14:textId="2D568ED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2.7</w:t>
            </w:r>
            <w:r w:rsidR="005B3CB8">
              <w:rPr>
                <w:rFonts w:ascii="Times New Roman" w:hAnsi="Times New Roman" w:cs="Times New Roman"/>
                <w:color w:val="000000"/>
                <w:sz w:val="16"/>
                <w:szCs w:val="16"/>
              </w:rPr>
              <w:t>4</w:t>
            </w:r>
          </w:p>
          <w:p w14:paraId="066B2D38" w14:textId="06DD876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59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8</w:t>
            </w:r>
            <w:r w:rsidRPr="008335B5">
              <w:rPr>
                <w:rFonts w:ascii="Times New Roman" w:hAnsi="Times New Roman" w:cs="Times New Roman"/>
                <w:color w:val="000000"/>
                <w:sz w:val="16"/>
                <w:szCs w:val="16"/>
              </w:rPr>
              <w:t>9)</w:t>
            </w:r>
          </w:p>
        </w:tc>
      </w:tr>
      <w:tr w:rsidR="008B5B69" w:rsidRPr="008335B5" w14:paraId="6388B4FF" w14:textId="77777777" w:rsidTr="005073C8">
        <w:trPr>
          <w:trHeight w:val="300"/>
        </w:trPr>
        <w:tc>
          <w:tcPr>
            <w:tcW w:w="810" w:type="dxa"/>
            <w:noWrap/>
            <w:vAlign w:val="center"/>
          </w:tcPr>
          <w:p w14:paraId="179ABC9B"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264235F7" w14:textId="2B696B3B"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51D0C49" w14:textId="7B5E768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66D3844" w14:textId="091C58A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37146A30" w14:textId="6A88B9F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53A72FB" w14:textId="0748A8A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E59BBDC" w14:textId="46684C4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71</w:t>
            </w:r>
          </w:p>
        </w:tc>
      </w:tr>
      <w:tr w:rsidR="008B5B69" w:rsidRPr="008335B5" w14:paraId="2E2FEB67" w14:textId="77777777" w:rsidTr="005073C8">
        <w:trPr>
          <w:trHeight w:val="300"/>
        </w:trPr>
        <w:tc>
          <w:tcPr>
            <w:tcW w:w="810" w:type="dxa"/>
            <w:noWrap/>
            <w:vAlign w:val="center"/>
            <w:hideMark/>
          </w:tcPr>
          <w:p w14:paraId="50377E9E"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EC</w:t>
            </w:r>
          </w:p>
        </w:tc>
        <w:tc>
          <w:tcPr>
            <w:tcW w:w="900" w:type="dxa"/>
            <w:vAlign w:val="center"/>
          </w:tcPr>
          <w:p w14:paraId="495F06DF" w14:textId="684ABED3"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0CB1A13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0.31</w:t>
            </w:r>
          </w:p>
          <w:p w14:paraId="7C0147B0" w14:textId="0B4FBA7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(0.22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0.39)</w:t>
            </w:r>
          </w:p>
        </w:tc>
        <w:tc>
          <w:tcPr>
            <w:tcW w:w="1530" w:type="dxa"/>
            <w:noWrap/>
            <w:vAlign w:val="center"/>
          </w:tcPr>
          <w:p w14:paraId="11C5851B"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0.6</w:t>
            </w:r>
          </w:p>
          <w:p w14:paraId="58283867" w14:textId="3B5D9FB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(0.48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0.73)</w:t>
            </w:r>
          </w:p>
        </w:tc>
        <w:tc>
          <w:tcPr>
            <w:tcW w:w="1530" w:type="dxa"/>
            <w:noWrap/>
            <w:vAlign w:val="center"/>
          </w:tcPr>
          <w:p w14:paraId="6D5A092B" w14:textId="7BA10F2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w:t>
            </w:r>
            <w:r w:rsidR="005B3CB8">
              <w:rPr>
                <w:rFonts w:ascii="Times New Roman" w:hAnsi="Times New Roman" w:cs="Times New Roman"/>
                <w:color w:val="000000"/>
                <w:sz w:val="16"/>
                <w:szCs w:val="16"/>
              </w:rPr>
              <w:t>0</w:t>
            </w:r>
          </w:p>
          <w:p w14:paraId="1A089EDD" w14:textId="6DFBBBA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(0.54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0.86)</w:t>
            </w:r>
          </w:p>
        </w:tc>
        <w:tc>
          <w:tcPr>
            <w:tcW w:w="1530" w:type="dxa"/>
            <w:noWrap/>
            <w:vAlign w:val="center"/>
          </w:tcPr>
          <w:p w14:paraId="7128704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0.85</w:t>
            </w:r>
          </w:p>
          <w:p w14:paraId="57C336C9" w14:textId="78AF342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(0.7</w:t>
            </w:r>
            <w:r w:rsidR="005B3CB8">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.01</w:t>
            </w:r>
            <w:r w:rsidRPr="008335B5">
              <w:rPr>
                <w:rFonts w:ascii="Times New Roman" w:hAnsi="Times New Roman" w:cs="Times New Roman"/>
                <w:color w:val="000000"/>
                <w:sz w:val="16"/>
                <w:szCs w:val="16"/>
              </w:rPr>
              <w:t>)</w:t>
            </w:r>
          </w:p>
        </w:tc>
        <w:tc>
          <w:tcPr>
            <w:tcW w:w="1710" w:type="dxa"/>
            <w:noWrap/>
            <w:vAlign w:val="center"/>
          </w:tcPr>
          <w:p w14:paraId="6BE9CA55" w14:textId="7471D24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4</w:t>
            </w:r>
          </w:p>
          <w:p w14:paraId="7719A731" w14:textId="4D9CDA8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1.8</w:t>
            </w:r>
            <w:r w:rsidR="005B3CB8">
              <w:rPr>
                <w:rFonts w:ascii="Times New Roman" w:hAnsi="Times New Roman" w:cs="Times New Roman"/>
                <w:color w:val="000000"/>
                <w:sz w:val="16"/>
                <w:szCs w:val="16"/>
              </w:rPr>
              <w:t>1</w:t>
            </w:r>
            <w:r w:rsidRPr="008335B5">
              <w:rPr>
                <w:rFonts w:ascii="Times New Roman" w:hAnsi="Times New Roman" w:cs="Times New Roman"/>
                <w:color w:val="000000"/>
                <w:sz w:val="16"/>
                <w:szCs w:val="16"/>
              </w:rPr>
              <w:t>)</w:t>
            </w:r>
          </w:p>
        </w:tc>
      </w:tr>
      <w:tr w:rsidR="008B5B69" w:rsidRPr="008335B5" w14:paraId="70D6F1EC" w14:textId="77777777" w:rsidTr="005073C8">
        <w:trPr>
          <w:trHeight w:val="300"/>
        </w:trPr>
        <w:tc>
          <w:tcPr>
            <w:tcW w:w="810" w:type="dxa"/>
            <w:noWrap/>
            <w:vAlign w:val="center"/>
          </w:tcPr>
          <w:p w14:paraId="2023702C"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A931829" w14:textId="16879D3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8129E02" w14:textId="42C93F5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59</w:t>
            </w:r>
          </w:p>
        </w:tc>
        <w:tc>
          <w:tcPr>
            <w:tcW w:w="1530" w:type="dxa"/>
            <w:noWrap/>
            <w:vAlign w:val="center"/>
          </w:tcPr>
          <w:p w14:paraId="0D4486A6" w14:textId="6648D16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18EE5291" w14:textId="239042F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24</w:t>
            </w:r>
          </w:p>
        </w:tc>
        <w:tc>
          <w:tcPr>
            <w:tcW w:w="1530" w:type="dxa"/>
            <w:noWrap/>
            <w:vAlign w:val="center"/>
          </w:tcPr>
          <w:p w14:paraId="09E24A5D" w14:textId="26CB30A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38</w:t>
            </w:r>
          </w:p>
        </w:tc>
        <w:tc>
          <w:tcPr>
            <w:tcW w:w="1710" w:type="dxa"/>
            <w:noWrap/>
            <w:vAlign w:val="center"/>
          </w:tcPr>
          <w:p w14:paraId="494B826A" w14:textId="02F2C01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r>
      <w:bookmarkEnd w:id="26"/>
    </w:tbl>
    <w:p w14:paraId="1333A203" w14:textId="77777777" w:rsidR="003810DD" w:rsidRDefault="003810DD" w:rsidP="006D3219">
      <w:pPr>
        <w:rPr>
          <w:rFonts w:ascii="Times New Roman" w:hAnsi="Times New Roman" w:cs="Times New Roman"/>
          <w:b/>
          <w:sz w:val="24"/>
          <w:szCs w:val="24"/>
          <w:lang w:val="en-US"/>
        </w:rPr>
      </w:pPr>
    </w:p>
    <w:p w14:paraId="48786168" w14:textId="656C021A" w:rsidR="00F55CA6" w:rsidRDefault="00F55C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515FB65" w14:textId="4E4CFFF3" w:rsidR="006711E2" w:rsidRDefault="00F55CA6" w:rsidP="00F021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Table 5.  </w:t>
      </w:r>
      <w:r w:rsidR="00411B7C" w:rsidRPr="00411B7C">
        <w:rPr>
          <w:rFonts w:ascii="Times New Roman" w:hAnsi="Times New Roman" w:cs="Times New Roman"/>
          <w:b/>
          <w:sz w:val="24"/>
          <w:szCs w:val="24"/>
          <w:lang w:val="en-US"/>
        </w:rPr>
        <w:t>Analysis of variance</w:t>
      </w:r>
      <w:r w:rsidR="00556818">
        <w:rPr>
          <w:rFonts w:ascii="Times New Roman" w:hAnsi="Times New Roman" w:cs="Times New Roman"/>
          <w:b/>
          <w:sz w:val="24"/>
          <w:szCs w:val="24"/>
          <w:lang w:val="en-US"/>
        </w:rPr>
        <w:t xml:space="preserve"> results.</w:t>
      </w:r>
    </w:p>
    <w:p w14:paraId="603C1B9A" w14:textId="7B630F58" w:rsidR="00F0218B" w:rsidRPr="006711E2" w:rsidRDefault="006711E2" w:rsidP="00F0218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5a. </w:t>
      </w:r>
      <w:r w:rsidR="00F0218B" w:rsidRPr="00735A33">
        <w:rPr>
          <w:rFonts w:ascii="Times New Roman" w:hAnsi="Times New Roman" w:cs="Times New Roman"/>
          <w:b/>
          <w:lang w:val="en-US"/>
        </w:rPr>
        <w:t>PM</w:t>
      </w:r>
      <w:r w:rsidR="00F0218B" w:rsidRPr="002825EE">
        <w:rPr>
          <w:rFonts w:ascii="Times New Roman" w:hAnsi="Times New Roman" w:cs="Times New Roman"/>
          <w:b/>
          <w:vertAlign w:val="subscript"/>
          <w:lang w:val="en-US"/>
        </w:rPr>
        <w:t>2.5</w:t>
      </w:r>
      <w:r>
        <w:rPr>
          <w:rFonts w:ascii="Times New Roman" w:hAnsi="Times New Roman" w:cs="Times New Roman"/>
          <w:b/>
          <w:lang w:val="en-US"/>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810"/>
        <w:gridCol w:w="1012"/>
      </w:tblGrid>
      <w:tr w:rsidR="00C85EE3" w:rsidRPr="006D0FD5" w14:paraId="30A4634C" w14:textId="77777777" w:rsidTr="002825EE">
        <w:trPr>
          <w:trHeight w:val="300"/>
          <w:jc w:val="center"/>
        </w:trPr>
        <w:tc>
          <w:tcPr>
            <w:tcW w:w="9017" w:type="dxa"/>
            <w:gridSpan w:val="8"/>
            <w:shd w:val="clear" w:color="auto" w:fill="auto"/>
            <w:noWrap/>
            <w:vAlign w:val="center"/>
          </w:tcPr>
          <w:p w14:paraId="55477019" w14:textId="1A9346DF" w:rsidR="00C85EE3" w:rsidRPr="004A34A2" w:rsidRDefault="004A34A2" w:rsidP="002825EE">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DA69C5" w14:paraId="70FFE900" w14:textId="77777777" w:rsidTr="001A2F55">
        <w:trPr>
          <w:trHeight w:val="300"/>
          <w:jc w:val="center"/>
        </w:trPr>
        <w:tc>
          <w:tcPr>
            <w:tcW w:w="6565" w:type="dxa"/>
            <w:gridSpan w:val="5"/>
            <w:vMerge w:val="restart"/>
            <w:shd w:val="clear" w:color="auto" w:fill="auto"/>
            <w:noWrap/>
            <w:vAlign w:val="center"/>
          </w:tcPr>
          <w:p w14:paraId="4E108462" w14:textId="77777777" w:rsidR="007B33CE" w:rsidRPr="004A34A2" w:rsidRDefault="007B33CE" w:rsidP="002825EE">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6AB3726D" w14:textId="48E490A3"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01399CBD" w14:textId="628D2D49"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1A3EA9AC" w14:textId="5D0F3574"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DA69C5" w14:paraId="1E5F9175" w14:textId="77777777" w:rsidTr="001A2F55">
        <w:trPr>
          <w:trHeight w:val="300"/>
          <w:jc w:val="center"/>
        </w:trPr>
        <w:tc>
          <w:tcPr>
            <w:tcW w:w="6565" w:type="dxa"/>
            <w:gridSpan w:val="5"/>
            <w:vMerge/>
            <w:shd w:val="clear" w:color="auto" w:fill="auto"/>
            <w:noWrap/>
            <w:vAlign w:val="center"/>
          </w:tcPr>
          <w:p w14:paraId="34CACFDC"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394FB2B" w14:textId="6408B5A3"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12.64</w:t>
            </w:r>
          </w:p>
        </w:tc>
        <w:tc>
          <w:tcPr>
            <w:tcW w:w="810" w:type="dxa"/>
            <w:shd w:val="clear" w:color="auto" w:fill="auto"/>
            <w:noWrap/>
            <w:vAlign w:val="center"/>
          </w:tcPr>
          <w:p w14:paraId="65748F10" w14:textId="6A2A13EB"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w:t>
            </w:r>
            <w:r>
              <w:rPr>
                <w:rFonts w:ascii="Times New Roman" w:eastAsia="Times New Roman" w:hAnsi="Times New Roman" w:cs="Times New Roman"/>
                <w:color w:val="000000"/>
                <w:sz w:val="16"/>
                <w:szCs w:val="16"/>
                <w:lang w:eastAsia="de-DE"/>
              </w:rPr>
              <w:t xml:space="preserve"> </w:t>
            </w:r>
            <w:r w:rsidRPr="00DA69C5">
              <w:rPr>
                <w:rFonts w:ascii="Times New Roman" w:eastAsia="Times New Roman" w:hAnsi="Times New Roman" w:cs="Times New Roman"/>
                <w:color w:val="000000"/>
                <w:sz w:val="16"/>
                <w:szCs w:val="16"/>
                <w:lang w:eastAsia="de-DE"/>
              </w:rPr>
              <w:t>881</w:t>
            </w:r>
          </w:p>
        </w:tc>
        <w:tc>
          <w:tcPr>
            <w:tcW w:w="1012" w:type="dxa"/>
            <w:shd w:val="clear" w:color="auto" w:fill="auto"/>
            <w:noWrap/>
            <w:vAlign w:val="center"/>
          </w:tcPr>
          <w:p w14:paraId="43A14EF9" w14:textId="2AEC3715" w:rsidR="007B33CE" w:rsidRPr="002825EE"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5.3 x 10</w:t>
            </w:r>
            <w:r w:rsidRPr="002825EE">
              <w:rPr>
                <w:rFonts w:ascii="Times New Roman" w:eastAsia="Times New Roman" w:hAnsi="Times New Roman" w:cs="Times New Roman"/>
                <w:b/>
                <w:color w:val="000000"/>
                <w:sz w:val="16"/>
                <w:szCs w:val="16"/>
                <w:vertAlign w:val="superscript"/>
                <w:lang w:eastAsia="de-DE"/>
              </w:rPr>
              <w:t>-10</w:t>
            </w:r>
          </w:p>
        </w:tc>
      </w:tr>
      <w:tr w:rsidR="00C85EE3" w:rsidRPr="006D0FD5" w14:paraId="1401CC71" w14:textId="77777777" w:rsidTr="002825EE">
        <w:trPr>
          <w:trHeight w:val="300"/>
          <w:jc w:val="center"/>
        </w:trPr>
        <w:tc>
          <w:tcPr>
            <w:tcW w:w="9017" w:type="dxa"/>
            <w:gridSpan w:val="8"/>
            <w:shd w:val="clear" w:color="auto" w:fill="auto"/>
            <w:noWrap/>
            <w:vAlign w:val="center"/>
          </w:tcPr>
          <w:p w14:paraId="14016163" w14:textId="61EB42DE" w:rsidR="00C85EE3" w:rsidRPr="00DA69C5" w:rsidRDefault="00C85EE3" w:rsidP="002825EE">
            <w:pPr>
              <w:spacing w:after="0" w:line="240" w:lineRule="auto"/>
              <w:jc w:val="center"/>
              <w:rPr>
                <w:rFonts w:ascii="Times New Roman" w:eastAsia="Times New Roman" w:hAnsi="Times New Roman" w:cs="Times New Roman"/>
                <w:b/>
                <w:i/>
                <w:color w:val="000000"/>
                <w:sz w:val="16"/>
                <w:szCs w:val="16"/>
                <w:lang w:val="en-US" w:eastAsia="de-DE"/>
              </w:rPr>
            </w:pPr>
            <w:r w:rsidRPr="00DA69C5">
              <w:rPr>
                <w:rFonts w:ascii="Times New Roman" w:eastAsia="Times New Roman" w:hAnsi="Times New Roman" w:cs="Times New Roman"/>
                <w:b/>
                <w:i/>
                <w:color w:val="000000"/>
                <w:sz w:val="16"/>
                <w:szCs w:val="16"/>
                <w:lang w:val="en-US" w:eastAsia="de-DE"/>
              </w:rPr>
              <w:t xml:space="preserve">One-way </w:t>
            </w:r>
            <w:r w:rsidR="00411B7C" w:rsidRPr="00411B7C">
              <w:rPr>
                <w:rFonts w:ascii="Times New Roman" w:eastAsia="Times New Roman" w:hAnsi="Times New Roman" w:cs="Times New Roman"/>
                <w:b/>
                <w:i/>
                <w:color w:val="000000"/>
                <w:sz w:val="16"/>
                <w:szCs w:val="16"/>
                <w:lang w:val="en-US" w:eastAsia="de-DE"/>
              </w:rPr>
              <w:t>analysis of variance</w:t>
            </w:r>
            <w:r w:rsidRPr="00DA69C5">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DA69C5" w14:paraId="4DD12BF4" w14:textId="77777777" w:rsidTr="001A2F55">
        <w:trPr>
          <w:trHeight w:val="300"/>
          <w:jc w:val="center"/>
        </w:trPr>
        <w:tc>
          <w:tcPr>
            <w:tcW w:w="6565" w:type="dxa"/>
            <w:gridSpan w:val="5"/>
            <w:vMerge w:val="restart"/>
            <w:shd w:val="clear" w:color="auto" w:fill="auto"/>
            <w:noWrap/>
            <w:vAlign w:val="center"/>
          </w:tcPr>
          <w:p w14:paraId="1539BE2A"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6340FC1D" w14:textId="240CBB62"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F14E0D7" w14:textId="3EAB7076"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6F027F0E" w14:textId="038DAA50"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DA69C5" w14:paraId="4D603AD2" w14:textId="77777777" w:rsidTr="001A2F55">
        <w:trPr>
          <w:trHeight w:val="300"/>
          <w:jc w:val="center"/>
        </w:trPr>
        <w:tc>
          <w:tcPr>
            <w:tcW w:w="6565" w:type="dxa"/>
            <w:gridSpan w:val="5"/>
            <w:vMerge/>
            <w:shd w:val="clear" w:color="auto" w:fill="auto"/>
            <w:noWrap/>
            <w:vAlign w:val="center"/>
          </w:tcPr>
          <w:p w14:paraId="23214863"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4EE2BDF4" w14:textId="07E716F2"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36.16</w:t>
            </w:r>
          </w:p>
        </w:tc>
        <w:tc>
          <w:tcPr>
            <w:tcW w:w="810" w:type="dxa"/>
            <w:shd w:val="clear" w:color="auto" w:fill="auto"/>
            <w:noWrap/>
            <w:vAlign w:val="center"/>
          </w:tcPr>
          <w:p w14:paraId="6B9E23A0" w14:textId="6FE11E79" w:rsidR="007B33CE" w:rsidRPr="00DA69C5"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DA69C5">
              <w:rPr>
                <w:rFonts w:ascii="Times New Roman" w:eastAsia="Times New Roman" w:hAnsi="Times New Roman" w:cs="Times New Roman"/>
                <w:color w:val="000000"/>
                <w:sz w:val="16"/>
                <w:szCs w:val="16"/>
                <w:lang w:eastAsia="de-DE"/>
              </w:rPr>
              <w:t>4,</w:t>
            </w:r>
            <w:r w:rsidRPr="00DA69C5">
              <w:rPr>
                <w:rFonts w:ascii="Times New Roman" w:eastAsia="Times New Roman" w:hAnsi="Times New Roman" w:cs="Times New Roman"/>
                <w:b/>
                <w:color w:val="000000"/>
                <w:sz w:val="16"/>
                <w:szCs w:val="16"/>
                <w:lang w:eastAsia="de-DE"/>
              </w:rPr>
              <w:t xml:space="preserve"> </w:t>
            </w:r>
            <w:r w:rsidRPr="00DA69C5">
              <w:rPr>
                <w:rFonts w:ascii="Times New Roman" w:eastAsia="Times New Roman" w:hAnsi="Times New Roman" w:cs="Times New Roman"/>
                <w:color w:val="000000"/>
                <w:sz w:val="16"/>
                <w:szCs w:val="16"/>
                <w:lang w:eastAsia="de-DE"/>
              </w:rPr>
              <w:t>403.73</w:t>
            </w:r>
          </w:p>
        </w:tc>
        <w:tc>
          <w:tcPr>
            <w:tcW w:w="1012" w:type="dxa"/>
            <w:shd w:val="clear" w:color="auto" w:fill="auto"/>
            <w:noWrap/>
            <w:vAlign w:val="center"/>
          </w:tcPr>
          <w:p w14:paraId="2CC99B86" w14:textId="4D5CB917" w:rsidR="007B33CE" w:rsidRPr="002825EE"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7.8 x 10</w:t>
            </w:r>
            <w:r w:rsidRPr="002825EE">
              <w:rPr>
                <w:rFonts w:ascii="Times New Roman" w:eastAsia="Times New Roman" w:hAnsi="Times New Roman" w:cs="Times New Roman"/>
                <w:b/>
                <w:color w:val="000000"/>
                <w:sz w:val="16"/>
                <w:szCs w:val="16"/>
                <w:vertAlign w:val="superscript"/>
                <w:lang w:eastAsia="de-DE"/>
              </w:rPr>
              <w:t>-10</w:t>
            </w:r>
          </w:p>
        </w:tc>
      </w:tr>
      <w:tr w:rsidR="0063400F" w:rsidRPr="006D0FD5" w14:paraId="587C9ECF" w14:textId="77777777" w:rsidTr="002825EE">
        <w:trPr>
          <w:trHeight w:val="300"/>
          <w:jc w:val="center"/>
        </w:trPr>
        <w:tc>
          <w:tcPr>
            <w:tcW w:w="9017" w:type="dxa"/>
            <w:gridSpan w:val="8"/>
            <w:shd w:val="clear" w:color="auto" w:fill="auto"/>
            <w:noWrap/>
            <w:vAlign w:val="center"/>
          </w:tcPr>
          <w:p w14:paraId="09BAA5F0" w14:textId="5F4EE6E4" w:rsidR="0063400F" w:rsidRPr="00DA69C5" w:rsidRDefault="0063400F" w:rsidP="002825EE">
            <w:pPr>
              <w:spacing w:after="0" w:line="240" w:lineRule="auto"/>
              <w:jc w:val="center"/>
              <w:rPr>
                <w:rFonts w:ascii="Times New Roman" w:eastAsia="Times New Roman" w:hAnsi="Times New Roman" w:cs="Times New Roman"/>
                <w:b/>
                <w:i/>
                <w:color w:val="000000"/>
                <w:sz w:val="16"/>
                <w:szCs w:val="16"/>
                <w:lang w:val="en-US" w:eastAsia="de-DE"/>
              </w:rPr>
            </w:pPr>
            <w:r w:rsidRPr="00DA69C5">
              <w:rPr>
                <w:rFonts w:ascii="Times New Roman" w:eastAsia="Times New Roman" w:hAnsi="Times New Roman" w:cs="Times New Roman"/>
                <w:b/>
                <w:i/>
                <w:color w:val="000000"/>
                <w:sz w:val="16"/>
                <w:szCs w:val="16"/>
                <w:lang w:val="en-US" w:eastAsia="de-DE"/>
              </w:rPr>
              <w:t xml:space="preserve">Games-Howell post-hoc </w:t>
            </w:r>
            <w:r w:rsidR="00F00BC1" w:rsidRPr="00DA69C5">
              <w:rPr>
                <w:rFonts w:ascii="Times New Roman" w:eastAsia="Times New Roman" w:hAnsi="Times New Roman" w:cs="Times New Roman"/>
                <w:b/>
                <w:i/>
                <w:color w:val="000000"/>
                <w:sz w:val="16"/>
                <w:szCs w:val="16"/>
                <w:lang w:val="en-US" w:eastAsia="de-DE"/>
              </w:rPr>
              <w:t>tests for group differences</w:t>
            </w:r>
          </w:p>
        </w:tc>
      </w:tr>
      <w:tr w:rsidR="002825EE" w:rsidRPr="00DA69C5" w14:paraId="0BEB5319" w14:textId="77777777" w:rsidTr="002825EE">
        <w:trPr>
          <w:trHeight w:val="300"/>
          <w:jc w:val="center"/>
        </w:trPr>
        <w:tc>
          <w:tcPr>
            <w:tcW w:w="1075" w:type="dxa"/>
            <w:shd w:val="clear" w:color="auto" w:fill="auto"/>
            <w:noWrap/>
            <w:vAlign w:val="center"/>
            <w:hideMark/>
          </w:tcPr>
          <w:p w14:paraId="6E886FF2" w14:textId="7A5AAEEB"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33B95C6" w14:textId="63F47727"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Mean difference</w:t>
            </w:r>
          </w:p>
        </w:tc>
        <w:tc>
          <w:tcPr>
            <w:tcW w:w="1335" w:type="dxa"/>
            <w:vAlign w:val="center"/>
          </w:tcPr>
          <w:p w14:paraId="4B58190F" w14:textId="1B40BAD3"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Lower 95% CI</w:t>
            </w:r>
          </w:p>
        </w:tc>
        <w:tc>
          <w:tcPr>
            <w:tcW w:w="1453" w:type="dxa"/>
            <w:vAlign w:val="center"/>
          </w:tcPr>
          <w:p w14:paraId="377CDFD6" w14:textId="271391AA"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hAnsi="Times New Roman" w:cs="Times New Roman"/>
                <w:b/>
                <w:sz w:val="16"/>
                <w:szCs w:val="16"/>
              </w:rPr>
              <w:t>Upper 95% CI</w:t>
            </w:r>
          </w:p>
        </w:tc>
        <w:tc>
          <w:tcPr>
            <w:tcW w:w="1262" w:type="dxa"/>
            <w:shd w:val="clear" w:color="auto" w:fill="auto"/>
            <w:noWrap/>
            <w:vAlign w:val="center"/>
            <w:hideMark/>
          </w:tcPr>
          <w:p w14:paraId="1FED6DFA" w14:textId="5E21CEFE"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2A0C744"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1D097C6F"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0FF76433"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2825EE" w:rsidRPr="00DA69C5" w14:paraId="7C55F6E5" w14:textId="77777777" w:rsidTr="002825EE">
        <w:trPr>
          <w:trHeight w:val="300"/>
          <w:jc w:val="center"/>
        </w:trPr>
        <w:tc>
          <w:tcPr>
            <w:tcW w:w="1075" w:type="dxa"/>
            <w:shd w:val="clear" w:color="auto" w:fill="auto"/>
            <w:noWrap/>
            <w:vAlign w:val="center"/>
            <w:hideMark/>
          </w:tcPr>
          <w:p w14:paraId="5DDF8DDE" w14:textId="7E191F4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hideMark/>
          </w:tcPr>
          <w:p w14:paraId="645268C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-0.398</w:t>
            </w:r>
          </w:p>
        </w:tc>
        <w:tc>
          <w:tcPr>
            <w:tcW w:w="1335" w:type="dxa"/>
            <w:vAlign w:val="center"/>
          </w:tcPr>
          <w:p w14:paraId="06E7BEB0" w14:textId="1D4BFBE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-0.873</w:t>
            </w:r>
          </w:p>
        </w:tc>
        <w:tc>
          <w:tcPr>
            <w:tcW w:w="1453" w:type="dxa"/>
            <w:vAlign w:val="center"/>
          </w:tcPr>
          <w:p w14:paraId="48101B49" w14:textId="34C7E99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0.076</w:t>
            </w:r>
          </w:p>
        </w:tc>
        <w:tc>
          <w:tcPr>
            <w:tcW w:w="1262" w:type="dxa"/>
            <w:shd w:val="clear" w:color="auto" w:fill="auto"/>
            <w:noWrap/>
            <w:vAlign w:val="center"/>
            <w:hideMark/>
          </w:tcPr>
          <w:p w14:paraId="488B2A35" w14:textId="4CA3EEE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0.123</w:t>
            </w:r>
          </w:p>
        </w:tc>
        <w:tc>
          <w:tcPr>
            <w:tcW w:w="630" w:type="dxa"/>
            <w:shd w:val="clear" w:color="auto" w:fill="auto"/>
            <w:noWrap/>
            <w:vAlign w:val="center"/>
            <w:hideMark/>
          </w:tcPr>
          <w:p w14:paraId="1DDF13C4" w14:textId="6041D860"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2.3</w:t>
            </w:r>
            <w:r w:rsidR="00492CE7">
              <w:rPr>
                <w:rFonts w:ascii="Times New Roman" w:eastAsia="Times New Roman" w:hAnsi="Times New Roman" w:cs="Times New Roman"/>
                <w:color w:val="000000"/>
                <w:sz w:val="16"/>
                <w:szCs w:val="16"/>
                <w:lang w:eastAsia="de-DE"/>
              </w:rPr>
              <w:t>0</w:t>
            </w:r>
          </w:p>
        </w:tc>
        <w:tc>
          <w:tcPr>
            <w:tcW w:w="810" w:type="dxa"/>
            <w:shd w:val="clear" w:color="auto" w:fill="auto"/>
            <w:noWrap/>
            <w:vAlign w:val="center"/>
            <w:hideMark/>
          </w:tcPr>
          <w:p w14:paraId="1205F7E2" w14:textId="48871CBF"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407.40</w:t>
            </w:r>
          </w:p>
        </w:tc>
        <w:tc>
          <w:tcPr>
            <w:tcW w:w="1012" w:type="dxa"/>
            <w:shd w:val="clear" w:color="auto" w:fill="auto"/>
            <w:noWrap/>
            <w:vAlign w:val="center"/>
            <w:hideMark/>
          </w:tcPr>
          <w:p w14:paraId="0A035CFD" w14:textId="79357ED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0.14</w:t>
            </w:r>
          </w:p>
        </w:tc>
      </w:tr>
      <w:tr w:rsidR="002825EE" w:rsidRPr="00DA69C5" w14:paraId="2EDEF248" w14:textId="77777777" w:rsidTr="002825EE">
        <w:trPr>
          <w:trHeight w:val="300"/>
          <w:jc w:val="center"/>
        </w:trPr>
        <w:tc>
          <w:tcPr>
            <w:tcW w:w="1075" w:type="dxa"/>
            <w:shd w:val="clear" w:color="auto" w:fill="auto"/>
            <w:noWrap/>
            <w:vAlign w:val="center"/>
            <w:hideMark/>
          </w:tcPr>
          <w:p w14:paraId="08ED9D6A" w14:textId="24D2F710"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hideMark/>
          </w:tcPr>
          <w:p w14:paraId="1EBCA67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-0.753</w:t>
            </w:r>
          </w:p>
        </w:tc>
        <w:tc>
          <w:tcPr>
            <w:tcW w:w="1335" w:type="dxa"/>
            <w:vAlign w:val="center"/>
          </w:tcPr>
          <w:p w14:paraId="0AE7A2D9" w14:textId="070ACEA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-1.446</w:t>
            </w:r>
          </w:p>
        </w:tc>
        <w:tc>
          <w:tcPr>
            <w:tcW w:w="1453" w:type="dxa"/>
            <w:vAlign w:val="center"/>
          </w:tcPr>
          <w:p w14:paraId="15C58D53" w14:textId="0D7F2AE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-0.06</w:t>
            </w:r>
            <w:r w:rsidR="00492CE7">
              <w:rPr>
                <w:rFonts w:ascii="Times New Roman" w:hAnsi="Times New Roman" w:cs="Times New Roman"/>
                <w:sz w:val="16"/>
                <w:szCs w:val="16"/>
              </w:rPr>
              <w:t>0</w:t>
            </w:r>
          </w:p>
        </w:tc>
        <w:tc>
          <w:tcPr>
            <w:tcW w:w="1262" w:type="dxa"/>
            <w:shd w:val="clear" w:color="auto" w:fill="auto"/>
            <w:noWrap/>
            <w:vAlign w:val="center"/>
            <w:hideMark/>
          </w:tcPr>
          <w:p w14:paraId="464B6E49" w14:textId="2CF3886D"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0.178</w:t>
            </w:r>
          </w:p>
        </w:tc>
        <w:tc>
          <w:tcPr>
            <w:tcW w:w="630" w:type="dxa"/>
            <w:shd w:val="clear" w:color="auto" w:fill="auto"/>
            <w:noWrap/>
            <w:vAlign w:val="center"/>
            <w:hideMark/>
          </w:tcPr>
          <w:p w14:paraId="56D2C9CC" w14:textId="64F455A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w:t>
            </w:r>
            <w:r>
              <w:rPr>
                <w:rFonts w:ascii="Times New Roman" w:eastAsia="Times New Roman" w:hAnsi="Times New Roman" w:cs="Times New Roman"/>
                <w:color w:val="000000"/>
                <w:sz w:val="16"/>
                <w:szCs w:val="16"/>
                <w:lang w:eastAsia="de-DE"/>
              </w:rPr>
              <w:t>9</w:t>
            </w:r>
          </w:p>
        </w:tc>
        <w:tc>
          <w:tcPr>
            <w:tcW w:w="810" w:type="dxa"/>
            <w:shd w:val="clear" w:color="auto" w:fill="auto"/>
            <w:noWrap/>
            <w:vAlign w:val="center"/>
            <w:hideMark/>
          </w:tcPr>
          <w:p w14:paraId="6F948ACC" w14:textId="0266B8C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217.38</w:t>
            </w:r>
          </w:p>
        </w:tc>
        <w:tc>
          <w:tcPr>
            <w:tcW w:w="1012" w:type="dxa"/>
            <w:shd w:val="clear" w:color="auto" w:fill="auto"/>
            <w:noWrap/>
            <w:vAlign w:val="center"/>
            <w:hideMark/>
          </w:tcPr>
          <w:p w14:paraId="309D9F55" w14:textId="77777777"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0.026</w:t>
            </w:r>
          </w:p>
        </w:tc>
      </w:tr>
      <w:tr w:rsidR="002825EE" w:rsidRPr="00DA69C5" w14:paraId="15EA8387" w14:textId="77777777" w:rsidTr="002825EE">
        <w:trPr>
          <w:trHeight w:val="300"/>
          <w:jc w:val="center"/>
        </w:trPr>
        <w:tc>
          <w:tcPr>
            <w:tcW w:w="1075" w:type="dxa"/>
            <w:shd w:val="clear" w:color="auto" w:fill="auto"/>
            <w:noWrap/>
            <w:vAlign w:val="center"/>
            <w:hideMark/>
          </w:tcPr>
          <w:p w14:paraId="3A0174E5" w14:textId="4C5CE0E0"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hideMark/>
          </w:tcPr>
          <w:p w14:paraId="64EE4CA1"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-1.127</w:t>
            </w:r>
          </w:p>
        </w:tc>
        <w:tc>
          <w:tcPr>
            <w:tcW w:w="1335" w:type="dxa"/>
            <w:vAlign w:val="center"/>
          </w:tcPr>
          <w:p w14:paraId="1FB8E49C" w14:textId="44A72720"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-1.845</w:t>
            </w:r>
          </w:p>
        </w:tc>
        <w:tc>
          <w:tcPr>
            <w:tcW w:w="1453" w:type="dxa"/>
            <w:vAlign w:val="center"/>
          </w:tcPr>
          <w:p w14:paraId="54344C92" w14:textId="2003FD9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-0.409</w:t>
            </w:r>
          </w:p>
        </w:tc>
        <w:tc>
          <w:tcPr>
            <w:tcW w:w="1262" w:type="dxa"/>
            <w:shd w:val="clear" w:color="auto" w:fill="auto"/>
            <w:noWrap/>
            <w:vAlign w:val="center"/>
            <w:hideMark/>
          </w:tcPr>
          <w:p w14:paraId="24FEBBB8" w14:textId="56CB66D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0.185</w:t>
            </w:r>
          </w:p>
        </w:tc>
        <w:tc>
          <w:tcPr>
            <w:tcW w:w="630" w:type="dxa"/>
            <w:shd w:val="clear" w:color="auto" w:fill="auto"/>
            <w:noWrap/>
            <w:vAlign w:val="center"/>
            <w:hideMark/>
          </w:tcPr>
          <w:p w14:paraId="5B7445A7" w14:textId="56EA9A99"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4.3</w:t>
            </w:r>
            <w:r>
              <w:rPr>
                <w:rFonts w:ascii="Times New Roman" w:eastAsia="Times New Roman" w:hAnsi="Times New Roman" w:cs="Times New Roman"/>
                <w:color w:val="000000"/>
                <w:sz w:val="16"/>
                <w:szCs w:val="16"/>
                <w:lang w:eastAsia="de-DE"/>
              </w:rPr>
              <w:t>2</w:t>
            </w:r>
          </w:p>
        </w:tc>
        <w:tc>
          <w:tcPr>
            <w:tcW w:w="810" w:type="dxa"/>
            <w:shd w:val="clear" w:color="auto" w:fill="auto"/>
            <w:noWrap/>
            <w:vAlign w:val="center"/>
            <w:hideMark/>
          </w:tcPr>
          <w:p w14:paraId="16A10045" w14:textId="39CBB1FD"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230.99</w:t>
            </w:r>
          </w:p>
        </w:tc>
        <w:tc>
          <w:tcPr>
            <w:tcW w:w="1012" w:type="dxa"/>
            <w:shd w:val="clear" w:color="auto" w:fill="auto"/>
            <w:noWrap/>
            <w:vAlign w:val="center"/>
            <w:hideMark/>
          </w:tcPr>
          <w:p w14:paraId="3994206C" w14:textId="4B40D021"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7EA16229" w14:textId="77777777" w:rsidTr="002825EE">
        <w:trPr>
          <w:trHeight w:val="300"/>
          <w:jc w:val="center"/>
        </w:trPr>
        <w:tc>
          <w:tcPr>
            <w:tcW w:w="1075" w:type="dxa"/>
            <w:shd w:val="clear" w:color="auto" w:fill="auto"/>
            <w:noWrap/>
            <w:vAlign w:val="center"/>
            <w:hideMark/>
          </w:tcPr>
          <w:p w14:paraId="60C495ED" w14:textId="222BD6D4"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hideMark/>
          </w:tcPr>
          <w:p w14:paraId="70B894A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-2.665</w:t>
            </w:r>
          </w:p>
        </w:tc>
        <w:tc>
          <w:tcPr>
            <w:tcW w:w="1335" w:type="dxa"/>
            <w:vAlign w:val="center"/>
          </w:tcPr>
          <w:p w14:paraId="576E026C" w14:textId="5B94C885"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-3.289</w:t>
            </w:r>
          </w:p>
        </w:tc>
        <w:tc>
          <w:tcPr>
            <w:tcW w:w="1453" w:type="dxa"/>
            <w:vAlign w:val="center"/>
          </w:tcPr>
          <w:p w14:paraId="0DC16E53" w14:textId="633F467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-2.04</w:t>
            </w:r>
            <w:r w:rsidR="00492CE7">
              <w:rPr>
                <w:rFonts w:ascii="Times New Roman" w:hAnsi="Times New Roman" w:cs="Times New Roman"/>
                <w:sz w:val="16"/>
                <w:szCs w:val="16"/>
              </w:rPr>
              <w:t>0</w:t>
            </w:r>
          </w:p>
        </w:tc>
        <w:tc>
          <w:tcPr>
            <w:tcW w:w="1262" w:type="dxa"/>
            <w:shd w:val="clear" w:color="auto" w:fill="auto"/>
            <w:noWrap/>
            <w:vAlign w:val="center"/>
            <w:hideMark/>
          </w:tcPr>
          <w:p w14:paraId="742C295A" w14:textId="756A6569"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0.161</w:t>
            </w:r>
          </w:p>
        </w:tc>
        <w:tc>
          <w:tcPr>
            <w:tcW w:w="630" w:type="dxa"/>
            <w:shd w:val="clear" w:color="auto" w:fill="auto"/>
            <w:noWrap/>
            <w:vAlign w:val="center"/>
            <w:hideMark/>
          </w:tcPr>
          <w:p w14:paraId="5D3B5B9A" w14:textId="4818806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11.7</w:t>
            </w:r>
            <w:r>
              <w:rPr>
                <w:rFonts w:ascii="Times New Roman" w:eastAsia="Times New Roman" w:hAnsi="Times New Roman" w:cs="Times New Roman"/>
                <w:color w:val="000000"/>
                <w:sz w:val="16"/>
                <w:szCs w:val="16"/>
                <w:lang w:eastAsia="de-DE"/>
              </w:rPr>
              <w:t>2</w:t>
            </w:r>
          </w:p>
        </w:tc>
        <w:tc>
          <w:tcPr>
            <w:tcW w:w="810" w:type="dxa"/>
            <w:shd w:val="clear" w:color="auto" w:fill="auto"/>
            <w:noWrap/>
            <w:vAlign w:val="center"/>
            <w:hideMark/>
          </w:tcPr>
          <w:p w14:paraId="4936112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267.48</w:t>
            </w:r>
          </w:p>
        </w:tc>
        <w:tc>
          <w:tcPr>
            <w:tcW w:w="1012" w:type="dxa"/>
            <w:shd w:val="clear" w:color="auto" w:fill="auto"/>
            <w:noWrap/>
            <w:vAlign w:val="center"/>
            <w:hideMark/>
          </w:tcPr>
          <w:p w14:paraId="3A3D5984" w14:textId="19D4A6F5"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670D240F" w14:textId="77777777" w:rsidTr="002825EE">
        <w:trPr>
          <w:trHeight w:val="300"/>
          <w:jc w:val="center"/>
        </w:trPr>
        <w:tc>
          <w:tcPr>
            <w:tcW w:w="1075" w:type="dxa"/>
            <w:shd w:val="clear" w:color="auto" w:fill="auto"/>
            <w:noWrap/>
            <w:vAlign w:val="center"/>
            <w:hideMark/>
          </w:tcPr>
          <w:p w14:paraId="103FADA4" w14:textId="06DD5A9C"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hideMark/>
          </w:tcPr>
          <w:p w14:paraId="75F53209"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-0.354</w:t>
            </w:r>
          </w:p>
        </w:tc>
        <w:tc>
          <w:tcPr>
            <w:tcW w:w="1335" w:type="dxa"/>
            <w:vAlign w:val="center"/>
          </w:tcPr>
          <w:p w14:paraId="217D628A" w14:textId="75DD849C"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-1.067</w:t>
            </w:r>
          </w:p>
        </w:tc>
        <w:tc>
          <w:tcPr>
            <w:tcW w:w="1453" w:type="dxa"/>
            <w:vAlign w:val="center"/>
          </w:tcPr>
          <w:p w14:paraId="5C687D54" w14:textId="749DD41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0.359</w:t>
            </w:r>
          </w:p>
        </w:tc>
        <w:tc>
          <w:tcPr>
            <w:tcW w:w="1262" w:type="dxa"/>
            <w:shd w:val="clear" w:color="auto" w:fill="auto"/>
            <w:noWrap/>
            <w:vAlign w:val="center"/>
            <w:hideMark/>
          </w:tcPr>
          <w:p w14:paraId="5A8D6BB8" w14:textId="50B21F5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0.183</w:t>
            </w:r>
          </w:p>
        </w:tc>
        <w:tc>
          <w:tcPr>
            <w:tcW w:w="630" w:type="dxa"/>
            <w:shd w:val="clear" w:color="auto" w:fill="auto"/>
            <w:noWrap/>
            <w:vAlign w:val="center"/>
            <w:hideMark/>
          </w:tcPr>
          <w:p w14:paraId="7E6A53C6" w14:textId="623D4DC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1.3</w:t>
            </w:r>
            <w:r>
              <w:rPr>
                <w:rFonts w:ascii="Times New Roman" w:eastAsia="Times New Roman" w:hAnsi="Times New Roman" w:cs="Times New Roman"/>
                <w:color w:val="000000"/>
                <w:sz w:val="16"/>
                <w:szCs w:val="16"/>
                <w:lang w:eastAsia="de-DE"/>
              </w:rPr>
              <w:t>7</w:t>
            </w:r>
          </w:p>
        </w:tc>
        <w:tc>
          <w:tcPr>
            <w:tcW w:w="810" w:type="dxa"/>
            <w:shd w:val="clear" w:color="auto" w:fill="auto"/>
            <w:noWrap/>
            <w:vAlign w:val="center"/>
            <w:hideMark/>
          </w:tcPr>
          <w:p w14:paraId="501CBC47" w14:textId="56780EE1"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236.34</w:t>
            </w:r>
          </w:p>
        </w:tc>
        <w:tc>
          <w:tcPr>
            <w:tcW w:w="1012" w:type="dxa"/>
            <w:shd w:val="clear" w:color="auto" w:fill="auto"/>
            <w:noWrap/>
            <w:vAlign w:val="center"/>
            <w:hideMark/>
          </w:tcPr>
          <w:p w14:paraId="796FD89D"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0.65</w:t>
            </w:r>
          </w:p>
        </w:tc>
      </w:tr>
      <w:tr w:rsidR="002825EE" w:rsidRPr="00DA69C5" w14:paraId="1D2AF831" w14:textId="77777777" w:rsidTr="002825EE">
        <w:trPr>
          <w:trHeight w:val="300"/>
          <w:jc w:val="center"/>
        </w:trPr>
        <w:tc>
          <w:tcPr>
            <w:tcW w:w="1075" w:type="dxa"/>
            <w:shd w:val="clear" w:color="auto" w:fill="auto"/>
            <w:noWrap/>
            <w:vAlign w:val="center"/>
            <w:hideMark/>
          </w:tcPr>
          <w:p w14:paraId="7E2D2FAF" w14:textId="74E9D31B"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hideMark/>
          </w:tcPr>
          <w:p w14:paraId="268B3D6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-0.729</w:t>
            </w:r>
          </w:p>
        </w:tc>
        <w:tc>
          <w:tcPr>
            <w:tcW w:w="1335" w:type="dxa"/>
            <w:vAlign w:val="center"/>
          </w:tcPr>
          <w:p w14:paraId="66A713A2" w14:textId="4E353CE6"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-1.466</w:t>
            </w:r>
          </w:p>
        </w:tc>
        <w:tc>
          <w:tcPr>
            <w:tcW w:w="1453" w:type="dxa"/>
            <w:vAlign w:val="center"/>
          </w:tcPr>
          <w:p w14:paraId="34085328" w14:textId="65DD762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0.009</w:t>
            </w:r>
          </w:p>
        </w:tc>
        <w:tc>
          <w:tcPr>
            <w:tcW w:w="1262" w:type="dxa"/>
            <w:shd w:val="clear" w:color="auto" w:fill="auto"/>
            <w:noWrap/>
            <w:vAlign w:val="center"/>
            <w:hideMark/>
          </w:tcPr>
          <w:p w14:paraId="46BFFAA0" w14:textId="5AD2C793"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0.19</w:t>
            </w:r>
            <w:r w:rsidR="00492CE7">
              <w:rPr>
                <w:rFonts w:ascii="Times New Roman" w:eastAsia="Times New Roman" w:hAnsi="Times New Roman" w:cs="Times New Roman"/>
                <w:color w:val="000000"/>
                <w:sz w:val="16"/>
                <w:szCs w:val="16"/>
                <w:lang w:eastAsia="de-DE"/>
              </w:rPr>
              <w:t>0</w:t>
            </w:r>
          </w:p>
        </w:tc>
        <w:tc>
          <w:tcPr>
            <w:tcW w:w="630" w:type="dxa"/>
            <w:shd w:val="clear" w:color="auto" w:fill="auto"/>
            <w:noWrap/>
            <w:vAlign w:val="center"/>
            <w:hideMark/>
          </w:tcPr>
          <w:p w14:paraId="4DFEB446" w14:textId="64DDE4E5"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2.71</w:t>
            </w:r>
          </w:p>
        </w:tc>
        <w:tc>
          <w:tcPr>
            <w:tcW w:w="810" w:type="dxa"/>
            <w:shd w:val="clear" w:color="auto" w:fill="auto"/>
            <w:noWrap/>
            <w:vAlign w:val="center"/>
            <w:hideMark/>
          </w:tcPr>
          <w:p w14:paraId="3F56CDB4" w14:textId="0DD8B6B8"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249.8</w:t>
            </w:r>
            <w:r>
              <w:rPr>
                <w:rFonts w:ascii="Times New Roman" w:eastAsia="Times New Roman" w:hAnsi="Times New Roman" w:cs="Times New Roman"/>
                <w:color w:val="000000"/>
                <w:sz w:val="16"/>
                <w:szCs w:val="16"/>
                <w:lang w:eastAsia="de-DE"/>
              </w:rPr>
              <w:t>1</w:t>
            </w:r>
          </w:p>
        </w:tc>
        <w:tc>
          <w:tcPr>
            <w:tcW w:w="1012" w:type="dxa"/>
            <w:shd w:val="clear" w:color="auto" w:fill="auto"/>
            <w:noWrap/>
            <w:vAlign w:val="center"/>
            <w:hideMark/>
          </w:tcPr>
          <w:p w14:paraId="001E37E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0.055</w:t>
            </w:r>
          </w:p>
        </w:tc>
      </w:tr>
      <w:tr w:rsidR="002825EE" w:rsidRPr="00DA69C5" w14:paraId="0C90B241" w14:textId="77777777" w:rsidTr="002825EE">
        <w:trPr>
          <w:trHeight w:val="300"/>
          <w:jc w:val="center"/>
        </w:trPr>
        <w:tc>
          <w:tcPr>
            <w:tcW w:w="1075" w:type="dxa"/>
            <w:shd w:val="clear" w:color="auto" w:fill="auto"/>
            <w:noWrap/>
            <w:vAlign w:val="center"/>
            <w:hideMark/>
          </w:tcPr>
          <w:p w14:paraId="1480320A" w14:textId="4954BB1A"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hideMark/>
          </w:tcPr>
          <w:p w14:paraId="150C72F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-2.266</w:t>
            </w:r>
          </w:p>
        </w:tc>
        <w:tc>
          <w:tcPr>
            <w:tcW w:w="1335" w:type="dxa"/>
            <w:vAlign w:val="center"/>
          </w:tcPr>
          <w:p w14:paraId="1D0E3B25" w14:textId="6B6E108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-2.913</w:t>
            </w:r>
          </w:p>
        </w:tc>
        <w:tc>
          <w:tcPr>
            <w:tcW w:w="1453" w:type="dxa"/>
            <w:vAlign w:val="center"/>
          </w:tcPr>
          <w:p w14:paraId="27D9C7F2" w14:textId="7C0A983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-1.619</w:t>
            </w:r>
          </w:p>
        </w:tc>
        <w:tc>
          <w:tcPr>
            <w:tcW w:w="1262" w:type="dxa"/>
            <w:shd w:val="clear" w:color="auto" w:fill="auto"/>
            <w:noWrap/>
            <w:vAlign w:val="center"/>
            <w:hideMark/>
          </w:tcPr>
          <w:p w14:paraId="19A42715" w14:textId="3E6AF22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0.167</w:t>
            </w:r>
          </w:p>
        </w:tc>
        <w:tc>
          <w:tcPr>
            <w:tcW w:w="630" w:type="dxa"/>
            <w:shd w:val="clear" w:color="auto" w:fill="auto"/>
            <w:noWrap/>
            <w:vAlign w:val="center"/>
            <w:hideMark/>
          </w:tcPr>
          <w:p w14:paraId="497C1BEE" w14:textId="2FA30CF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9.61</w:t>
            </w:r>
          </w:p>
        </w:tc>
        <w:tc>
          <w:tcPr>
            <w:tcW w:w="810" w:type="dxa"/>
            <w:shd w:val="clear" w:color="auto" w:fill="auto"/>
            <w:noWrap/>
            <w:vAlign w:val="center"/>
            <w:hideMark/>
          </w:tcPr>
          <w:p w14:paraId="3948685B" w14:textId="4DE6617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290.12</w:t>
            </w:r>
          </w:p>
        </w:tc>
        <w:tc>
          <w:tcPr>
            <w:tcW w:w="1012" w:type="dxa"/>
            <w:shd w:val="clear" w:color="auto" w:fill="auto"/>
            <w:noWrap/>
            <w:vAlign w:val="center"/>
            <w:hideMark/>
          </w:tcPr>
          <w:p w14:paraId="29D83E4E" w14:textId="2AFDE1C0"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3C6CDA07" w14:textId="77777777" w:rsidTr="002825EE">
        <w:trPr>
          <w:trHeight w:val="300"/>
          <w:jc w:val="center"/>
        </w:trPr>
        <w:tc>
          <w:tcPr>
            <w:tcW w:w="1075" w:type="dxa"/>
            <w:shd w:val="clear" w:color="auto" w:fill="auto"/>
            <w:noWrap/>
            <w:vAlign w:val="center"/>
            <w:hideMark/>
          </w:tcPr>
          <w:p w14:paraId="26131000" w14:textId="529ABDD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hideMark/>
          </w:tcPr>
          <w:p w14:paraId="4459A62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-0.374</w:t>
            </w:r>
          </w:p>
        </w:tc>
        <w:tc>
          <w:tcPr>
            <w:tcW w:w="1335" w:type="dxa"/>
            <w:vAlign w:val="center"/>
          </w:tcPr>
          <w:p w14:paraId="7C302882" w14:textId="787C139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-1.265</w:t>
            </w:r>
          </w:p>
        </w:tc>
        <w:tc>
          <w:tcPr>
            <w:tcW w:w="1453" w:type="dxa"/>
            <w:vAlign w:val="center"/>
          </w:tcPr>
          <w:p w14:paraId="509C4CC5" w14:textId="3D7FA02C"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0.517</w:t>
            </w:r>
          </w:p>
        </w:tc>
        <w:tc>
          <w:tcPr>
            <w:tcW w:w="1262" w:type="dxa"/>
            <w:shd w:val="clear" w:color="auto" w:fill="auto"/>
            <w:noWrap/>
            <w:vAlign w:val="center"/>
            <w:hideMark/>
          </w:tcPr>
          <w:p w14:paraId="3E48951D" w14:textId="5916CD6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0.23</w:t>
            </w:r>
            <w:r w:rsidR="00492CE7">
              <w:rPr>
                <w:rFonts w:ascii="Times New Roman" w:eastAsia="Times New Roman" w:hAnsi="Times New Roman" w:cs="Times New Roman"/>
                <w:color w:val="000000"/>
                <w:sz w:val="16"/>
                <w:szCs w:val="16"/>
                <w:lang w:eastAsia="de-DE"/>
              </w:rPr>
              <w:t>0</w:t>
            </w:r>
          </w:p>
        </w:tc>
        <w:tc>
          <w:tcPr>
            <w:tcW w:w="630" w:type="dxa"/>
            <w:shd w:val="clear" w:color="auto" w:fill="auto"/>
            <w:noWrap/>
            <w:vAlign w:val="center"/>
            <w:hideMark/>
          </w:tcPr>
          <w:p w14:paraId="018D5D0B" w14:textId="1D354F8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1.15</w:t>
            </w:r>
          </w:p>
        </w:tc>
        <w:tc>
          <w:tcPr>
            <w:tcW w:w="810" w:type="dxa"/>
            <w:shd w:val="clear" w:color="auto" w:fill="auto"/>
            <w:noWrap/>
            <w:vAlign w:val="center"/>
            <w:hideMark/>
          </w:tcPr>
          <w:p w14:paraId="27372AD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300</w:t>
            </w:r>
          </w:p>
        </w:tc>
        <w:tc>
          <w:tcPr>
            <w:tcW w:w="1012" w:type="dxa"/>
            <w:shd w:val="clear" w:color="auto" w:fill="auto"/>
            <w:noWrap/>
            <w:vAlign w:val="center"/>
            <w:hideMark/>
          </w:tcPr>
          <w:p w14:paraId="0A743F26" w14:textId="145110D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0.77</w:t>
            </w:r>
          </w:p>
        </w:tc>
      </w:tr>
      <w:tr w:rsidR="002825EE" w:rsidRPr="00DA69C5" w14:paraId="4E285648" w14:textId="77777777" w:rsidTr="002825EE">
        <w:trPr>
          <w:trHeight w:val="300"/>
          <w:jc w:val="center"/>
        </w:trPr>
        <w:tc>
          <w:tcPr>
            <w:tcW w:w="1075" w:type="dxa"/>
            <w:shd w:val="clear" w:color="auto" w:fill="auto"/>
            <w:noWrap/>
            <w:vAlign w:val="center"/>
            <w:hideMark/>
          </w:tcPr>
          <w:p w14:paraId="36F517B5" w14:textId="1572DD4B"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hideMark/>
          </w:tcPr>
          <w:p w14:paraId="739B5A6F"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-1.912</w:t>
            </w:r>
          </w:p>
        </w:tc>
        <w:tc>
          <w:tcPr>
            <w:tcW w:w="1335" w:type="dxa"/>
            <w:vAlign w:val="center"/>
          </w:tcPr>
          <w:p w14:paraId="2BD48F21" w14:textId="4B090D2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-2.731</w:t>
            </w:r>
          </w:p>
        </w:tc>
        <w:tc>
          <w:tcPr>
            <w:tcW w:w="1453" w:type="dxa"/>
            <w:vAlign w:val="center"/>
          </w:tcPr>
          <w:p w14:paraId="2538246C" w14:textId="6430986A"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-1.093</w:t>
            </w:r>
          </w:p>
        </w:tc>
        <w:tc>
          <w:tcPr>
            <w:tcW w:w="1262" w:type="dxa"/>
            <w:shd w:val="clear" w:color="auto" w:fill="auto"/>
            <w:noWrap/>
            <w:vAlign w:val="center"/>
            <w:hideMark/>
          </w:tcPr>
          <w:p w14:paraId="29E952CE" w14:textId="1739F35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0.211</w:t>
            </w:r>
          </w:p>
        </w:tc>
        <w:tc>
          <w:tcPr>
            <w:tcW w:w="630" w:type="dxa"/>
            <w:shd w:val="clear" w:color="auto" w:fill="auto"/>
            <w:noWrap/>
            <w:vAlign w:val="center"/>
            <w:hideMark/>
          </w:tcPr>
          <w:p w14:paraId="771A73B0" w14:textId="0EDF36DE"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6.4</w:t>
            </w:r>
            <w:r>
              <w:rPr>
                <w:rFonts w:ascii="Times New Roman" w:eastAsia="Times New Roman" w:hAnsi="Times New Roman" w:cs="Times New Roman"/>
                <w:color w:val="000000"/>
                <w:sz w:val="16"/>
                <w:szCs w:val="16"/>
                <w:lang w:eastAsia="de-DE"/>
              </w:rPr>
              <w:t>1</w:t>
            </w:r>
          </w:p>
        </w:tc>
        <w:tc>
          <w:tcPr>
            <w:tcW w:w="810" w:type="dxa"/>
            <w:shd w:val="clear" w:color="auto" w:fill="auto"/>
            <w:noWrap/>
            <w:vAlign w:val="center"/>
            <w:hideMark/>
          </w:tcPr>
          <w:p w14:paraId="4CD51262" w14:textId="1A363461"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293.94</w:t>
            </w:r>
          </w:p>
        </w:tc>
        <w:tc>
          <w:tcPr>
            <w:tcW w:w="1012" w:type="dxa"/>
            <w:shd w:val="clear" w:color="auto" w:fill="auto"/>
            <w:noWrap/>
            <w:vAlign w:val="center"/>
            <w:hideMark/>
          </w:tcPr>
          <w:p w14:paraId="252F25BA" w14:textId="411410BB"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73EA7417" w14:textId="77777777" w:rsidTr="002825EE">
        <w:trPr>
          <w:trHeight w:val="300"/>
          <w:jc w:val="center"/>
        </w:trPr>
        <w:tc>
          <w:tcPr>
            <w:tcW w:w="1075" w:type="dxa"/>
            <w:shd w:val="clear" w:color="auto" w:fill="auto"/>
            <w:noWrap/>
            <w:vAlign w:val="center"/>
            <w:hideMark/>
          </w:tcPr>
          <w:p w14:paraId="7C82EAFC" w14:textId="72A05272"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hideMark/>
          </w:tcPr>
          <w:p w14:paraId="457DB5C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-1.538</w:t>
            </w:r>
          </w:p>
        </w:tc>
        <w:tc>
          <w:tcPr>
            <w:tcW w:w="1335" w:type="dxa"/>
            <w:vAlign w:val="center"/>
          </w:tcPr>
          <w:p w14:paraId="19CFE422" w14:textId="35499384"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-2.378</w:t>
            </w:r>
          </w:p>
        </w:tc>
        <w:tc>
          <w:tcPr>
            <w:tcW w:w="1453" w:type="dxa"/>
            <w:vAlign w:val="center"/>
          </w:tcPr>
          <w:p w14:paraId="493E8EBB" w14:textId="375411F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-0.697</w:t>
            </w:r>
          </w:p>
        </w:tc>
        <w:tc>
          <w:tcPr>
            <w:tcW w:w="1262" w:type="dxa"/>
            <w:shd w:val="clear" w:color="auto" w:fill="auto"/>
            <w:noWrap/>
            <w:vAlign w:val="center"/>
            <w:hideMark/>
          </w:tcPr>
          <w:p w14:paraId="02B3E41F" w14:textId="75DA0D56"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0.217</w:t>
            </w:r>
          </w:p>
        </w:tc>
        <w:tc>
          <w:tcPr>
            <w:tcW w:w="630" w:type="dxa"/>
            <w:shd w:val="clear" w:color="auto" w:fill="auto"/>
            <w:noWrap/>
            <w:vAlign w:val="center"/>
            <w:hideMark/>
          </w:tcPr>
          <w:p w14:paraId="4A4335A7" w14:textId="24488C03"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5.02</w:t>
            </w:r>
          </w:p>
        </w:tc>
        <w:tc>
          <w:tcPr>
            <w:tcW w:w="810" w:type="dxa"/>
            <w:shd w:val="clear" w:color="auto" w:fill="auto"/>
            <w:noWrap/>
            <w:vAlign w:val="center"/>
            <w:hideMark/>
          </w:tcPr>
          <w:p w14:paraId="0F6E30F3" w14:textId="53293B9F"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307.7</w:t>
            </w:r>
            <w:r>
              <w:rPr>
                <w:rFonts w:ascii="Times New Roman" w:eastAsia="Times New Roman" w:hAnsi="Times New Roman" w:cs="Times New Roman"/>
                <w:color w:val="000000"/>
                <w:sz w:val="16"/>
                <w:szCs w:val="16"/>
                <w:lang w:eastAsia="de-DE"/>
              </w:rPr>
              <w:t>2</w:t>
            </w:r>
          </w:p>
        </w:tc>
        <w:tc>
          <w:tcPr>
            <w:tcW w:w="1012" w:type="dxa"/>
            <w:shd w:val="clear" w:color="auto" w:fill="auto"/>
            <w:noWrap/>
            <w:vAlign w:val="center"/>
            <w:hideMark/>
          </w:tcPr>
          <w:p w14:paraId="11588643" w14:textId="035306BD"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bl>
    <w:p w14:paraId="2CD082C6" w14:textId="6CAE7DA6" w:rsidR="00735A33" w:rsidRDefault="00735A33" w:rsidP="00F0218B">
      <w:pPr>
        <w:rPr>
          <w:rFonts w:ascii="Times New Roman" w:hAnsi="Times New Roman" w:cs="Times New Roman"/>
          <w:lang w:val="en-US"/>
        </w:rPr>
      </w:pPr>
    </w:p>
    <w:p w14:paraId="0F03DD45" w14:textId="7EAB388B" w:rsidR="00211E39" w:rsidRPr="006711E2" w:rsidRDefault="006711E2" w:rsidP="00F0218B">
      <w:pPr>
        <w:rPr>
          <w:rFonts w:ascii="Times New Roman" w:hAnsi="Times New Roman" w:cs="Times New Roman"/>
          <w:b/>
          <w:lang w:val="en-US"/>
        </w:rPr>
      </w:pPr>
      <w:r>
        <w:rPr>
          <w:rFonts w:ascii="Times New Roman" w:hAnsi="Times New Roman" w:cs="Times New Roman"/>
          <w:b/>
          <w:lang w:val="en-US"/>
        </w:rPr>
        <w:t>5b. Aluminum</w:t>
      </w:r>
      <w:r w:rsidR="00556818">
        <w:rPr>
          <w:rFonts w:ascii="Times New Roman" w:hAnsi="Times New Roman" w:cs="Times New Roman"/>
          <w:b/>
          <w:lang w:val="en-US"/>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BD3E90" w:rsidRPr="006D0FD5" w14:paraId="3DAB717A" w14:textId="77777777" w:rsidTr="00411B7C">
        <w:trPr>
          <w:trHeight w:val="300"/>
          <w:jc w:val="center"/>
        </w:trPr>
        <w:tc>
          <w:tcPr>
            <w:tcW w:w="9017" w:type="dxa"/>
            <w:gridSpan w:val="4"/>
            <w:shd w:val="clear" w:color="auto" w:fill="auto"/>
            <w:noWrap/>
            <w:vAlign w:val="center"/>
          </w:tcPr>
          <w:p w14:paraId="339D895D" w14:textId="59043179" w:rsidR="00BD3E90" w:rsidRPr="004A34A2" w:rsidRDefault="004A34A2" w:rsidP="00411B7C">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2825EE" w14:paraId="637443DD" w14:textId="77777777" w:rsidTr="001A2F55">
        <w:trPr>
          <w:trHeight w:val="300"/>
          <w:jc w:val="center"/>
        </w:trPr>
        <w:tc>
          <w:tcPr>
            <w:tcW w:w="6756" w:type="dxa"/>
            <w:vMerge w:val="restart"/>
            <w:shd w:val="clear" w:color="auto" w:fill="auto"/>
            <w:noWrap/>
            <w:vAlign w:val="center"/>
          </w:tcPr>
          <w:p w14:paraId="7F48D485" w14:textId="77777777" w:rsidR="007B33CE" w:rsidRPr="004A34A2"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80DF9CA"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3B347D72"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7BD47B1"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2825EE" w14:paraId="22C9B933" w14:textId="77777777" w:rsidTr="001A2F55">
        <w:trPr>
          <w:trHeight w:val="300"/>
          <w:jc w:val="center"/>
        </w:trPr>
        <w:tc>
          <w:tcPr>
            <w:tcW w:w="6756" w:type="dxa"/>
            <w:vMerge/>
            <w:shd w:val="clear" w:color="auto" w:fill="auto"/>
            <w:noWrap/>
            <w:vAlign w:val="center"/>
          </w:tcPr>
          <w:p w14:paraId="7826FE59"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AF88203" w14:textId="393EB504"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2.97</w:t>
            </w:r>
          </w:p>
        </w:tc>
        <w:tc>
          <w:tcPr>
            <w:tcW w:w="865" w:type="dxa"/>
            <w:shd w:val="clear" w:color="auto" w:fill="auto"/>
            <w:noWrap/>
            <w:vAlign w:val="center"/>
          </w:tcPr>
          <w:p w14:paraId="78740C03" w14:textId="7D780B20"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16FDD464" w14:textId="195EF217" w:rsidR="007B33CE" w:rsidRPr="00411B7C"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411B7C">
              <w:rPr>
                <w:rFonts w:ascii="Times New Roman" w:eastAsia="Times New Roman" w:hAnsi="Times New Roman" w:cs="Times New Roman"/>
                <w:b/>
                <w:color w:val="000000"/>
                <w:sz w:val="16"/>
                <w:szCs w:val="16"/>
                <w:lang w:eastAsia="de-DE"/>
              </w:rPr>
              <w:t>0.020</w:t>
            </w:r>
          </w:p>
        </w:tc>
      </w:tr>
      <w:tr w:rsidR="00BD3E90" w:rsidRPr="006D0FD5" w14:paraId="407197BE" w14:textId="77777777" w:rsidTr="00411B7C">
        <w:trPr>
          <w:trHeight w:val="300"/>
          <w:jc w:val="center"/>
        </w:trPr>
        <w:tc>
          <w:tcPr>
            <w:tcW w:w="9017" w:type="dxa"/>
            <w:gridSpan w:val="4"/>
            <w:shd w:val="clear" w:color="auto" w:fill="auto"/>
            <w:noWrap/>
            <w:vAlign w:val="center"/>
          </w:tcPr>
          <w:p w14:paraId="2FD2AE33" w14:textId="257CE5C9" w:rsidR="00BD3E90" w:rsidRPr="002825EE" w:rsidRDefault="00BD3E90" w:rsidP="00411B7C">
            <w:pPr>
              <w:spacing w:after="0" w:line="240" w:lineRule="auto"/>
              <w:jc w:val="center"/>
              <w:rPr>
                <w:rFonts w:ascii="Times New Roman" w:eastAsia="Times New Roman" w:hAnsi="Times New Roman" w:cs="Times New Roman"/>
                <w:b/>
                <w:i/>
                <w:color w:val="000000"/>
                <w:sz w:val="16"/>
                <w:szCs w:val="16"/>
                <w:lang w:val="en-US" w:eastAsia="de-DE"/>
              </w:rPr>
            </w:pPr>
            <w:r w:rsidRPr="002825EE">
              <w:rPr>
                <w:rFonts w:ascii="Times New Roman" w:eastAsia="Times New Roman" w:hAnsi="Times New Roman" w:cs="Times New Roman"/>
                <w:b/>
                <w:i/>
                <w:color w:val="000000"/>
                <w:sz w:val="16"/>
                <w:szCs w:val="16"/>
                <w:lang w:val="en-US" w:eastAsia="de-DE"/>
              </w:rPr>
              <w:t xml:space="preserve">One-way </w:t>
            </w:r>
            <w:r w:rsidR="00411B7C" w:rsidRPr="00411B7C">
              <w:rPr>
                <w:rFonts w:ascii="Times New Roman" w:eastAsia="Times New Roman" w:hAnsi="Times New Roman" w:cs="Times New Roman"/>
                <w:b/>
                <w:i/>
                <w:color w:val="000000"/>
                <w:sz w:val="16"/>
                <w:szCs w:val="16"/>
                <w:lang w:val="en-US" w:eastAsia="de-DE"/>
              </w:rPr>
              <w:t>analysis of variance</w:t>
            </w:r>
            <w:r w:rsidRPr="002825EE">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2825EE" w14:paraId="09908303" w14:textId="77777777" w:rsidTr="001A2F55">
        <w:trPr>
          <w:trHeight w:val="300"/>
          <w:jc w:val="center"/>
        </w:trPr>
        <w:tc>
          <w:tcPr>
            <w:tcW w:w="6756" w:type="dxa"/>
            <w:vMerge w:val="restart"/>
            <w:shd w:val="clear" w:color="auto" w:fill="auto"/>
            <w:noWrap/>
            <w:vAlign w:val="center"/>
          </w:tcPr>
          <w:p w14:paraId="746121C4"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D594A6C"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88F290"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1CE7CA5"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2825EE" w14:paraId="2A8062C7" w14:textId="77777777" w:rsidTr="001A2F55">
        <w:trPr>
          <w:trHeight w:val="300"/>
          <w:jc w:val="center"/>
        </w:trPr>
        <w:tc>
          <w:tcPr>
            <w:tcW w:w="6756" w:type="dxa"/>
            <w:vMerge/>
            <w:shd w:val="clear" w:color="auto" w:fill="auto"/>
            <w:noWrap/>
            <w:vAlign w:val="center"/>
          </w:tcPr>
          <w:p w14:paraId="36226517"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08CE777" w14:textId="07B065BB"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1.28</w:t>
            </w:r>
          </w:p>
        </w:tc>
        <w:tc>
          <w:tcPr>
            <w:tcW w:w="865" w:type="dxa"/>
            <w:shd w:val="clear" w:color="auto" w:fill="auto"/>
            <w:noWrap/>
            <w:vAlign w:val="center"/>
          </w:tcPr>
          <w:p w14:paraId="18989E58" w14:textId="036CC521"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4, 115.94</w:t>
            </w:r>
          </w:p>
        </w:tc>
        <w:tc>
          <w:tcPr>
            <w:tcW w:w="642" w:type="dxa"/>
            <w:shd w:val="clear" w:color="auto" w:fill="auto"/>
            <w:noWrap/>
            <w:vAlign w:val="center"/>
          </w:tcPr>
          <w:p w14:paraId="31FF4ED7" w14:textId="2C02E228"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0.28</w:t>
            </w:r>
          </w:p>
        </w:tc>
      </w:tr>
    </w:tbl>
    <w:p w14:paraId="6597EAEB" w14:textId="101C33A8" w:rsidR="00735A33" w:rsidRDefault="00735A33" w:rsidP="00F0218B">
      <w:pPr>
        <w:rPr>
          <w:rFonts w:ascii="Times New Roman" w:hAnsi="Times New Roman" w:cs="Times New Roman"/>
          <w:lang w:val="en-US"/>
        </w:rPr>
      </w:pPr>
    </w:p>
    <w:p w14:paraId="4022EC93" w14:textId="77777777" w:rsidR="008843FD" w:rsidRDefault="008843F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891D5B" w14:textId="46442A98" w:rsidR="00F0218B" w:rsidRDefault="00556818" w:rsidP="00F021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5c. Arsenic.</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172"/>
        <w:gridCol w:w="630"/>
        <w:gridCol w:w="900"/>
        <w:gridCol w:w="1012"/>
      </w:tblGrid>
      <w:tr w:rsidR="008843FD" w:rsidRPr="006D0FD5" w14:paraId="0F56768F" w14:textId="77777777" w:rsidTr="00411B7C">
        <w:trPr>
          <w:trHeight w:val="300"/>
          <w:jc w:val="center"/>
        </w:trPr>
        <w:tc>
          <w:tcPr>
            <w:tcW w:w="9017" w:type="dxa"/>
            <w:gridSpan w:val="8"/>
            <w:shd w:val="clear" w:color="auto" w:fill="auto"/>
            <w:noWrap/>
            <w:vAlign w:val="center"/>
          </w:tcPr>
          <w:p w14:paraId="27AC12B5" w14:textId="5E75F0FE" w:rsidR="008843FD" w:rsidRPr="004A34A2" w:rsidRDefault="004A34A2" w:rsidP="00411B7C">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735A33" w14:paraId="64F3A41E" w14:textId="77777777" w:rsidTr="001A2F55">
        <w:trPr>
          <w:trHeight w:val="300"/>
          <w:jc w:val="center"/>
        </w:trPr>
        <w:tc>
          <w:tcPr>
            <w:tcW w:w="6475" w:type="dxa"/>
            <w:gridSpan w:val="5"/>
            <w:vMerge w:val="restart"/>
            <w:shd w:val="clear" w:color="auto" w:fill="auto"/>
            <w:noWrap/>
            <w:vAlign w:val="center"/>
          </w:tcPr>
          <w:p w14:paraId="705B472B" w14:textId="77777777" w:rsidR="007B33CE" w:rsidRPr="004A34A2"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78C62D89"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5CDD6C8" w14:textId="0D7C8DFB"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1012" w:type="dxa"/>
            <w:shd w:val="clear" w:color="auto" w:fill="auto"/>
            <w:noWrap/>
            <w:vAlign w:val="center"/>
          </w:tcPr>
          <w:p w14:paraId="24B593CB"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7B33CE" w:rsidRPr="00735A33" w14:paraId="276184C1" w14:textId="77777777" w:rsidTr="001A2F55">
        <w:trPr>
          <w:trHeight w:val="300"/>
          <w:jc w:val="center"/>
        </w:trPr>
        <w:tc>
          <w:tcPr>
            <w:tcW w:w="6475" w:type="dxa"/>
            <w:gridSpan w:val="5"/>
            <w:vMerge/>
            <w:shd w:val="clear" w:color="auto" w:fill="auto"/>
            <w:noWrap/>
            <w:vAlign w:val="center"/>
          </w:tcPr>
          <w:p w14:paraId="34815B72"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19DFCF1" w14:textId="77777777"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12.64</w:t>
            </w:r>
          </w:p>
        </w:tc>
        <w:tc>
          <w:tcPr>
            <w:tcW w:w="900" w:type="dxa"/>
            <w:shd w:val="clear" w:color="auto" w:fill="auto"/>
            <w:noWrap/>
            <w:vAlign w:val="center"/>
          </w:tcPr>
          <w:p w14:paraId="0D45EDDD" w14:textId="74D4EAFE"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w:t>
            </w:r>
            <w:r>
              <w:rPr>
                <w:rFonts w:ascii="Times New Roman" w:eastAsia="Times New Roman" w:hAnsi="Times New Roman" w:cs="Times New Roman"/>
                <w:color w:val="000000"/>
                <w:sz w:val="16"/>
                <w:szCs w:val="16"/>
                <w:lang w:eastAsia="de-DE"/>
              </w:rPr>
              <w:t xml:space="preserve"> </w:t>
            </w:r>
            <w:r w:rsidRPr="00411B7C">
              <w:rPr>
                <w:rFonts w:ascii="Times New Roman" w:eastAsia="Times New Roman" w:hAnsi="Times New Roman" w:cs="Times New Roman"/>
                <w:color w:val="000000"/>
                <w:sz w:val="16"/>
                <w:szCs w:val="16"/>
                <w:lang w:eastAsia="de-DE"/>
              </w:rPr>
              <w:t>881</w:t>
            </w:r>
          </w:p>
        </w:tc>
        <w:tc>
          <w:tcPr>
            <w:tcW w:w="1012" w:type="dxa"/>
            <w:shd w:val="clear" w:color="auto" w:fill="auto"/>
            <w:noWrap/>
            <w:vAlign w:val="center"/>
          </w:tcPr>
          <w:p w14:paraId="4EC2EF42" w14:textId="4F0755B9" w:rsidR="007B33CE" w:rsidRPr="002F7C16"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5.3 x 10</w:t>
            </w:r>
            <w:r w:rsidRPr="002F7C16">
              <w:rPr>
                <w:rFonts w:ascii="Times New Roman" w:eastAsia="Times New Roman" w:hAnsi="Times New Roman" w:cs="Times New Roman"/>
                <w:b/>
                <w:color w:val="000000"/>
                <w:sz w:val="16"/>
                <w:szCs w:val="16"/>
                <w:vertAlign w:val="superscript"/>
                <w:lang w:eastAsia="de-DE"/>
              </w:rPr>
              <w:t>-10</w:t>
            </w:r>
          </w:p>
        </w:tc>
      </w:tr>
      <w:tr w:rsidR="008843FD" w:rsidRPr="006D0FD5" w14:paraId="0FFFF594" w14:textId="77777777" w:rsidTr="00411B7C">
        <w:trPr>
          <w:trHeight w:val="300"/>
          <w:jc w:val="center"/>
        </w:trPr>
        <w:tc>
          <w:tcPr>
            <w:tcW w:w="9017" w:type="dxa"/>
            <w:gridSpan w:val="8"/>
            <w:shd w:val="clear" w:color="auto" w:fill="auto"/>
            <w:noWrap/>
            <w:vAlign w:val="center"/>
          </w:tcPr>
          <w:p w14:paraId="632EA86B" w14:textId="35009B7C"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val="en-US" w:eastAsia="de-DE"/>
              </w:rPr>
            </w:pPr>
            <w:r w:rsidRPr="00411B7C">
              <w:rPr>
                <w:rFonts w:ascii="Times New Roman" w:eastAsia="Times New Roman" w:hAnsi="Times New Roman" w:cs="Times New Roman"/>
                <w:b/>
                <w:i/>
                <w:color w:val="000000"/>
                <w:sz w:val="16"/>
                <w:szCs w:val="16"/>
                <w:lang w:val="en-US" w:eastAsia="de-DE"/>
              </w:rPr>
              <w:t xml:space="preserve">One-way </w:t>
            </w:r>
            <w:r w:rsidR="00411B7C">
              <w:rPr>
                <w:rFonts w:ascii="Times New Roman" w:eastAsia="Times New Roman" w:hAnsi="Times New Roman" w:cs="Times New Roman"/>
                <w:b/>
                <w:i/>
                <w:color w:val="000000"/>
                <w:sz w:val="16"/>
                <w:szCs w:val="16"/>
                <w:lang w:val="en-US" w:eastAsia="de-DE"/>
              </w:rPr>
              <w:t>analysis of variance</w:t>
            </w:r>
            <w:r w:rsidRPr="00411B7C">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735A33" w14:paraId="3447EAC1" w14:textId="77777777" w:rsidTr="001A2F55">
        <w:trPr>
          <w:trHeight w:val="300"/>
          <w:jc w:val="center"/>
        </w:trPr>
        <w:tc>
          <w:tcPr>
            <w:tcW w:w="6475" w:type="dxa"/>
            <w:gridSpan w:val="5"/>
            <w:vMerge w:val="restart"/>
            <w:shd w:val="clear" w:color="auto" w:fill="auto"/>
            <w:noWrap/>
            <w:vAlign w:val="center"/>
          </w:tcPr>
          <w:p w14:paraId="5D48ACE0"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81CF42D"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19D04448"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65D84124"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7B33CE" w:rsidRPr="002F7C16" w14:paraId="522164A1" w14:textId="77777777" w:rsidTr="001A2F55">
        <w:trPr>
          <w:trHeight w:val="300"/>
          <w:jc w:val="center"/>
        </w:trPr>
        <w:tc>
          <w:tcPr>
            <w:tcW w:w="6475" w:type="dxa"/>
            <w:gridSpan w:val="5"/>
            <w:vMerge/>
            <w:shd w:val="clear" w:color="auto" w:fill="auto"/>
            <w:noWrap/>
            <w:vAlign w:val="center"/>
          </w:tcPr>
          <w:p w14:paraId="2D34E10A"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0AA10C7" w14:textId="77777777"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36.16</w:t>
            </w:r>
          </w:p>
        </w:tc>
        <w:tc>
          <w:tcPr>
            <w:tcW w:w="900" w:type="dxa"/>
            <w:shd w:val="clear" w:color="auto" w:fill="auto"/>
            <w:noWrap/>
            <w:vAlign w:val="center"/>
          </w:tcPr>
          <w:p w14:paraId="77527B74" w14:textId="77777777" w:rsidR="007B33CE" w:rsidRPr="00411B7C"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411B7C">
              <w:rPr>
                <w:rFonts w:ascii="Times New Roman" w:eastAsia="Times New Roman" w:hAnsi="Times New Roman" w:cs="Times New Roman"/>
                <w:color w:val="000000"/>
                <w:sz w:val="16"/>
                <w:szCs w:val="16"/>
                <w:lang w:eastAsia="de-DE"/>
              </w:rPr>
              <w:t>4,</w:t>
            </w:r>
            <w:r w:rsidRPr="00411B7C">
              <w:rPr>
                <w:rFonts w:ascii="Times New Roman" w:eastAsia="Times New Roman" w:hAnsi="Times New Roman" w:cs="Times New Roman"/>
                <w:b/>
                <w:color w:val="000000"/>
                <w:sz w:val="16"/>
                <w:szCs w:val="16"/>
                <w:lang w:eastAsia="de-DE"/>
              </w:rPr>
              <w:t xml:space="preserve"> </w:t>
            </w:r>
            <w:r w:rsidRPr="00411B7C">
              <w:rPr>
                <w:rFonts w:ascii="Times New Roman" w:eastAsia="Times New Roman" w:hAnsi="Times New Roman" w:cs="Times New Roman"/>
                <w:color w:val="000000"/>
                <w:sz w:val="16"/>
                <w:szCs w:val="16"/>
                <w:lang w:eastAsia="de-DE"/>
              </w:rPr>
              <w:t>403.737</w:t>
            </w:r>
          </w:p>
        </w:tc>
        <w:tc>
          <w:tcPr>
            <w:tcW w:w="1012" w:type="dxa"/>
            <w:shd w:val="clear" w:color="auto" w:fill="auto"/>
            <w:noWrap/>
            <w:vAlign w:val="center"/>
          </w:tcPr>
          <w:p w14:paraId="32571730" w14:textId="2DA6B168" w:rsidR="007B33CE" w:rsidRPr="002F7C16"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7.77 x 10</w:t>
            </w:r>
            <w:r w:rsidRPr="002F7C16">
              <w:rPr>
                <w:rFonts w:ascii="Times New Roman" w:eastAsia="Times New Roman" w:hAnsi="Times New Roman" w:cs="Times New Roman"/>
                <w:b/>
                <w:color w:val="000000"/>
                <w:sz w:val="16"/>
                <w:szCs w:val="16"/>
                <w:vertAlign w:val="superscript"/>
                <w:lang w:eastAsia="de-DE"/>
              </w:rPr>
              <w:t>-26</w:t>
            </w:r>
          </w:p>
        </w:tc>
      </w:tr>
      <w:tr w:rsidR="008843FD" w:rsidRPr="006D0FD5" w14:paraId="327C2C07" w14:textId="77777777" w:rsidTr="00411B7C">
        <w:trPr>
          <w:trHeight w:val="300"/>
          <w:jc w:val="center"/>
        </w:trPr>
        <w:tc>
          <w:tcPr>
            <w:tcW w:w="9017" w:type="dxa"/>
            <w:gridSpan w:val="8"/>
            <w:shd w:val="clear" w:color="auto" w:fill="auto"/>
            <w:noWrap/>
            <w:vAlign w:val="center"/>
          </w:tcPr>
          <w:p w14:paraId="661E464F"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val="en-US" w:eastAsia="de-DE"/>
              </w:rPr>
            </w:pPr>
            <w:r w:rsidRPr="00411B7C">
              <w:rPr>
                <w:rFonts w:ascii="Times New Roman" w:eastAsia="Times New Roman" w:hAnsi="Times New Roman" w:cs="Times New Roman"/>
                <w:b/>
                <w:i/>
                <w:color w:val="000000"/>
                <w:sz w:val="16"/>
                <w:szCs w:val="16"/>
                <w:lang w:val="en-US" w:eastAsia="de-DE"/>
              </w:rPr>
              <w:t>Games-Howell post-hoc tests for group differences</w:t>
            </w:r>
          </w:p>
        </w:tc>
      </w:tr>
      <w:tr w:rsidR="008843FD" w:rsidRPr="00735A33" w14:paraId="23B3FE15" w14:textId="77777777" w:rsidTr="00411B7C">
        <w:trPr>
          <w:trHeight w:val="300"/>
          <w:jc w:val="center"/>
        </w:trPr>
        <w:tc>
          <w:tcPr>
            <w:tcW w:w="1075" w:type="dxa"/>
            <w:shd w:val="clear" w:color="auto" w:fill="auto"/>
            <w:noWrap/>
            <w:vAlign w:val="center"/>
            <w:hideMark/>
          </w:tcPr>
          <w:p w14:paraId="60B1CE86" w14:textId="77777777" w:rsidR="008843FD" w:rsidRPr="002F7C16" w:rsidRDefault="008843FD"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204CDD8C" w14:textId="6C35A4CC" w:rsidR="008843FD" w:rsidRPr="002F7C16" w:rsidRDefault="0060107F"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335" w:type="dxa"/>
            <w:vAlign w:val="center"/>
          </w:tcPr>
          <w:p w14:paraId="3FDC08CB" w14:textId="3D8DA800" w:rsidR="008843FD" w:rsidRPr="002F7C16" w:rsidRDefault="003F02A4"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8843FD" w:rsidRPr="002F7C16">
              <w:rPr>
                <w:rFonts w:ascii="Times New Roman" w:eastAsia="Times New Roman" w:hAnsi="Times New Roman" w:cs="Times New Roman"/>
                <w:b/>
                <w:color w:val="000000"/>
                <w:sz w:val="16"/>
                <w:szCs w:val="16"/>
                <w:lang w:eastAsia="de-DE"/>
              </w:rPr>
              <w:t>r 95% CI</w:t>
            </w:r>
          </w:p>
        </w:tc>
        <w:tc>
          <w:tcPr>
            <w:tcW w:w="1453" w:type="dxa"/>
            <w:vAlign w:val="center"/>
          </w:tcPr>
          <w:p w14:paraId="774A31C7" w14:textId="6AEFB090" w:rsidR="008843FD" w:rsidRPr="002F7C16" w:rsidRDefault="003F02A4"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Upper</w:t>
            </w:r>
            <w:r w:rsidR="008843FD" w:rsidRPr="002F7C16">
              <w:rPr>
                <w:rFonts w:ascii="Times New Roman" w:eastAsia="Times New Roman" w:hAnsi="Times New Roman" w:cs="Times New Roman"/>
                <w:b/>
                <w:color w:val="000000"/>
                <w:sz w:val="16"/>
                <w:szCs w:val="16"/>
                <w:lang w:eastAsia="de-DE"/>
              </w:rPr>
              <w:t xml:space="preserve"> 95% CI</w:t>
            </w:r>
          </w:p>
        </w:tc>
        <w:tc>
          <w:tcPr>
            <w:tcW w:w="1172" w:type="dxa"/>
            <w:shd w:val="clear" w:color="auto" w:fill="auto"/>
            <w:noWrap/>
            <w:vAlign w:val="center"/>
            <w:hideMark/>
          </w:tcPr>
          <w:p w14:paraId="74649DEB" w14:textId="77777777" w:rsidR="008843FD" w:rsidRPr="002F7C16" w:rsidRDefault="008843FD"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530B3FAC"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71969AB3"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39B9B07A"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B66D06" w:rsidRPr="00735A33" w14:paraId="0BD51BB2" w14:textId="77777777" w:rsidTr="00411B7C">
        <w:trPr>
          <w:trHeight w:val="300"/>
          <w:jc w:val="center"/>
        </w:trPr>
        <w:tc>
          <w:tcPr>
            <w:tcW w:w="1075" w:type="dxa"/>
            <w:shd w:val="clear" w:color="auto" w:fill="auto"/>
            <w:noWrap/>
            <w:vAlign w:val="center"/>
            <w:hideMark/>
          </w:tcPr>
          <w:p w14:paraId="4B27233A"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hideMark/>
          </w:tcPr>
          <w:p w14:paraId="377F395E" w14:textId="07763AB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-1.34</w:t>
            </w:r>
            <w:r w:rsidR="00411B7C">
              <w:rPr>
                <w:rFonts w:ascii="Times New Roman" w:hAnsi="Times New Roman" w:cs="Times New Roman"/>
                <w:color w:val="000000"/>
                <w:sz w:val="16"/>
                <w:szCs w:val="16"/>
              </w:rPr>
              <w:t xml:space="preserve"> x 10</w:t>
            </w:r>
            <w:r w:rsidRPr="00411B7C">
              <w:rPr>
                <w:rFonts w:ascii="Times New Roman" w:hAnsi="Times New Roman" w:cs="Times New Roman"/>
                <w:color w:val="000000"/>
                <w:sz w:val="16"/>
                <w:szCs w:val="16"/>
                <w:vertAlign w:val="superscript"/>
              </w:rPr>
              <w:t>-4</w:t>
            </w:r>
          </w:p>
        </w:tc>
        <w:tc>
          <w:tcPr>
            <w:tcW w:w="1335" w:type="dxa"/>
            <w:vAlign w:val="center"/>
          </w:tcPr>
          <w:p w14:paraId="26C8A810" w14:textId="583654E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-3.46</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7AE42A47" w14:textId="5904D9D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172" w:type="dxa"/>
            <w:shd w:val="clear" w:color="auto" w:fill="auto"/>
            <w:noWrap/>
            <w:vAlign w:val="center"/>
            <w:hideMark/>
          </w:tcPr>
          <w:p w14:paraId="1E36D60A" w14:textId="12591A3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5.30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8BDF501" w14:textId="3A28BE2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1.78</w:t>
            </w:r>
          </w:p>
        </w:tc>
        <w:tc>
          <w:tcPr>
            <w:tcW w:w="900" w:type="dxa"/>
            <w:shd w:val="clear" w:color="auto" w:fill="auto"/>
            <w:noWrap/>
            <w:vAlign w:val="center"/>
            <w:hideMark/>
          </w:tcPr>
          <w:p w14:paraId="6A6D0A1E" w14:textId="6C181F1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60.15</w:t>
            </w:r>
          </w:p>
        </w:tc>
        <w:tc>
          <w:tcPr>
            <w:tcW w:w="1012" w:type="dxa"/>
            <w:shd w:val="clear" w:color="auto" w:fill="auto"/>
            <w:noWrap/>
            <w:vAlign w:val="center"/>
            <w:hideMark/>
          </w:tcPr>
          <w:p w14:paraId="742A0A2B" w14:textId="2CD92D8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0.39</w:t>
            </w:r>
          </w:p>
        </w:tc>
      </w:tr>
      <w:tr w:rsidR="00B66D06" w:rsidRPr="00735A33" w14:paraId="6166289F" w14:textId="77777777" w:rsidTr="00411B7C">
        <w:trPr>
          <w:trHeight w:val="300"/>
          <w:jc w:val="center"/>
        </w:trPr>
        <w:tc>
          <w:tcPr>
            <w:tcW w:w="1075" w:type="dxa"/>
            <w:shd w:val="clear" w:color="auto" w:fill="auto"/>
            <w:noWrap/>
            <w:vAlign w:val="center"/>
            <w:hideMark/>
          </w:tcPr>
          <w:p w14:paraId="099429C0"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hideMark/>
          </w:tcPr>
          <w:p w14:paraId="14125310" w14:textId="256F387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1E095C04" w14:textId="49BC48D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-1.95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681BB8B4" w14:textId="05FB8F6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2.33</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0A89B486" w14:textId="17BE796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5FDF3811" w14:textId="6A0FEEC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0.25</w:t>
            </w:r>
          </w:p>
        </w:tc>
        <w:tc>
          <w:tcPr>
            <w:tcW w:w="900" w:type="dxa"/>
            <w:shd w:val="clear" w:color="auto" w:fill="auto"/>
            <w:noWrap/>
            <w:vAlign w:val="center"/>
            <w:hideMark/>
          </w:tcPr>
          <w:p w14:paraId="1176D7A5" w14:textId="5899244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77.4</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173B84E6" w14:textId="07C3B5C7" w:rsidR="00B66D06" w:rsidRPr="00411B7C" w:rsidRDefault="00411B7C" w:rsidP="00411B7C">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B66D06" w:rsidRPr="00735A33" w14:paraId="30A67870" w14:textId="77777777" w:rsidTr="00411B7C">
        <w:trPr>
          <w:trHeight w:val="300"/>
          <w:jc w:val="center"/>
        </w:trPr>
        <w:tc>
          <w:tcPr>
            <w:tcW w:w="1075" w:type="dxa"/>
            <w:shd w:val="clear" w:color="auto" w:fill="auto"/>
            <w:noWrap/>
            <w:vAlign w:val="center"/>
            <w:hideMark/>
          </w:tcPr>
          <w:p w14:paraId="2731370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hideMark/>
          </w:tcPr>
          <w:p w14:paraId="2618C429" w14:textId="2CE0F7D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-9.40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1F2A30B6" w14:textId="170FC4C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309B8B76" w14:textId="1BC762C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2.01</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5A42036F" w14:textId="2DCA120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18AA3CC" w14:textId="477BA17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w:t>
            </w:r>
            <w:r w:rsidR="00411B7C">
              <w:rPr>
                <w:rFonts w:ascii="Times New Roman" w:hAnsi="Times New Roman" w:cs="Times New Roman"/>
                <w:color w:val="000000"/>
                <w:sz w:val="16"/>
                <w:szCs w:val="16"/>
              </w:rPr>
              <w:t>90</w:t>
            </w:r>
          </w:p>
        </w:tc>
        <w:tc>
          <w:tcPr>
            <w:tcW w:w="900" w:type="dxa"/>
            <w:shd w:val="clear" w:color="auto" w:fill="auto"/>
            <w:noWrap/>
            <w:vAlign w:val="center"/>
            <w:hideMark/>
          </w:tcPr>
          <w:p w14:paraId="2EBAA738" w14:textId="760E7EDA"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60.75</w:t>
            </w:r>
          </w:p>
        </w:tc>
        <w:tc>
          <w:tcPr>
            <w:tcW w:w="1012" w:type="dxa"/>
            <w:shd w:val="clear" w:color="auto" w:fill="auto"/>
            <w:noWrap/>
            <w:vAlign w:val="center"/>
            <w:hideMark/>
          </w:tcPr>
          <w:p w14:paraId="49ADEE94" w14:textId="50F499A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w:t>
            </w:r>
            <w:r w:rsidR="00411B7C">
              <w:rPr>
                <w:rFonts w:ascii="Times New Roman" w:hAnsi="Times New Roman" w:cs="Times New Roman"/>
                <w:color w:val="000000"/>
                <w:sz w:val="16"/>
                <w:szCs w:val="16"/>
              </w:rPr>
              <w:t>90</w:t>
            </w:r>
          </w:p>
        </w:tc>
      </w:tr>
      <w:tr w:rsidR="00B66D06" w:rsidRPr="00735A33" w14:paraId="050ED777" w14:textId="77777777" w:rsidTr="00411B7C">
        <w:trPr>
          <w:trHeight w:val="300"/>
          <w:jc w:val="center"/>
        </w:trPr>
        <w:tc>
          <w:tcPr>
            <w:tcW w:w="1075" w:type="dxa"/>
            <w:shd w:val="clear" w:color="auto" w:fill="auto"/>
            <w:noWrap/>
            <w:vAlign w:val="center"/>
            <w:hideMark/>
          </w:tcPr>
          <w:p w14:paraId="7D671DE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hideMark/>
          </w:tcPr>
          <w:p w14:paraId="77F3101D" w14:textId="55B74D4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-4.56</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2BE29A3" w14:textId="616752A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14502ADC" w14:textId="420E2F5D"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-3.04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6288E8D3" w14:textId="6E3563C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958DB9E" w14:textId="7CF224C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w:t>
            </w:r>
            <w:r w:rsidR="00411B7C">
              <w:rPr>
                <w:rFonts w:ascii="Times New Roman" w:hAnsi="Times New Roman" w:cs="Times New Roman"/>
                <w:color w:val="000000"/>
                <w:sz w:val="16"/>
                <w:szCs w:val="16"/>
              </w:rPr>
              <w:t>1</w:t>
            </w:r>
          </w:p>
        </w:tc>
        <w:tc>
          <w:tcPr>
            <w:tcW w:w="900" w:type="dxa"/>
            <w:shd w:val="clear" w:color="auto" w:fill="auto"/>
            <w:noWrap/>
            <w:vAlign w:val="center"/>
            <w:hideMark/>
          </w:tcPr>
          <w:p w14:paraId="20EE04A2" w14:textId="53EF231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139.5</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66347239" w14:textId="529BE62C"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b/>
                <w:color w:val="000000"/>
                <w:sz w:val="16"/>
                <w:szCs w:val="16"/>
                <w:lang w:eastAsia="de-DE"/>
              </w:rPr>
              <w:t>&lt; 2.2 x 10</w:t>
            </w:r>
            <w:r w:rsidRPr="002825EE">
              <w:rPr>
                <w:rFonts w:ascii="Times New Roman" w:eastAsia="Times New Roman" w:hAnsi="Times New Roman" w:cs="Times New Roman"/>
                <w:b/>
                <w:color w:val="000000"/>
                <w:sz w:val="16"/>
                <w:szCs w:val="16"/>
                <w:vertAlign w:val="superscript"/>
                <w:lang w:eastAsia="de-DE"/>
              </w:rPr>
              <w:t>-16</w:t>
            </w:r>
          </w:p>
        </w:tc>
      </w:tr>
      <w:tr w:rsidR="00B66D06" w:rsidRPr="00735A33" w14:paraId="48B86786" w14:textId="77777777" w:rsidTr="00411B7C">
        <w:trPr>
          <w:trHeight w:val="300"/>
          <w:jc w:val="center"/>
        </w:trPr>
        <w:tc>
          <w:tcPr>
            <w:tcW w:w="1075" w:type="dxa"/>
            <w:shd w:val="clear" w:color="auto" w:fill="auto"/>
            <w:noWrap/>
            <w:vAlign w:val="center"/>
            <w:hideMark/>
          </w:tcPr>
          <w:p w14:paraId="256CB325"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hideMark/>
          </w:tcPr>
          <w:p w14:paraId="56214DC9" w14:textId="69B699C3"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-1.54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56B1EC76" w14:textId="57A74A1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-4.14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02C95FE9" w14:textId="31D9A3F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1.07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0271167C" w14:textId="18E32AE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6.60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4778464D" w14:textId="37E2FEB1"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1.64</w:t>
            </w:r>
          </w:p>
        </w:tc>
        <w:tc>
          <w:tcPr>
            <w:tcW w:w="900" w:type="dxa"/>
            <w:shd w:val="clear" w:color="auto" w:fill="auto"/>
            <w:noWrap/>
            <w:vAlign w:val="center"/>
            <w:hideMark/>
          </w:tcPr>
          <w:p w14:paraId="6C2DCBBC" w14:textId="27AA863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82.81</w:t>
            </w:r>
          </w:p>
        </w:tc>
        <w:tc>
          <w:tcPr>
            <w:tcW w:w="1012" w:type="dxa"/>
            <w:shd w:val="clear" w:color="auto" w:fill="auto"/>
            <w:noWrap/>
            <w:vAlign w:val="center"/>
            <w:hideMark/>
          </w:tcPr>
          <w:p w14:paraId="33EDE6B4" w14:textId="7B0F796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0.4</w:t>
            </w:r>
            <w:r w:rsidR="002F7C16">
              <w:rPr>
                <w:rFonts w:ascii="Times New Roman" w:hAnsi="Times New Roman" w:cs="Times New Roman"/>
                <w:color w:val="000000"/>
                <w:sz w:val="16"/>
                <w:szCs w:val="16"/>
              </w:rPr>
              <w:t>8</w:t>
            </w:r>
          </w:p>
        </w:tc>
      </w:tr>
      <w:tr w:rsidR="00B66D06" w:rsidRPr="00735A33" w14:paraId="2AC8EE6C" w14:textId="77777777" w:rsidTr="00411B7C">
        <w:trPr>
          <w:trHeight w:val="300"/>
          <w:jc w:val="center"/>
        </w:trPr>
        <w:tc>
          <w:tcPr>
            <w:tcW w:w="1075" w:type="dxa"/>
            <w:shd w:val="clear" w:color="auto" w:fill="auto"/>
            <w:noWrap/>
            <w:vAlign w:val="center"/>
            <w:hideMark/>
          </w:tcPr>
          <w:p w14:paraId="65685B3D"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hideMark/>
          </w:tcPr>
          <w:p w14:paraId="6F813203" w14:textId="2FDF90F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-1.14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A688AC9" w14:textId="7589EDF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-4.45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27A117DD" w14:textId="74CDE56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2.18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6A1D40C4" w14:textId="3693D4A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7F4A83FA" w14:textId="1CB8406D"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0.9</w:t>
            </w:r>
            <w:r w:rsidR="00411B7C">
              <w:rPr>
                <w:rFonts w:ascii="Times New Roman" w:hAnsi="Times New Roman" w:cs="Times New Roman"/>
                <w:color w:val="000000"/>
                <w:sz w:val="16"/>
                <w:szCs w:val="16"/>
              </w:rPr>
              <w:t>6</w:t>
            </w:r>
          </w:p>
        </w:tc>
        <w:tc>
          <w:tcPr>
            <w:tcW w:w="900" w:type="dxa"/>
            <w:shd w:val="clear" w:color="auto" w:fill="auto"/>
            <w:noWrap/>
            <w:vAlign w:val="center"/>
            <w:hideMark/>
          </w:tcPr>
          <w:p w14:paraId="68B619C9" w14:textId="17728FE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83.1</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2D08198D" w14:textId="56E1BEE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0.87</w:t>
            </w:r>
          </w:p>
        </w:tc>
      </w:tr>
      <w:tr w:rsidR="00B66D06" w:rsidRPr="00735A33" w14:paraId="694799A3" w14:textId="77777777" w:rsidTr="00411B7C">
        <w:trPr>
          <w:trHeight w:val="300"/>
          <w:jc w:val="center"/>
        </w:trPr>
        <w:tc>
          <w:tcPr>
            <w:tcW w:w="1075" w:type="dxa"/>
            <w:shd w:val="clear" w:color="auto" w:fill="auto"/>
            <w:noWrap/>
            <w:vAlign w:val="center"/>
            <w:hideMark/>
          </w:tcPr>
          <w:p w14:paraId="796F618C"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hideMark/>
          </w:tcPr>
          <w:p w14:paraId="40FE4087" w14:textId="003D213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-4.75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74FE60DE" w14:textId="563F8E63"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-6.93</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5DD71F14" w14:textId="153D778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-2.58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20D03AFA" w14:textId="5DC2913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5.50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6F735432" w14:textId="2D80727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6.09</w:t>
            </w:r>
          </w:p>
        </w:tc>
        <w:tc>
          <w:tcPr>
            <w:tcW w:w="900" w:type="dxa"/>
            <w:shd w:val="clear" w:color="auto" w:fill="auto"/>
            <w:noWrap/>
            <w:vAlign w:val="center"/>
            <w:hideMark/>
          </w:tcPr>
          <w:p w14:paraId="3671F807" w14:textId="761E482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81.6</w:t>
            </w:r>
            <w:r w:rsidR="00411B7C">
              <w:rPr>
                <w:rFonts w:ascii="Times New Roman" w:hAnsi="Times New Roman" w:cs="Times New Roman"/>
                <w:color w:val="000000"/>
                <w:sz w:val="16"/>
                <w:szCs w:val="16"/>
              </w:rPr>
              <w:t>4</w:t>
            </w:r>
          </w:p>
        </w:tc>
        <w:tc>
          <w:tcPr>
            <w:tcW w:w="1012" w:type="dxa"/>
            <w:shd w:val="clear" w:color="auto" w:fill="auto"/>
            <w:noWrap/>
            <w:vAlign w:val="center"/>
            <w:hideMark/>
          </w:tcPr>
          <w:p w14:paraId="4D44F3BE" w14:textId="66B32B3B"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b/>
                <w:color w:val="000000"/>
                <w:sz w:val="16"/>
                <w:szCs w:val="16"/>
                <w:lang w:eastAsia="de-DE"/>
              </w:rPr>
              <w:t>&lt; 2.2 x 10</w:t>
            </w:r>
            <w:r w:rsidRPr="002825EE">
              <w:rPr>
                <w:rFonts w:ascii="Times New Roman" w:eastAsia="Times New Roman" w:hAnsi="Times New Roman" w:cs="Times New Roman"/>
                <w:b/>
                <w:color w:val="000000"/>
                <w:sz w:val="16"/>
                <w:szCs w:val="16"/>
                <w:vertAlign w:val="superscript"/>
                <w:lang w:eastAsia="de-DE"/>
              </w:rPr>
              <w:t>-16</w:t>
            </w:r>
          </w:p>
        </w:tc>
      </w:tr>
      <w:tr w:rsidR="00B66D06" w:rsidRPr="00735A33" w14:paraId="68867734" w14:textId="77777777" w:rsidTr="00411B7C">
        <w:trPr>
          <w:trHeight w:val="300"/>
          <w:jc w:val="center"/>
        </w:trPr>
        <w:tc>
          <w:tcPr>
            <w:tcW w:w="1075" w:type="dxa"/>
            <w:shd w:val="clear" w:color="auto" w:fill="auto"/>
            <w:noWrap/>
            <w:vAlign w:val="center"/>
            <w:hideMark/>
          </w:tcPr>
          <w:p w14:paraId="7ADDE55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hideMark/>
          </w:tcPr>
          <w:p w14:paraId="2DB446B9" w14:textId="56866A5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4.00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7809F474" w14:textId="73C80EB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30F410C2" w14:textId="02E220F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3.69</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1E33BDD1" w14:textId="45DDB4D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4205BE83" w14:textId="5D689C1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0.3</w:t>
            </w:r>
            <w:r w:rsidR="00411B7C">
              <w:rPr>
                <w:rFonts w:ascii="Times New Roman" w:hAnsi="Times New Roman" w:cs="Times New Roman"/>
                <w:color w:val="000000"/>
                <w:sz w:val="16"/>
                <w:szCs w:val="16"/>
              </w:rPr>
              <w:t>4</w:t>
            </w:r>
          </w:p>
        </w:tc>
        <w:tc>
          <w:tcPr>
            <w:tcW w:w="900" w:type="dxa"/>
            <w:shd w:val="clear" w:color="auto" w:fill="auto"/>
            <w:noWrap/>
            <w:vAlign w:val="center"/>
            <w:hideMark/>
          </w:tcPr>
          <w:p w14:paraId="716A7B48" w14:textId="1047DC3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77.85</w:t>
            </w:r>
          </w:p>
        </w:tc>
        <w:tc>
          <w:tcPr>
            <w:tcW w:w="1012" w:type="dxa"/>
            <w:shd w:val="clear" w:color="auto" w:fill="auto"/>
            <w:noWrap/>
            <w:vAlign w:val="center"/>
            <w:hideMark/>
          </w:tcPr>
          <w:p w14:paraId="1D08753D" w14:textId="08677168"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B66D06" w:rsidRPr="00735A33" w14:paraId="36E7464F" w14:textId="77777777" w:rsidTr="00411B7C">
        <w:trPr>
          <w:trHeight w:val="300"/>
          <w:jc w:val="center"/>
        </w:trPr>
        <w:tc>
          <w:tcPr>
            <w:tcW w:w="1075" w:type="dxa"/>
            <w:shd w:val="clear" w:color="auto" w:fill="auto"/>
            <w:noWrap/>
            <w:vAlign w:val="center"/>
            <w:hideMark/>
          </w:tcPr>
          <w:p w14:paraId="09980220"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hideMark/>
          </w:tcPr>
          <w:p w14:paraId="27963F3F" w14:textId="70966A5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-3.22</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A052183" w14:textId="6C54285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-5.37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41E37F53" w14:textId="1D2122E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-1.07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4F9859BC" w14:textId="7619B9D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22B75F2F" w14:textId="4B9DD316"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4.20</w:t>
            </w:r>
          </w:p>
        </w:tc>
        <w:tc>
          <w:tcPr>
            <w:tcW w:w="900" w:type="dxa"/>
            <w:shd w:val="clear" w:color="auto" w:fill="auto"/>
            <w:noWrap/>
            <w:vAlign w:val="center"/>
            <w:hideMark/>
          </w:tcPr>
          <w:p w14:paraId="6FCB5867" w14:textId="34B637BF"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63.74</w:t>
            </w:r>
          </w:p>
        </w:tc>
        <w:tc>
          <w:tcPr>
            <w:tcW w:w="1012" w:type="dxa"/>
            <w:shd w:val="clear" w:color="auto" w:fill="auto"/>
            <w:noWrap/>
            <w:vAlign w:val="center"/>
            <w:hideMark/>
          </w:tcPr>
          <w:p w14:paraId="670B4873" w14:textId="33163D2D" w:rsidR="00B66D06" w:rsidRPr="002F7C16" w:rsidRDefault="00B66D06"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hAnsi="Times New Roman" w:cs="Times New Roman"/>
                <w:b/>
                <w:color w:val="000000"/>
                <w:sz w:val="16"/>
                <w:szCs w:val="16"/>
              </w:rPr>
              <w:t>7.82</w:t>
            </w:r>
            <w:r w:rsidR="002F7C16" w:rsidRPr="002F7C16">
              <w:rPr>
                <w:rFonts w:ascii="Times New Roman" w:hAnsi="Times New Roman" w:cs="Times New Roman"/>
                <w:b/>
                <w:color w:val="000000"/>
                <w:sz w:val="16"/>
                <w:szCs w:val="16"/>
              </w:rPr>
              <w:t xml:space="preserve"> x 10</w:t>
            </w:r>
            <w:r w:rsidR="002F7C16" w:rsidRPr="002F7C16">
              <w:rPr>
                <w:rFonts w:ascii="Times New Roman" w:hAnsi="Times New Roman" w:cs="Times New Roman"/>
                <w:b/>
                <w:color w:val="000000"/>
                <w:sz w:val="16"/>
                <w:szCs w:val="16"/>
                <w:vertAlign w:val="superscript"/>
              </w:rPr>
              <w:t>-4</w:t>
            </w:r>
          </w:p>
        </w:tc>
      </w:tr>
      <w:tr w:rsidR="00B66D06" w:rsidRPr="00735A33" w14:paraId="137FE1FA" w14:textId="77777777" w:rsidTr="00411B7C">
        <w:trPr>
          <w:trHeight w:val="300"/>
          <w:jc w:val="center"/>
        </w:trPr>
        <w:tc>
          <w:tcPr>
            <w:tcW w:w="1075" w:type="dxa"/>
            <w:shd w:val="clear" w:color="auto" w:fill="auto"/>
            <w:noWrap/>
            <w:vAlign w:val="center"/>
            <w:hideMark/>
          </w:tcPr>
          <w:p w14:paraId="61811911"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hideMark/>
          </w:tcPr>
          <w:p w14:paraId="30AB8F3F" w14:textId="50D45FE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-3.62</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0A33735" w14:textId="2823749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-6.60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5089C57E" w14:textId="2B61E581"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172" w:type="dxa"/>
            <w:shd w:val="clear" w:color="auto" w:fill="auto"/>
            <w:noWrap/>
            <w:vAlign w:val="center"/>
            <w:hideMark/>
          </w:tcPr>
          <w:p w14:paraId="506A596D" w14:textId="7E763C5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7.50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1AF57E98" w14:textId="675CBEFF"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3.4</w:t>
            </w:r>
            <w:r w:rsidR="00411B7C">
              <w:rPr>
                <w:rFonts w:ascii="Times New Roman" w:hAnsi="Times New Roman" w:cs="Times New Roman"/>
                <w:color w:val="000000"/>
                <w:sz w:val="16"/>
                <w:szCs w:val="16"/>
              </w:rPr>
              <w:t>1</w:t>
            </w:r>
          </w:p>
        </w:tc>
        <w:tc>
          <w:tcPr>
            <w:tcW w:w="900" w:type="dxa"/>
            <w:shd w:val="clear" w:color="auto" w:fill="auto"/>
            <w:noWrap/>
            <w:vAlign w:val="center"/>
            <w:hideMark/>
          </w:tcPr>
          <w:p w14:paraId="57065872" w14:textId="25FB742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62.8</w:t>
            </w:r>
            <w:r w:rsidR="00411B7C">
              <w:rPr>
                <w:rFonts w:ascii="Times New Roman" w:hAnsi="Times New Roman" w:cs="Times New Roman"/>
                <w:color w:val="000000"/>
                <w:sz w:val="16"/>
                <w:szCs w:val="16"/>
              </w:rPr>
              <w:t>4</w:t>
            </w:r>
          </w:p>
        </w:tc>
        <w:tc>
          <w:tcPr>
            <w:tcW w:w="1012" w:type="dxa"/>
            <w:shd w:val="clear" w:color="auto" w:fill="auto"/>
            <w:noWrap/>
            <w:vAlign w:val="center"/>
            <w:hideMark/>
          </w:tcPr>
          <w:p w14:paraId="297BF557" w14:textId="5286FC27" w:rsidR="00B66D06" w:rsidRPr="004A34A2" w:rsidRDefault="00B66D06" w:rsidP="00411B7C">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0.009</w:t>
            </w:r>
            <w:r w:rsidR="002F7C16" w:rsidRPr="004A34A2">
              <w:rPr>
                <w:rFonts w:ascii="Times New Roman" w:hAnsi="Times New Roman" w:cs="Times New Roman"/>
                <w:b/>
                <w:color w:val="000000"/>
                <w:sz w:val="16"/>
                <w:szCs w:val="16"/>
              </w:rPr>
              <w:t>8</w:t>
            </w:r>
          </w:p>
        </w:tc>
      </w:tr>
    </w:tbl>
    <w:p w14:paraId="14062710" w14:textId="4BE0DB5A" w:rsidR="00556818" w:rsidRDefault="002C7E17">
      <w:pPr>
        <w:rPr>
          <w:rFonts w:ascii="Times New Roman" w:hAnsi="Times New Roman" w:cs="Times New Roman"/>
          <w:b/>
          <w:sz w:val="24"/>
          <w:szCs w:val="24"/>
          <w:lang w:val="en-US"/>
        </w:rPr>
      </w:pPr>
      <w:r>
        <w:rPr>
          <w:rFonts w:ascii="Times New Roman" w:hAnsi="Times New Roman" w:cs="Times New Roman"/>
          <w:b/>
          <w:sz w:val="24"/>
          <w:szCs w:val="24"/>
          <w:lang w:val="en-US"/>
        </w:rPr>
        <w:br/>
      </w:r>
      <w:r w:rsidR="00556818">
        <w:rPr>
          <w:rFonts w:ascii="Times New Roman" w:hAnsi="Times New Roman" w:cs="Times New Roman"/>
          <w:b/>
          <w:sz w:val="24"/>
          <w:szCs w:val="24"/>
          <w:lang w:val="en-US"/>
        </w:rPr>
        <w:t>5d. Bromine.</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440"/>
        <w:gridCol w:w="1260"/>
        <w:gridCol w:w="1260"/>
        <w:gridCol w:w="810"/>
        <w:gridCol w:w="810"/>
        <w:gridCol w:w="922"/>
      </w:tblGrid>
      <w:tr w:rsidR="008843FD" w:rsidRPr="006D0FD5" w14:paraId="49606149" w14:textId="77777777" w:rsidTr="002F7C16">
        <w:trPr>
          <w:trHeight w:val="300"/>
          <w:jc w:val="center"/>
        </w:trPr>
        <w:tc>
          <w:tcPr>
            <w:tcW w:w="9017" w:type="dxa"/>
            <w:gridSpan w:val="8"/>
            <w:shd w:val="clear" w:color="auto" w:fill="auto"/>
            <w:noWrap/>
            <w:vAlign w:val="center"/>
          </w:tcPr>
          <w:p w14:paraId="41B49FB9" w14:textId="062D7E1B" w:rsidR="008843FD" w:rsidRPr="004A34A2" w:rsidRDefault="004A34A2" w:rsidP="002F7C16">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2F7C16" w14:paraId="2630FF2A" w14:textId="77777777" w:rsidTr="001A2F55">
        <w:trPr>
          <w:trHeight w:val="300"/>
          <w:jc w:val="center"/>
        </w:trPr>
        <w:tc>
          <w:tcPr>
            <w:tcW w:w="6475" w:type="dxa"/>
            <w:gridSpan w:val="5"/>
            <w:vMerge w:val="restart"/>
            <w:shd w:val="clear" w:color="auto" w:fill="auto"/>
            <w:noWrap/>
            <w:vAlign w:val="center"/>
          </w:tcPr>
          <w:p w14:paraId="7ECFA227" w14:textId="77777777" w:rsidR="007B33CE" w:rsidRPr="004A34A2" w:rsidRDefault="007B33CE" w:rsidP="002F7C16">
            <w:pPr>
              <w:spacing w:after="0" w:line="240" w:lineRule="auto"/>
              <w:jc w:val="center"/>
              <w:rPr>
                <w:rFonts w:ascii="Times New Roman" w:eastAsia="Times New Roman" w:hAnsi="Times New Roman" w:cs="Times New Roman"/>
                <w:b/>
                <w:i/>
                <w:color w:val="000000"/>
                <w:sz w:val="16"/>
                <w:szCs w:val="16"/>
                <w:lang w:val="en-US" w:eastAsia="de-DE"/>
              </w:rPr>
            </w:pPr>
          </w:p>
        </w:tc>
        <w:tc>
          <w:tcPr>
            <w:tcW w:w="810" w:type="dxa"/>
            <w:shd w:val="clear" w:color="auto" w:fill="auto"/>
            <w:noWrap/>
            <w:vAlign w:val="center"/>
          </w:tcPr>
          <w:p w14:paraId="7E8CA674"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74DAACBE"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421F7ED"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7B33CE" w:rsidRPr="002F7C16" w14:paraId="52F2BB29" w14:textId="77777777" w:rsidTr="001A2F55">
        <w:trPr>
          <w:trHeight w:val="300"/>
          <w:jc w:val="center"/>
        </w:trPr>
        <w:tc>
          <w:tcPr>
            <w:tcW w:w="6475" w:type="dxa"/>
            <w:gridSpan w:val="5"/>
            <w:vMerge/>
            <w:shd w:val="clear" w:color="auto" w:fill="auto"/>
            <w:noWrap/>
            <w:vAlign w:val="center"/>
          </w:tcPr>
          <w:p w14:paraId="60D66360"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p>
        </w:tc>
        <w:tc>
          <w:tcPr>
            <w:tcW w:w="810" w:type="dxa"/>
            <w:shd w:val="clear" w:color="auto" w:fill="auto"/>
            <w:noWrap/>
            <w:vAlign w:val="center"/>
          </w:tcPr>
          <w:p w14:paraId="1BAF428D" w14:textId="1F4B7B70"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2.73</w:t>
            </w:r>
          </w:p>
        </w:tc>
        <w:tc>
          <w:tcPr>
            <w:tcW w:w="810" w:type="dxa"/>
            <w:shd w:val="clear" w:color="auto" w:fill="auto"/>
            <w:noWrap/>
            <w:vAlign w:val="center"/>
          </w:tcPr>
          <w:p w14:paraId="5E9128E8" w14:textId="7AFDAE2A"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4, 269</w:t>
            </w:r>
          </w:p>
        </w:tc>
        <w:tc>
          <w:tcPr>
            <w:tcW w:w="922" w:type="dxa"/>
            <w:shd w:val="clear" w:color="auto" w:fill="auto"/>
            <w:noWrap/>
            <w:vAlign w:val="center"/>
          </w:tcPr>
          <w:p w14:paraId="01DB3E54" w14:textId="6ADEB54A" w:rsidR="007B33CE" w:rsidRPr="004A34A2" w:rsidRDefault="007B33CE"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eastAsia="Times New Roman" w:hAnsi="Times New Roman" w:cs="Times New Roman"/>
                <w:b/>
                <w:color w:val="000000"/>
                <w:sz w:val="16"/>
                <w:szCs w:val="16"/>
                <w:lang w:eastAsia="de-DE"/>
              </w:rPr>
              <w:t>0.029</w:t>
            </w:r>
          </w:p>
        </w:tc>
      </w:tr>
      <w:tr w:rsidR="008843FD" w:rsidRPr="006D0FD5" w14:paraId="1E137AB4" w14:textId="77777777" w:rsidTr="002F7C16">
        <w:trPr>
          <w:trHeight w:val="300"/>
          <w:jc w:val="center"/>
        </w:trPr>
        <w:tc>
          <w:tcPr>
            <w:tcW w:w="9017" w:type="dxa"/>
            <w:gridSpan w:val="8"/>
            <w:shd w:val="clear" w:color="auto" w:fill="auto"/>
            <w:noWrap/>
            <w:vAlign w:val="center"/>
          </w:tcPr>
          <w:p w14:paraId="4502F8E6" w14:textId="3E611556"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val="en-US" w:eastAsia="de-DE"/>
              </w:rPr>
            </w:pPr>
            <w:r w:rsidRPr="002F7C16">
              <w:rPr>
                <w:rFonts w:ascii="Times New Roman" w:eastAsia="Times New Roman" w:hAnsi="Times New Roman" w:cs="Times New Roman"/>
                <w:b/>
                <w:i/>
                <w:color w:val="000000"/>
                <w:sz w:val="16"/>
                <w:szCs w:val="16"/>
                <w:lang w:val="en-US" w:eastAsia="de-DE"/>
              </w:rPr>
              <w:t>One-</w:t>
            </w:r>
            <w:r w:rsidR="002F7C16">
              <w:rPr>
                <w:rFonts w:ascii="Times New Roman" w:eastAsia="Times New Roman" w:hAnsi="Times New Roman" w:cs="Times New Roman"/>
                <w:b/>
                <w:i/>
                <w:color w:val="000000"/>
                <w:sz w:val="16"/>
                <w:szCs w:val="16"/>
                <w:lang w:val="en-US" w:eastAsia="de-DE"/>
              </w:rPr>
              <w:t>way analysis of variance</w:t>
            </w:r>
            <w:r w:rsidRPr="002F7C16">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2F7C16" w14:paraId="4F9944D0" w14:textId="77777777" w:rsidTr="001A2F55">
        <w:trPr>
          <w:trHeight w:val="300"/>
          <w:jc w:val="center"/>
        </w:trPr>
        <w:tc>
          <w:tcPr>
            <w:tcW w:w="6475" w:type="dxa"/>
            <w:gridSpan w:val="5"/>
            <w:vMerge w:val="restart"/>
            <w:shd w:val="clear" w:color="auto" w:fill="auto"/>
            <w:noWrap/>
            <w:vAlign w:val="center"/>
          </w:tcPr>
          <w:p w14:paraId="12A712E6"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val="en-US" w:eastAsia="de-DE"/>
              </w:rPr>
            </w:pPr>
          </w:p>
        </w:tc>
        <w:tc>
          <w:tcPr>
            <w:tcW w:w="810" w:type="dxa"/>
            <w:shd w:val="clear" w:color="auto" w:fill="auto"/>
            <w:noWrap/>
            <w:vAlign w:val="center"/>
          </w:tcPr>
          <w:p w14:paraId="2E8CC6CA"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69B306ED"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141DA03F"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7B33CE" w:rsidRPr="002F7C16" w14:paraId="4E7778AE" w14:textId="77777777" w:rsidTr="001A2F55">
        <w:trPr>
          <w:trHeight w:val="300"/>
          <w:jc w:val="center"/>
        </w:trPr>
        <w:tc>
          <w:tcPr>
            <w:tcW w:w="6475" w:type="dxa"/>
            <w:gridSpan w:val="5"/>
            <w:vMerge/>
            <w:shd w:val="clear" w:color="auto" w:fill="auto"/>
            <w:noWrap/>
            <w:vAlign w:val="center"/>
          </w:tcPr>
          <w:p w14:paraId="63101C8A"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p>
        </w:tc>
        <w:tc>
          <w:tcPr>
            <w:tcW w:w="810" w:type="dxa"/>
            <w:shd w:val="clear" w:color="auto" w:fill="auto"/>
            <w:noWrap/>
            <w:vAlign w:val="center"/>
          </w:tcPr>
          <w:p w14:paraId="7C23C640" w14:textId="30752324"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7.27</w:t>
            </w:r>
          </w:p>
        </w:tc>
        <w:tc>
          <w:tcPr>
            <w:tcW w:w="810" w:type="dxa"/>
            <w:shd w:val="clear" w:color="auto" w:fill="auto"/>
            <w:noWrap/>
            <w:vAlign w:val="center"/>
          </w:tcPr>
          <w:p w14:paraId="03798994" w14:textId="6F81D958"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4, 116.77</w:t>
            </w:r>
          </w:p>
        </w:tc>
        <w:tc>
          <w:tcPr>
            <w:tcW w:w="922" w:type="dxa"/>
            <w:shd w:val="clear" w:color="auto" w:fill="auto"/>
            <w:noWrap/>
            <w:vAlign w:val="center"/>
          </w:tcPr>
          <w:p w14:paraId="689F9DD9" w14:textId="4B2B4F4E" w:rsidR="007B33CE" w:rsidRPr="004A34A2" w:rsidRDefault="007B33CE"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eastAsia="Times New Roman" w:hAnsi="Times New Roman" w:cs="Times New Roman"/>
                <w:b/>
                <w:color w:val="000000"/>
                <w:sz w:val="16"/>
                <w:szCs w:val="16"/>
                <w:lang w:eastAsia="de-DE"/>
              </w:rPr>
              <w:t>2.92</w:t>
            </w:r>
            <w:r w:rsidRPr="004A34A2">
              <w:rPr>
                <w:rFonts w:ascii="Times New Roman" w:hAnsi="Times New Roman" w:cs="Times New Roman"/>
                <w:b/>
                <w:color w:val="000000"/>
                <w:sz w:val="16"/>
                <w:szCs w:val="16"/>
              </w:rPr>
              <w:t xml:space="preserve"> x 10</w:t>
            </w:r>
            <w:r w:rsidRPr="004A34A2">
              <w:rPr>
                <w:rFonts w:ascii="Times New Roman" w:hAnsi="Times New Roman" w:cs="Times New Roman"/>
                <w:b/>
                <w:color w:val="000000"/>
                <w:sz w:val="16"/>
                <w:szCs w:val="16"/>
                <w:vertAlign w:val="superscript"/>
              </w:rPr>
              <w:t>-5</w:t>
            </w:r>
          </w:p>
        </w:tc>
      </w:tr>
      <w:tr w:rsidR="008843FD" w:rsidRPr="006D0FD5" w14:paraId="16E2D41B" w14:textId="77777777" w:rsidTr="002F7C16">
        <w:trPr>
          <w:trHeight w:val="300"/>
          <w:jc w:val="center"/>
        </w:trPr>
        <w:tc>
          <w:tcPr>
            <w:tcW w:w="9017" w:type="dxa"/>
            <w:gridSpan w:val="8"/>
            <w:shd w:val="clear" w:color="auto" w:fill="auto"/>
            <w:noWrap/>
            <w:vAlign w:val="center"/>
          </w:tcPr>
          <w:p w14:paraId="585D85CC"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val="en-US" w:eastAsia="de-DE"/>
              </w:rPr>
            </w:pPr>
            <w:r w:rsidRPr="002F7C16">
              <w:rPr>
                <w:rFonts w:ascii="Times New Roman" w:eastAsia="Times New Roman" w:hAnsi="Times New Roman" w:cs="Times New Roman"/>
                <w:b/>
                <w:i/>
                <w:color w:val="000000"/>
                <w:sz w:val="16"/>
                <w:szCs w:val="16"/>
                <w:lang w:val="en-US" w:eastAsia="de-DE"/>
              </w:rPr>
              <w:t>Games-Howell post-hoc tests for group differences</w:t>
            </w:r>
          </w:p>
        </w:tc>
      </w:tr>
      <w:tr w:rsidR="008843FD" w:rsidRPr="002F7C16" w14:paraId="33068E1A" w14:textId="77777777" w:rsidTr="004A1020">
        <w:trPr>
          <w:trHeight w:val="300"/>
          <w:jc w:val="center"/>
        </w:trPr>
        <w:tc>
          <w:tcPr>
            <w:tcW w:w="1075" w:type="dxa"/>
            <w:shd w:val="clear" w:color="auto" w:fill="auto"/>
            <w:noWrap/>
            <w:vAlign w:val="center"/>
            <w:hideMark/>
          </w:tcPr>
          <w:p w14:paraId="16EFBFFE" w14:textId="77777777" w:rsidR="008843FD" w:rsidRPr="002F7C16" w:rsidRDefault="008843FD"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6A51EE3" w14:textId="5BE1F2CB" w:rsidR="008843FD" w:rsidRPr="002F7C16" w:rsidRDefault="0060107F" w:rsidP="002F7C16">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440" w:type="dxa"/>
            <w:vAlign w:val="center"/>
          </w:tcPr>
          <w:p w14:paraId="079E9301" w14:textId="484138B0" w:rsidR="008843FD" w:rsidRPr="002F7C16" w:rsidRDefault="00DC6291"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Low</w:t>
            </w:r>
            <w:r w:rsidR="008843FD" w:rsidRPr="002F7C16">
              <w:rPr>
                <w:rFonts w:ascii="Times New Roman" w:eastAsia="Times New Roman" w:hAnsi="Times New Roman" w:cs="Times New Roman"/>
                <w:b/>
                <w:color w:val="000000"/>
                <w:sz w:val="16"/>
                <w:szCs w:val="16"/>
                <w:lang w:eastAsia="de-DE"/>
              </w:rPr>
              <w:t>er 95% CI</w:t>
            </w:r>
          </w:p>
        </w:tc>
        <w:tc>
          <w:tcPr>
            <w:tcW w:w="1260" w:type="dxa"/>
            <w:vAlign w:val="center"/>
          </w:tcPr>
          <w:p w14:paraId="697A4B1A" w14:textId="2A257D2A" w:rsidR="008843FD" w:rsidRPr="002F7C16" w:rsidRDefault="00DC6291"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Upp</w:t>
            </w:r>
            <w:r w:rsidR="008843FD" w:rsidRPr="002F7C16">
              <w:rPr>
                <w:rFonts w:ascii="Times New Roman" w:eastAsia="Times New Roman" w:hAnsi="Times New Roman" w:cs="Times New Roman"/>
                <w:b/>
                <w:color w:val="000000"/>
                <w:sz w:val="16"/>
                <w:szCs w:val="16"/>
                <w:lang w:eastAsia="de-DE"/>
              </w:rPr>
              <w:t>er 95% CI</w:t>
            </w:r>
          </w:p>
        </w:tc>
        <w:tc>
          <w:tcPr>
            <w:tcW w:w="1260" w:type="dxa"/>
            <w:shd w:val="clear" w:color="auto" w:fill="auto"/>
            <w:noWrap/>
            <w:vAlign w:val="center"/>
            <w:hideMark/>
          </w:tcPr>
          <w:p w14:paraId="13A01810" w14:textId="77777777" w:rsidR="008843FD" w:rsidRPr="002F7C16" w:rsidRDefault="008843FD"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Standard error</w:t>
            </w:r>
          </w:p>
        </w:tc>
        <w:tc>
          <w:tcPr>
            <w:tcW w:w="810" w:type="dxa"/>
            <w:shd w:val="clear" w:color="auto" w:fill="auto"/>
            <w:noWrap/>
            <w:vAlign w:val="center"/>
            <w:hideMark/>
          </w:tcPr>
          <w:p w14:paraId="7FC7DBB3"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31446394"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27AD00DB"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2C7E17" w:rsidRPr="002F7C16" w14:paraId="69514798" w14:textId="77777777" w:rsidTr="004A1020">
        <w:trPr>
          <w:trHeight w:val="300"/>
          <w:jc w:val="center"/>
        </w:trPr>
        <w:tc>
          <w:tcPr>
            <w:tcW w:w="1075" w:type="dxa"/>
            <w:shd w:val="clear" w:color="auto" w:fill="auto"/>
            <w:noWrap/>
            <w:vAlign w:val="center"/>
          </w:tcPr>
          <w:p w14:paraId="1D864C4C" w14:textId="645F4742"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5:3</w:t>
            </w:r>
          </w:p>
        </w:tc>
        <w:tc>
          <w:tcPr>
            <w:tcW w:w="1440" w:type="dxa"/>
            <w:shd w:val="clear" w:color="auto" w:fill="auto"/>
            <w:noWrap/>
            <w:vAlign w:val="center"/>
          </w:tcPr>
          <w:p w14:paraId="4429B2B6" w14:textId="4857AB7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-2.74</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0EB9C550" w14:textId="6A6FDE7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-7.85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07D355B3" w14:textId="05EE432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2.38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518B5A04" w14:textId="5185C9C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1.28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6A0928D0" w14:textId="622AB36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1.5</w:t>
            </w:r>
            <w:r w:rsidR="004A1020">
              <w:rPr>
                <w:rFonts w:ascii="Times New Roman" w:hAnsi="Times New Roman" w:cs="Times New Roman"/>
                <w:color w:val="000000"/>
                <w:sz w:val="16"/>
                <w:szCs w:val="16"/>
              </w:rPr>
              <w:t>1</w:t>
            </w:r>
          </w:p>
        </w:tc>
        <w:tc>
          <w:tcPr>
            <w:tcW w:w="810" w:type="dxa"/>
            <w:shd w:val="clear" w:color="auto" w:fill="auto"/>
            <w:noWrap/>
            <w:vAlign w:val="center"/>
          </w:tcPr>
          <w:p w14:paraId="7C6F99D6" w14:textId="1B45828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55.2</w:t>
            </w:r>
            <w:r w:rsidR="004A1020">
              <w:rPr>
                <w:rFonts w:ascii="Times New Roman" w:hAnsi="Times New Roman" w:cs="Times New Roman"/>
                <w:color w:val="000000"/>
                <w:sz w:val="16"/>
                <w:szCs w:val="16"/>
              </w:rPr>
              <w:t>7</w:t>
            </w:r>
          </w:p>
        </w:tc>
        <w:tc>
          <w:tcPr>
            <w:tcW w:w="922" w:type="dxa"/>
            <w:shd w:val="clear" w:color="auto" w:fill="auto"/>
            <w:noWrap/>
            <w:vAlign w:val="center"/>
          </w:tcPr>
          <w:p w14:paraId="606DA49F" w14:textId="59DE79B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0.56</w:t>
            </w:r>
          </w:p>
        </w:tc>
      </w:tr>
      <w:tr w:rsidR="002C7E17" w:rsidRPr="002F7C16" w14:paraId="2107B5F8" w14:textId="77777777" w:rsidTr="004A1020">
        <w:trPr>
          <w:trHeight w:val="300"/>
          <w:jc w:val="center"/>
        </w:trPr>
        <w:tc>
          <w:tcPr>
            <w:tcW w:w="1075" w:type="dxa"/>
            <w:shd w:val="clear" w:color="auto" w:fill="auto"/>
            <w:noWrap/>
            <w:vAlign w:val="center"/>
          </w:tcPr>
          <w:p w14:paraId="6E347845" w14:textId="363D9A8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5:4</w:t>
            </w:r>
          </w:p>
        </w:tc>
        <w:tc>
          <w:tcPr>
            <w:tcW w:w="1440" w:type="dxa"/>
            <w:shd w:val="clear" w:color="auto" w:fill="auto"/>
            <w:noWrap/>
            <w:vAlign w:val="center"/>
          </w:tcPr>
          <w:p w14:paraId="6DF6D80A" w14:textId="4872C4A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-7.70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-5</w:t>
            </w:r>
          </w:p>
        </w:tc>
        <w:tc>
          <w:tcPr>
            <w:tcW w:w="1440" w:type="dxa"/>
            <w:vAlign w:val="center"/>
          </w:tcPr>
          <w:p w14:paraId="31CAE3E8" w14:textId="778E751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-4.79</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4F9600E4" w14:textId="19EF130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3.24</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8ACFADA" w14:textId="1A5970E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2F2056BC" w14:textId="6614861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0.5</w:t>
            </w:r>
            <w:r w:rsidR="004A1020">
              <w:rPr>
                <w:rFonts w:ascii="Times New Roman" w:hAnsi="Times New Roman" w:cs="Times New Roman"/>
                <w:color w:val="000000"/>
                <w:sz w:val="16"/>
                <w:szCs w:val="16"/>
              </w:rPr>
              <w:t>4</w:t>
            </w:r>
          </w:p>
        </w:tc>
        <w:tc>
          <w:tcPr>
            <w:tcW w:w="810" w:type="dxa"/>
            <w:shd w:val="clear" w:color="auto" w:fill="auto"/>
            <w:noWrap/>
            <w:vAlign w:val="center"/>
          </w:tcPr>
          <w:p w14:paraId="06AC4676" w14:textId="1ACF9E9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89.46</w:t>
            </w:r>
          </w:p>
        </w:tc>
        <w:tc>
          <w:tcPr>
            <w:tcW w:w="922" w:type="dxa"/>
            <w:shd w:val="clear" w:color="auto" w:fill="auto"/>
            <w:noWrap/>
            <w:vAlign w:val="center"/>
          </w:tcPr>
          <w:p w14:paraId="1A17E061" w14:textId="606A87A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0.98</w:t>
            </w:r>
          </w:p>
        </w:tc>
      </w:tr>
      <w:tr w:rsidR="002C7E17" w:rsidRPr="002F7C16" w14:paraId="0FA3FE73" w14:textId="77777777" w:rsidTr="004A1020">
        <w:trPr>
          <w:trHeight w:val="300"/>
          <w:jc w:val="center"/>
        </w:trPr>
        <w:tc>
          <w:tcPr>
            <w:tcW w:w="1075" w:type="dxa"/>
            <w:shd w:val="clear" w:color="auto" w:fill="auto"/>
            <w:noWrap/>
            <w:vAlign w:val="center"/>
          </w:tcPr>
          <w:p w14:paraId="3FDC9E92" w14:textId="745CED1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5:2</w:t>
            </w:r>
          </w:p>
        </w:tc>
        <w:tc>
          <w:tcPr>
            <w:tcW w:w="1440" w:type="dxa"/>
            <w:shd w:val="clear" w:color="auto" w:fill="auto"/>
            <w:noWrap/>
            <w:vAlign w:val="center"/>
          </w:tcPr>
          <w:p w14:paraId="0DBC18B7" w14:textId="7A1B6FC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-3.65</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040CD783" w14:textId="76DC2F7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-0.00117</w:t>
            </w:r>
          </w:p>
        </w:tc>
        <w:tc>
          <w:tcPr>
            <w:tcW w:w="1260" w:type="dxa"/>
            <w:vAlign w:val="center"/>
          </w:tcPr>
          <w:p w14:paraId="7BB46473" w14:textId="1A33E06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4.38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527E81E4" w14:textId="63FEFCF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2.01</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5A49FA3E" w14:textId="3C69DFA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1.28</w:t>
            </w:r>
          </w:p>
        </w:tc>
        <w:tc>
          <w:tcPr>
            <w:tcW w:w="810" w:type="dxa"/>
            <w:shd w:val="clear" w:color="auto" w:fill="auto"/>
            <w:noWrap/>
            <w:vAlign w:val="center"/>
          </w:tcPr>
          <w:p w14:paraId="6312045F" w14:textId="54ADDF1E"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54.51</w:t>
            </w:r>
          </w:p>
        </w:tc>
        <w:tc>
          <w:tcPr>
            <w:tcW w:w="922" w:type="dxa"/>
            <w:shd w:val="clear" w:color="auto" w:fill="auto"/>
            <w:noWrap/>
            <w:vAlign w:val="center"/>
          </w:tcPr>
          <w:p w14:paraId="453EA746" w14:textId="3ED9F17E"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0.70</w:t>
            </w:r>
          </w:p>
        </w:tc>
      </w:tr>
      <w:tr w:rsidR="002C7E17" w:rsidRPr="002F7C16" w14:paraId="290C665E" w14:textId="77777777" w:rsidTr="004A1020">
        <w:trPr>
          <w:trHeight w:val="300"/>
          <w:jc w:val="center"/>
        </w:trPr>
        <w:tc>
          <w:tcPr>
            <w:tcW w:w="1075" w:type="dxa"/>
            <w:shd w:val="clear" w:color="auto" w:fill="auto"/>
            <w:noWrap/>
            <w:vAlign w:val="center"/>
          </w:tcPr>
          <w:p w14:paraId="21654956" w14:textId="2BFFE42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5:1</w:t>
            </w:r>
          </w:p>
        </w:tc>
        <w:tc>
          <w:tcPr>
            <w:tcW w:w="1440" w:type="dxa"/>
            <w:shd w:val="clear" w:color="auto" w:fill="auto"/>
            <w:noWrap/>
            <w:vAlign w:val="center"/>
          </w:tcPr>
          <w:p w14:paraId="45BB2DA0" w14:textId="46EA2AF6"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-0.00117</w:t>
            </w:r>
          </w:p>
        </w:tc>
        <w:tc>
          <w:tcPr>
            <w:tcW w:w="1440" w:type="dxa"/>
            <w:vAlign w:val="center"/>
          </w:tcPr>
          <w:p w14:paraId="38D2349C" w14:textId="0A2433A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-0.00179</w:t>
            </w:r>
          </w:p>
        </w:tc>
        <w:tc>
          <w:tcPr>
            <w:tcW w:w="1260" w:type="dxa"/>
            <w:vAlign w:val="center"/>
          </w:tcPr>
          <w:p w14:paraId="73390435" w14:textId="01F7F27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-5.56</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6D6366A7" w14:textId="7BC345B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1.57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1966092F" w14:textId="44B4D5D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5.29</w:t>
            </w:r>
          </w:p>
        </w:tc>
        <w:tc>
          <w:tcPr>
            <w:tcW w:w="810" w:type="dxa"/>
            <w:shd w:val="clear" w:color="auto" w:fill="auto"/>
            <w:noWrap/>
            <w:vAlign w:val="center"/>
          </w:tcPr>
          <w:p w14:paraId="7A7B14EE" w14:textId="2D556CD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93.24</w:t>
            </w:r>
          </w:p>
        </w:tc>
        <w:tc>
          <w:tcPr>
            <w:tcW w:w="922" w:type="dxa"/>
            <w:shd w:val="clear" w:color="auto" w:fill="auto"/>
            <w:noWrap/>
            <w:vAlign w:val="center"/>
          </w:tcPr>
          <w:p w14:paraId="5EDEEBE4" w14:textId="48F7B24C" w:rsidR="002C7E17" w:rsidRPr="004A34A2" w:rsidRDefault="002C7E17"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8.0</w:t>
            </w:r>
            <w:r w:rsidR="004A1020" w:rsidRPr="004A34A2">
              <w:rPr>
                <w:rFonts w:ascii="Times New Roman" w:hAnsi="Times New Roman" w:cs="Times New Roman"/>
                <w:b/>
                <w:color w:val="000000"/>
                <w:sz w:val="16"/>
                <w:szCs w:val="16"/>
              </w:rPr>
              <w:t xml:space="preserve"> x 10</w:t>
            </w:r>
            <w:r w:rsidR="004A1020" w:rsidRPr="004A34A2">
              <w:rPr>
                <w:rFonts w:ascii="Times New Roman" w:hAnsi="Times New Roman" w:cs="Times New Roman"/>
                <w:b/>
                <w:color w:val="000000"/>
                <w:sz w:val="16"/>
                <w:szCs w:val="16"/>
                <w:vertAlign w:val="superscript"/>
              </w:rPr>
              <w:t>-6</w:t>
            </w:r>
          </w:p>
        </w:tc>
      </w:tr>
      <w:tr w:rsidR="002C7E17" w:rsidRPr="002F7C16" w14:paraId="417B1FA8" w14:textId="77777777" w:rsidTr="004A1020">
        <w:trPr>
          <w:trHeight w:val="300"/>
          <w:jc w:val="center"/>
        </w:trPr>
        <w:tc>
          <w:tcPr>
            <w:tcW w:w="1075" w:type="dxa"/>
            <w:shd w:val="clear" w:color="auto" w:fill="auto"/>
            <w:noWrap/>
            <w:vAlign w:val="center"/>
          </w:tcPr>
          <w:p w14:paraId="5BBFE423" w14:textId="1CE60E40"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4:3</w:t>
            </w:r>
          </w:p>
        </w:tc>
        <w:tc>
          <w:tcPr>
            <w:tcW w:w="1440" w:type="dxa"/>
            <w:shd w:val="clear" w:color="auto" w:fill="auto"/>
            <w:noWrap/>
            <w:vAlign w:val="center"/>
          </w:tcPr>
          <w:p w14:paraId="6B9FF132" w14:textId="3C292946"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w:t>
            </w:r>
            <w:r w:rsidR="002C7E17" w:rsidRPr="002F7C16">
              <w:rPr>
                <w:rFonts w:ascii="Times New Roman" w:hAnsi="Times New Roman" w:cs="Times New Roman"/>
                <w:color w:val="000000"/>
                <w:sz w:val="16"/>
                <w:szCs w:val="16"/>
              </w:rPr>
              <w:t>1.96</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71F50D3D" w14:textId="64717012"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-7.57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6109C396" w14:textId="51B41DB7"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3.65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EA13705" w14:textId="0D30626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1.42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19C89961" w14:textId="6C91D0E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0.98</w:t>
            </w:r>
          </w:p>
        </w:tc>
        <w:tc>
          <w:tcPr>
            <w:tcW w:w="810" w:type="dxa"/>
            <w:shd w:val="clear" w:color="auto" w:fill="auto"/>
            <w:noWrap/>
            <w:vAlign w:val="center"/>
          </w:tcPr>
          <w:p w14:paraId="3FB0DA8E" w14:textId="413C95D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69.60</w:t>
            </w:r>
          </w:p>
        </w:tc>
        <w:tc>
          <w:tcPr>
            <w:tcW w:w="922" w:type="dxa"/>
            <w:shd w:val="clear" w:color="auto" w:fill="auto"/>
            <w:noWrap/>
            <w:vAlign w:val="center"/>
          </w:tcPr>
          <w:p w14:paraId="7EBD5BE3" w14:textId="3E9DDE0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0.86</w:t>
            </w:r>
          </w:p>
        </w:tc>
      </w:tr>
      <w:tr w:rsidR="00B66D06" w:rsidRPr="002F7C16" w14:paraId="344E2232" w14:textId="77777777" w:rsidTr="004A1020">
        <w:trPr>
          <w:trHeight w:val="300"/>
          <w:jc w:val="center"/>
        </w:trPr>
        <w:tc>
          <w:tcPr>
            <w:tcW w:w="1075" w:type="dxa"/>
            <w:shd w:val="clear" w:color="auto" w:fill="auto"/>
            <w:noWrap/>
            <w:vAlign w:val="center"/>
          </w:tcPr>
          <w:p w14:paraId="17B5DF4D" w14:textId="12E11F9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4:2</w:t>
            </w:r>
          </w:p>
        </w:tc>
        <w:tc>
          <w:tcPr>
            <w:tcW w:w="1440" w:type="dxa"/>
            <w:shd w:val="clear" w:color="auto" w:fill="auto"/>
            <w:noWrap/>
            <w:vAlign w:val="center"/>
          </w:tcPr>
          <w:p w14:paraId="37443F53" w14:textId="63C3047A"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-2.88</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503E2F63" w14:textId="4F9C3BDC"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-0.00112</w:t>
            </w:r>
          </w:p>
        </w:tc>
        <w:tc>
          <w:tcPr>
            <w:tcW w:w="1260" w:type="dxa"/>
            <w:vAlign w:val="center"/>
          </w:tcPr>
          <w:p w14:paraId="7CACD9CE" w14:textId="68F16258"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5.47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0E2CA2CF" w14:textId="1D1CFE3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2.10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616E931F" w14:textId="05C2B363"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0.9</w:t>
            </w:r>
            <w:r w:rsidR="004A1020">
              <w:rPr>
                <w:rFonts w:ascii="Times New Roman" w:hAnsi="Times New Roman" w:cs="Times New Roman"/>
                <w:color w:val="000000"/>
                <w:sz w:val="16"/>
                <w:szCs w:val="16"/>
              </w:rPr>
              <w:t>7</w:t>
            </w:r>
          </w:p>
        </w:tc>
        <w:tc>
          <w:tcPr>
            <w:tcW w:w="810" w:type="dxa"/>
            <w:shd w:val="clear" w:color="auto" w:fill="auto"/>
            <w:noWrap/>
            <w:vAlign w:val="center"/>
          </w:tcPr>
          <w:p w14:paraId="6A0F07BE" w14:textId="4C4D6C57"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62.77</w:t>
            </w:r>
          </w:p>
        </w:tc>
        <w:tc>
          <w:tcPr>
            <w:tcW w:w="922" w:type="dxa"/>
            <w:shd w:val="clear" w:color="auto" w:fill="auto"/>
            <w:noWrap/>
            <w:vAlign w:val="center"/>
          </w:tcPr>
          <w:p w14:paraId="5DA8EB0C" w14:textId="6D60448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0.87</w:t>
            </w:r>
          </w:p>
        </w:tc>
      </w:tr>
      <w:tr w:rsidR="00B66D06" w:rsidRPr="002F7C16" w14:paraId="7070C05B" w14:textId="77777777" w:rsidTr="004A1020">
        <w:trPr>
          <w:trHeight w:val="300"/>
          <w:jc w:val="center"/>
        </w:trPr>
        <w:tc>
          <w:tcPr>
            <w:tcW w:w="1075" w:type="dxa"/>
            <w:shd w:val="clear" w:color="auto" w:fill="auto"/>
            <w:noWrap/>
            <w:vAlign w:val="center"/>
          </w:tcPr>
          <w:p w14:paraId="02C47117" w14:textId="61868347"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4:1</w:t>
            </w:r>
          </w:p>
        </w:tc>
        <w:tc>
          <w:tcPr>
            <w:tcW w:w="1440" w:type="dxa"/>
            <w:shd w:val="clear" w:color="auto" w:fill="auto"/>
            <w:noWrap/>
            <w:vAlign w:val="center"/>
          </w:tcPr>
          <w:p w14:paraId="453336BA" w14:textId="629ED549"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-0.0011</w:t>
            </w:r>
            <w:r w:rsidR="00492CE7">
              <w:rPr>
                <w:rFonts w:ascii="Times New Roman" w:hAnsi="Times New Roman" w:cs="Times New Roman"/>
                <w:color w:val="000000"/>
                <w:sz w:val="16"/>
                <w:szCs w:val="16"/>
              </w:rPr>
              <w:t>0</w:t>
            </w:r>
          </w:p>
        </w:tc>
        <w:tc>
          <w:tcPr>
            <w:tcW w:w="1440" w:type="dxa"/>
            <w:vAlign w:val="center"/>
          </w:tcPr>
          <w:p w14:paraId="58C76054" w14:textId="464B4396"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-0.00175</w:t>
            </w:r>
          </w:p>
        </w:tc>
        <w:tc>
          <w:tcPr>
            <w:tcW w:w="1260" w:type="dxa"/>
            <w:vAlign w:val="center"/>
          </w:tcPr>
          <w:p w14:paraId="73C7506D" w14:textId="0140A574"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-4.37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065649A" w14:textId="68D6C5BA"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1.68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0CD13D4B" w14:textId="1C40740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4.6</w:t>
            </w:r>
            <w:r w:rsidR="004A1020">
              <w:rPr>
                <w:rFonts w:ascii="Times New Roman" w:hAnsi="Times New Roman" w:cs="Times New Roman"/>
                <w:color w:val="000000"/>
                <w:sz w:val="16"/>
                <w:szCs w:val="16"/>
              </w:rPr>
              <w:t>2</w:t>
            </w:r>
          </w:p>
        </w:tc>
        <w:tc>
          <w:tcPr>
            <w:tcW w:w="810" w:type="dxa"/>
            <w:shd w:val="clear" w:color="auto" w:fill="auto"/>
            <w:noWrap/>
            <w:vAlign w:val="center"/>
          </w:tcPr>
          <w:p w14:paraId="52291573" w14:textId="574A45A5"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107.9</w:t>
            </w:r>
            <w:r w:rsidR="004A1020">
              <w:rPr>
                <w:rFonts w:ascii="Times New Roman" w:hAnsi="Times New Roman" w:cs="Times New Roman"/>
                <w:color w:val="000000"/>
                <w:sz w:val="16"/>
                <w:szCs w:val="16"/>
              </w:rPr>
              <w:t>3</w:t>
            </w:r>
          </w:p>
        </w:tc>
        <w:tc>
          <w:tcPr>
            <w:tcW w:w="922" w:type="dxa"/>
            <w:shd w:val="clear" w:color="auto" w:fill="auto"/>
            <w:noWrap/>
            <w:vAlign w:val="center"/>
          </w:tcPr>
          <w:p w14:paraId="0D28C741" w14:textId="4BD5EA20" w:rsidR="00B66D06" w:rsidRPr="004A34A2" w:rsidRDefault="00B66D06" w:rsidP="002F7C16">
            <w:pPr>
              <w:spacing w:after="0" w:line="240" w:lineRule="auto"/>
              <w:jc w:val="center"/>
              <w:rPr>
                <w:rFonts w:ascii="Times New Roman" w:hAnsi="Times New Roman" w:cs="Times New Roman"/>
                <w:b/>
                <w:color w:val="000000"/>
                <w:sz w:val="16"/>
                <w:szCs w:val="16"/>
              </w:rPr>
            </w:pPr>
            <w:r w:rsidRPr="004A34A2">
              <w:rPr>
                <w:rFonts w:ascii="Times New Roman" w:hAnsi="Times New Roman" w:cs="Times New Roman"/>
                <w:b/>
                <w:color w:val="000000"/>
                <w:sz w:val="16"/>
                <w:szCs w:val="16"/>
              </w:rPr>
              <w:t>1.04</w:t>
            </w:r>
            <w:r w:rsidR="004A1020" w:rsidRPr="004A34A2">
              <w:rPr>
                <w:rFonts w:ascii="Times New Roman" w:hAnsi="Times New Roman" w:cs="Times New Roman"/>
                <w:b/>
                <w:color w:val="000000"/>
                <w:sz w:val="16"/>
                <w:szCs w:val="16"/>
              </w:rPr>
              <w:t xml:space="preserve"> x 10</w:t>
            </w:r>
            <w:r w:rsidR="004A1020" w:rsidRPr="004A34A2">
              <w:rPr>
                <w:rFonts w:ascii="Times New Roman" w:hAnsi="Times New Roman" w:cs="Times New Roman"/>
                <w:b/>
                <w:color w:val="000000"/>
                <w:sz w:val="16"/>
                <w:szCs w:val="16"/>
                <w:vertAlign w:val="superscript"/>
              </w:rPr>
              <w:t>-4</w:t>
            </w:r>
          </w:p>
        </w:tc>
      </w:tr>
      <w:tr w:rsidR="002C7E17" w:rsidRPr="002F7C16" w14:paraId="44C6FCD1" w14:textId="77777777" w:rsidTr="004A1020">
        <w:trPr>
          <w:trHeight w:val="300"/>
          <w:jc w:val="center"/>
        </w:trPr>
        <w:tc>
          <w:tcPr>
            <w:tcW w:w="1075" w:type="dxa"/>
            <w:shd w:val="clear" w:color="auto" w:fill="auto"/>
            <w:noWrap/>
            <w:vAlign w:val="center"/>
          </w:tcPr>
          <w:p w14:paraId="2B7A442D" w14:textId="0067324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3:2</w:t>
            </w:r>
          </w:p>
        </w:tc>
        <w:tc>
          <w:tcPr>
            <w:tcW w:w="1440" w:type="dxa"/>
            <w:shd w:val="clear" w:color="auto" w:fill="auto"/>
            <w:noWrap/>
            <w:vAlign w:val="center"/>
          </w:tcPr>
          <w:p w14:paraId="0C964B84" w14:textId="1B756B2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-9.20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-5</w:t>
            </w:r>
          </w:p>
        </w:tc>
        <w:tc>
          <w:tcPr>
            <w:tcW w:w="1440" w:type="dxa"/>
            <w:vAlign w:val="center"/>
          </w:tcPr>
          <w:p w14:paraId="7CDBC045" w14:textId="04939DD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-9.78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156C158C" w14:textId="168251F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7.95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6E8366B6" w14:textId="6B49D00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2.24</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42083F91" w14:textId="7509F826"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0.2</w:t>
            </w:r>
            <w:r w:rsidR="004A1020">
              <w:rPr>
                <w:rFonts w:ascii="Times New Roman" w:hAnsi="Times New Roman" w:cs="Times New Roman"/>
                <w:color w:val="000000"/>
                <w:sz w:val="16"/>
                <w:szCs w:val="16"/>
              </w:rPr>
              <w:t>9</w:t>
            </w:r>
          </w:p>
        </w:tc>
        <w:tc>
          <w:tcPr>
            <w:tcW w:w="810" w:type="dxa"/>
            <w:shd w:val="clear" w:color="auto" w:fill="auto"/>
            <w:noWrap/>
            <w:vAlign w:val="center"/>
          </w:tcPr>
          <w:p w14:paraId="517B636F" w14:textId="75159C75"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72.56</w:t>
            </w:r>
          </w:p>
        </w:tc>
        <w:tc>
          <w:tcPr>
            <w:tcW w:w="922" w:type="dxa"/>
            <w:shd w:val="clear" w:color="auto" w:fill="auto"/>
            <w:noWrap/>
            <w:vAlign w:val="center"/>
          </w:tcPr>
          <w:p w14:paraId="05A2774A" w14:textId="6F93D7D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1.00</w:t>
            </w:r>
          </w:p>
        </w:tc>
      </w:tr>
      <w:tr w:rsidR="002C7E17" w:rsidRPr="002F7C16" w14:paraId="2687B55E" w14:textId="77777777" w:rsidTr="004A1020">
        <w:trPr>
          <w:trHeight w:val="300"/>
          <w:jc w:val="center"/>
        </w:trPr>
        <w:tc>
          <w:tcPr>
            <w:tcW w:w="1075" w:type="dxa"/>
            <w:shd w:val="clear" w:color="auto" w:fill="auto"/>
            <w:noWrap/>
            <w:vAlign w:val="center"/>
          </w:tcPr>
          <w:p w14:paraId="20DDBAD7" w14:textId="1201A95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3:1</w:t>
            </w:r>
          </w:p>
        </w:tc>
        <w:tc>
          <w:tcPr>
            <w:tcW w:w="1440" w:type="dxa"/>
            <w:shd w:val="clear" w:color="auto" w:fill="auto"/>
            <w:noWrap/>
            <w:vAlign w:val="center"/>
          </w:tcPr>
          <w:p w14:paraId="75558692" w14:textId="108B60D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-8.99</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440" w:type="dxa"/>
            <w:vAlign w:val="center"/>
          </w:tcPr>
          <w:p w14:paraId="6D187F47" w14:textId="404F698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-0.00162</w:t>
            </w:r>
          </w:p>
        </w:tc>
        <w:tc>
          <w:tcPr>
            <w:tcW w:w="1260" w:type="dxa"/>
            <w:vAlign w:val="center"/>
          </w:tcPr>
          <w:p w14:paraId="5FD7CAE4" w14:textId="5AFE03A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-1.73</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748F6FA8" w14:textId="20751F9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1.85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3DBB7046" w14:textId="710FBA3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3.4</w:t>
            </w:r>
            <w:r w:rsidR="004A1020">
              <w:rPr>
                <w:rFonts w:ascii="Times New Roman" w:hAnsi="Times New Roman" w:cs="Times New Roman"/>
                <w:color w:val="000000"/>
                <w:sz w:val="16"/>
                <w:szCs w:val="16"/>
              </w:rPr>
              <w:t>4</w:t>
            </w:r>
          </w:p>
        </w:tc>
        <w:tc>
          <w:tcPr>
            <w:tcW w:w="810" w:type="dxa"/>
            <w:shd w:val="clear" w:color="auto" w:fill="auto"/>
            <w:noWrap/>
            <w:vAlign w:val="center"/>
          </w:tcPr>
          <w:p w14:paraId="5ACF0B2A" w14:textId="4D1F6BF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106.0</w:t>
            </w:r>
            <w:r w:rsidR="004A1020">
              <w:rPr>
                <w:rFonts w:ascii="Times New Roman" w:hAnsi="Times New Roman" w:cs="Times New Roman"/>
                <w:color w:val="000000"/>
                <w:sz w:val="16"/>
                <w:szCs w:val="16"/>
              </w:rPr>
              <w:t>2</w:t>
            </w:r>
          </w:p>
        </w:tc>
        <w:tc>
          <w:tcPr>
            <w:tcW w:w="922" w:type="dxa"/>
            <w:shd w:val="clear" w:color="auto" w:fill="auto"/>
            <w:noWrap/>
            <w:vAlign w:val="center"/>
          </w:tcPr>
          <w:p w14:paraId="53EC2D03" w14:textId="066C7748" w:rsidR="002C7E17" w:rsidRPr="004A34A2" w:rsidRDefault="002C7E17"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0.0073</w:t>
            </w:r>
          </w:p>
        </w:tc>
      </w:tr>
      <w:tr w:rsidR="002C7E17" w:rsidRPr="002F7C16" w14:paraId="72FF71C6" w14:textId="77777777" w:rsidTr="004A1020">
        <w:trPr>
          <w:trHeight w:val="300"/>
          <w:jc w:val="center"/>
        </w:trPr>
        <w:tc>
          <w:tcPr>
            <w:tcW w:w="1075" w:type="dxa"/>
            <w:shd w:val="clear" w:color="auto" w:fill="auto"/>
            <w:noWrap/>
            <w:vAlign w:val="center"/>
          </w:tcPr>
          <w:p w14:paraId="57A38AC7" w14:textId="64C926C5"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2:1</w:t>
            </w:r>
          </w:p>
        </w:tc>
        <w:tc>
          <w:tcPr>
            <w:tcW w:w="1440" w:type="dxa"/>
            <w:shd w:val="clear" w:color="auto" w:fill="auto"/>
            <w:noWrap/>
            <w:vAlign w:val="center"/>
          </w:tcPr>
          <w:p w14:paraId="380FC6A4" w14:textId="6B1B661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-8.07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440" w:type="dxa"/>
            <w:vAlign w:val="center"/>
          </w:tcPr>
          <w:p w14:paraId="50444CF5" w14:textId="6EFCEAE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-0.00176</w:t>
            </w:r>
          </w:p>
        </w:tc>
        <w:tc>
          <w:tcPr>
            <w:tcW w:w="1260" w:type="dxa"/>
            <w:vAlign w:val="center"/>
          </w:tcPr>
          <w:p w14:paraId="67492280" w14:textId="701A5F3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1.42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7BBD7DFC" w14:textId="30C2EEC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2.41</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2F97258F" w14:textId="0368AC7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2.36</w:t>
            </w:r>
          </w:p>
        </w:tc>
        <w:tc>
          <w:tcPr>
            <w:tcW w:w="810" w:type="dxa"/>
            <w:shd w:val="clear" w:color="auto" w:fill="auto"/>
            <w:noWrap/>
            <w:vAlign w:val="center"/>
          </w:tcPr>
          <w:p w14:paraId="54889FE9" w14:textId="6A703ED1"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93.5</w:t>
            </w:r>
            <w:r w:rsidR="004A1020">
              <w:rPr>
                <w:rFonts w:ascii="Times New Roman" w:hAnsi="Times New Roman" w:cs="Times New Roman"/>
                <w:color w:val="000000"/>
                <w:sz w:val="16"/>
                <w:szCs w:val="16"/>
              </w:rPr>
              <w:t>8</w:t>
            </w:r>
          </w:p>
        </w:tc>
        <w:tc>
          <w:tcPr>
            <w:tcW w:w="922" w:type="dxa"/>
            <w:shd w:val="clear" w:color="auto" w:fill="auto"/>
            <w:noWrap/>
            <w:vAlign w:val="center"/>
          </w:tcPr>
          <w:p w14:paraId="186B99FE" w14:textId="1769EB1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0.13</w:t>
            </w:r>
          </w:p>
        </w:tc>
      </w:tr>
    </w:tbl>
    <w:p w14:paraId="3309CF19" w14:textId="77777777" w:rsidR="00E568CD" w:rsidRDefault="00E568CD">
      <w:pPr>
        <w:rPr>
          <w:rFonts w:ascii="Times New Roman" w:hAnsi="Times New Roman" w:cs="Times New Roman"/>
          <w:b/>
          <w:sz w:val="24"/>
          <w:szCs w:val="24"/>
          <w:lang w:val="en-US"/>
        </w:rPr>
      </w:pPr>
    </w:p>
    <w:p w14:paraId="253A51D8" w14:textId="77777777" w:rsidR="00E568CD" w:rsidRDefault="00E568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32F249" w14:textId="1A5AB765"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5e. Cadmium.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311BD6FD" w14:textId="77777777" w:rsidTr="00156B48">
        <w:trPr>
          <w:trHeight w:val="300"/>
          <w:jc w:val="center"/>
        </w:trPr>
        <w:tc>
          <w:tcPr>
            <w:tcW w:w="9017" w:type="dxa"/>
            <w:gridSpan w:val="4"/>
            <w:shd w:val="clear" w:color="auto" w:fill="auto"/>
            <w:noWrap/>
            <w:vAlign w:val="center"/>
          </w:tcPr>
          <w:p w14:paraId="346C12D9" w14:textId="6A261DA1"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78A89076" w14:textId="77777777" w:rsidTr="001A2F55">
        <w:trPr>
          <w:trHeight w:val="300"/>
          <w:jc w:val="center"/>
        </w:trPr>
        <w:tc>
          <w:tcPr>
            <w:tcW w:w="6756" w:type="dxa"/>
            <w:vMerge w:val="restart"/>
            <w:shd w:val="clear" w:color="auto" w:fill="auto"/>
            <w:noWrap/>
            <w:vAlign w:val="center"/>
          </w:tcPr>
          <w:p w14:paraId="65B2FE51"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ED35C9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D93EDA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F11605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F22CB28" w14:textId="77777777" w:rsidTr="001A2F55">
        <w:trPr>
          <w:trHeight w:val="300"/>
          <w:jc w:val="center"/>
        </w:trPr>
        <w:tc>
          <w:tcPr>
            <w:tcW w:w="6756" w:type="dxa"/>
            <w:vMerge/>
            <w:shd w:val="clear" w:color="auto" w:fill="auto"/>
            <w:noWrap/>
            <w:vAlign w:val="center"/>
          </w:tcPr>
          <w:p w14:paraId="4C8793F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843AD25" w14:textId="4A77F89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1.83</w:t>
            </w:r>
          </w:p>
        </w:tc>
        <w:tc>
          <w:tcPr>
            <w:tcW w:w="865" w:type="dxa"/>
            <w:shd w:val="clear" w:color="auto" w:fill="auto"/>
            <w:noWrap/>
            <w:vAlign w:val="center"/>
          </w:tcPr>
          <w:p w14:paraId="2B1A387A" w14:textId="47F85AE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4, 201</w:t>
            </w:r>
          </w:p>
        </w:tc>
        <w:tc>
          <w:tcPr>
            <w:tcW w:w="642" w:type="dxa"/>
            <w:shd w:val="clear" w:color="auto" w:fill="auto"/>
            <w:noWrap/>
            <w:vAlign w:val="center"/>
          </w:tcPr>
          <w:p w14:paraId="27F578AA" w14:textId="470203F8"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0.12</w:t>
            </w:r>
          </w:p>
        </w:tc>
      </w:tr>
      <w:tr w:rsidR="00156B48" w:rsidRPr="006D0FD5" w14:paraId="4E0AA667" w14:textId="77777777" w:rsidTr="00156B48">
        <w:trPr>
          <w:trHeight w:val="300"/>
          <w:jc w:val="center"/>
        </w:trPr>
        <w:tc>
          <w:tcPr>
            <w:tcW w:w="9017" w:type="dxa"/>
            <w:gridSpan w:val="4"/>
            <w:shd w:val="clear" w:color="auto" w:fill="auto"/>
            <w:noWrap/>
            <w:vAlign w:val="center"/>
          </w:tcPr>
          <w:p w14:paraId="681A2502" w14:textId="4B8F9EB3" w:rsidR="00156B48"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4598629B" w14:textId="77777777" w:rsidTr="001A2F55">
        <w:trPr>
          <w:trHeight w:val="300"/>
          <w:jc w:val="center"/>
        </w:trPr>
        <w:tc>
          <w:tcPr>
            <w:tcW w:w="6756" w:type="dxa"/>
            <w:vMerge w:val="restart"/>
            <w:shd w:val="clear" w:color="auto" w:fill="auto"/>
            <w:noWrap/>
            <w:vAlign w:val="center"/>
          </w:tcPr>
          <w:p w14:paraId="25AAE39B"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7EA8ADA" w14:textId="7C7636A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F</w:t>
            </w:r>
          </w:p>
        </w:tc>
        <w:tc>
          <w:tcPr>
            <w:tcW w:w="865" w:type="dxa"/>
            <w:shd w:val="clear" w:color="auto" w:fill="auto"/>
            <w:noWrap/>
            <w:vAlign w:val="center"/>
          </w:tcPr>
          <w:p w14:paraId="6BDD82FE" w14:textId="5E1BA9E4"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df</w:t>
            </w:r>
          </w:p>
        </w:tc>
        <w:tc>
          <w:tcPr>
            <w:tcW w:w="642" w:type="dxa"/>
            <w:shd w:val="clear" w:color="auto" w:fill="auto"/>
            <w:noWrap/>
            <w:vAlign w:val="center"/>
          </w:tcPr>
          <w:p w14:paraId="2BF73426" w14:textId="6651682B"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p</w:t>
            </w:r>
          </w:p>
        </w:tc>
      </w:tr>
      <w:tr w:rsidR="007B33CE" w:rsidRPr="00156B48" w14:paraId="63CA3AC4" w14:textId="77777777" w:rsidTr="001A2F55">
        <w:trPr>
          <w:trHeight w:val="300"/>
          <w:jc w:val="center"/>
        </w:trPr>
        <w:tc>
          <w:tcPr>
            <w:tcW w:w="6756" w:type="dxa"/>
            <w:vMerge/>
            <w:shd w:val="clear" w:color="auto" w:fill="auto"/>
            <w:noWrap/>
            <w:vAlign w:val="center"/>
          </w:tcPr>
          <w:p w14:paraId="2F9A4B9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D52DCAF" w14:textId="5C161961"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0.28</w:t>
            </w:r>
          </w:p>
        </w:tc>
        <w:tc>
          <w:tcPr>
            <w:tcW w:w="865" w:type="dxa"/>
            <w:shd w:val="clear" w:color="auto" w:fill="auto"/>
            <w:noWrap/>
            <w:vAlign w:val="center"/>
          </w:tcPr>
          <w:p w14:paraId="7EE916F0" w14:textId="56D87D5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4, 201</w:t>
            </w:r>
          </w:p>
        </w:tc>
        <w:tc>
          <w:tcPr>
            <w:tcW w:w="642" w:type="dxa"/>
            <w:shd w:val="clear" w:color="auto" w:fill="auto"/>
            <w:noWrap/>
            <w:vAlign w:val="center"/>
          </w:tcPr>
          <w:p w14:paraId="4F21EE92" w14:textId="4A4C9FE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0.89</w:t>
            </w:r>
          </w:p>
        </w:tc>
      </w:tr>
      <w:tr w:rsidR="008843FD" w:rsidRPr="006D0FD5" w14:paraId="3F3D6259" w14:textId="77777777" w:rsidTr="00156B48">
        <w:trPr>
          <w:trHeight w:val="300"/>
          <w:jc w:val="center"/>
        </w:trPr>
        <w:tc>
          <w:tcPr>
            <w:tcW w:w="9017" w:type="dxa"/>
            <w:gridSpan w:val="4"/>
            <w:shd w:val="clear" w:color="auto" w:fill="auto"/>
            <w:noWrap/>
            <w:vAlign w:val="center"/>
          </w:tcPr>
          <w:p w14:paraId="44D87641" w14:textId="0BBE5BC7" w:rsidR="008843FD"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analysis of variance </w:t>
            </w:r>
            <w:commentRangeStart w:id="27"/>
            <w:r w:rsidR="008843FD" w:rsidRPr="00156B48">
              <w:rPr>
                <w:rFonts w:ascii="Times New Roman" w:eastAsia="Times New Roman" w:hAnsi="Times New Roman" w:cs="Times New Roman"/>
                <w:b/>
                <w:i/>
                <w:color w:val="000000"/>
                <w:sz w:val="16"/>
                <w:szCs w:val="16"/>
                <w:lang w:val="en-US" w:eastAsia="de-DE"/>
              </w:rPr>
              <w:t>with Welch correction for unequal variances</w:t>
            </w:r>
            <w:commentRangeEnd w:id="27"/>
            <w:r w:rsidR="00A63F36" w:rsidRPr="00156B48">
              <w:rPr>
                <w:rStyle w:val="CommentReference"/>
                <w:rFonts w:ascii="Times New Roman" w:hAnsi="Times New Roman" w:cs="Times New Roman"/>
              </w:rPr>
              <w:commentReference w:id="27"/>
            </w:r>
          </w:p>
        </w:tc>
      </w:tr>
      <w:tr w:rsidR="007B33CE" w:rsidRPr="00156B48" w14:paraId="4BE8E116" w14:textId="77777777" w:rsidTr="001A2F55">
        <w:trPr>
          <w:trHeight w:val="300"/>
          <w:jc w:val="center"/>
        </w:trPr>
        <w:tc>
          <w:tcPr>
            <w:tcW w:w="6756" w:type="dxa"/>
            <w:vMerge w:val="restart"/>
            <w:shd w:val="clear" w:color="auto" w:fill="auto"/>
            <w:noWrap/>
            <w:vAlign w:val="center"/>
          </w:tcPr>
          <w:p w14:paraId="367E3C4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3DA593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A9C5C8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B969BEF"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754D30BF" w14:textId="77777777" w:rsidTr="001A2F55">
        <w:trPr>
          <w:trHeight w:val="300"/>
          <w:jc w:val="center"/>
        </w:trPr>
        <w:tc>
          <w:tcPr>
            <w:tcW w:w="6756" w:type="dxa"/>
            <w:vMerge/>
            <w:shd w:val="clear" w:color="auto" w:fill="auto"/>
            <w:noWrap/>
            <w:vAlign w:val="center"/>
          </w:tcPr>
          <w:p w14:paraId="53EA361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B29572F" w14:textId="68FCDC6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0.36</w:t>
            </w:r>
          </w:p>
        </w:tc>
        <w:tc>
          <w:tcPr>
            <w:tcW w:w="865" w:type="dxa"/>
            <w:shd w:val="clear" w:color="auto" w:fill="auto"/>
            <w:noWrap/>
            <w:vAlign w:val="center"/>
          </w:tcPr>
          <w:p w14:paraId="5C028F92" w14:textId="64F9D29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4, 79.64</w:t>
            </w:r>
          </w:p>
        </w:tc>
        <w:tc>
          <w:tcPr>
            <w:tcW w:w="642" w:type="dxa"/>
            <w:shd w:val="clear" w:color="auto" w:fill="auto"/>
            <w:noWrap/>
            <w:vAlign w:val="center"/>
          </w:tcPr>
          <w:p w14:paraId="694ACAA6" w14:textId="028AFC09"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0.84</w:t>
            </w:r>
          </w:p>
        </w:tc>
      </w:tr>
    </w:tbl>
    <w:p w14:paraId="7BF5231A" w14:textId="77777777" w:rsidR="008843FD" w:rsidRDefault="008843FD">
      <w:pPr>
        <w:rPr>
          <w:rFonts w:ascii="Times New Roman" w:hAnsi="Times New Roman" w:cs="Times New Roman"/>
          <w:b/>
          <w:sz w:val="24"/>
          <w:szCs w:val="24"/>
          <w:lang w:val="en-US"/>
        </w:rPr>
      </w:pPr>
    </w:p>
    <w:p w14:paraId="4E41DC87" w14:textId="2B02BD47"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5f. Calcium.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5D5701FE" w14:textId="77777777" w:rsidTr="00156B48">
        <w:trPr>
          <w:trHeight w:val="300"/>
          <w:jc w:val="center"/>
        </w:trPr>
        <w:tc>
          <w:tcPr>
            <w:tcW w:w="9017" w:type="dxa"/>
            <w:gridSpan w:val="4"/>
            <w:shd w:val="clear" w:color="auto" w:fill="auto"/>
            <w:noWrap/>
            <w:vAlign w:val="center"/>
          </w:tcPr>
          <w:p w14:paraId="25738F8E" w14:textId="4042F4B9"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039F480C" w14:textId="77777777" w:rsidTr="001A2F55">
        <w:trPr>
          <w:trHeight w:val="300"/>
          <w:jc w:val="center"/>
        </w:trPr>
        <w:tc>
          <w:tcPr>
            <w:tcW w:w="6756" w:type="dxa"/>
            <w:vMerge w:val="restart"/>
            <w:shd w:val="clear" w:color="auto" w:fill="auto"/>
            <w:noWrap/>
            <w:vAlign w:val="center"/>
          </w:tcPr>
          <w:p w14:paraId="251208F9"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FEF00E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F02DD4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BF00FE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78F970D" w14:textId="77777777" w:rsidTr="001A2F55">
        <w:trPr>
          <w:trHeight w:val="300"/>
          <w:jc w:val="center"/>
        </w:trPr>
        <w:tc>
          <w:tcPr>
            <w:tcW w:w="6756" w:type="dxa"/>
            <w:vMerge/>
            <w:shd w:val="clear" w:color="auto" w:fill="auto"/>
            <w:noWrap/>
            <w:vAlign w:val="center"/>
          </w:tcPr>
          <w:p w14:paraId="5711252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7CA157D" w14:textId="2073DE91"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1.47</w:t>
            </w:r>
          </w:p>
        </w:tc>
        <w:tc>
          <w:tcPr>
            <w:tcW w:w="865" w:type="dxa"/>
            <w:shd w:val="clear" w:color="auto" w:fill="auto"/>
            <w:noWrap/>
            <w:vAlign w:val="center"/>
          </w:tcPr>
          <w:p w14:paraId="624BAABA" w14:textId="2AAAF53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0BE1914B" w14:textId="5B8ABDE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0.21</w:t>
            </w:r>
          </w:p>
        </w:tc>
      </w:tr>
      <w:tr w:rsidR="00586539" w:rsidRPr="006D0FD5" w14:paraId="4E6C37CC" w14:textId="77777777" w:rsidTr="00156B48">
        <w:trPr>
          <w:trHeight w:val="300"/>
          <w:jc w:val="center"/>
        </w:trPr>
        <w:tc>
          <w:tcPr>
            <w:tcW w:w="9017" w:type="dxa"/>
            <w:gridSpan w:val="4"/>
            <w:shd w:val="clear" w:color="auto" w:fill="auto"/>
            <w:noWrap/>
            <w:vAlign w:val="center"/>
          </w:tcPr>
          <w:p w14:paraId="7BED01D5" w14:textId="5FC825D2" w:rsidR="00586539"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56819130" w14:textId="77777777" w:rsidTr="001A2F55">
        <w:trPr>
          <w:trHeight w:val="300"/>
          <w:jc w:val="center"/>
        </w:trPr>
        <w:tc>
          <w:tcPr>
            <w:tcW w:w="6756" w:type="dxa"/>
            <w:vMerge w:val="restart"/>
            <w:shd w:val="clear" w:color="auto" w:fill="auto"/>
            <w:noWrap/>
            <w:vAlign w:val="center"/>
          </w:tcPr>
          <w:p w14:paraId="04D370E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E9EAB27" w14:textId="57E6C954"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818C637" w14:textId="4BC671FC" w:rsidR="007B33CE" w:rsidRPr="00156B48"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9791E06" w14:textId="170F9B8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31A0009E" w14:textId="77777777" w:rsidTr="001A2F55">
        <w:trPr>
          <w:trHeight w:val="300"/>
          <w:jc w:val="center"/>
        </w:trPr>
        <w:tc>
          <w:tcPr>
            <w:tcW w:w="6756" w:type="dxa"/>
            <w:vMerge/>
            <w:shd w:val="clear" w:color="auto" w:fill="auto"/>
            <w:noWrap/>
            <w:vAlign w:val="center"/>
          </w:tcPr>
          <w:p w14:paraId="2F2136EF"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2845406C" w14:textId="5E32280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0.54</w:t>
            </w:r>
          </w:p>
        </w:tc>
        <w:tc>
          <w:tcPr>
            <w:tcW w:w="865" w:type="dxa"/>
            <w:shd w:val="clear" w:color="auto" w:fill="auto"/>
            <w:noWrap/>
            <w:vAlign w:val="center"/>
          </w:tcPr>
          <w:p w14:paraId="03C541A9" w14:textId="20D274C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41749C61" w14:textId="2C867B2A"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0.71</w:t>
            </w:r>
          </w:p>
        </w:tc>
      </w:tr>
      <w:tr w:rsidR="00156B48" w:rsidRPr="006D0FD5" w14:paraId="769A33D8" w14:textId="77777777" w:rsidTr="00156B48">
        <w:trPr>
          <w:trHeight w:val="300"/>
          <w:jc w:val="center"/>
        </w:trPr>
        <w:tc>
          <w:tcPr>
            <w:tcW w:w="9017" w:type="dxa"/>
            <w:gridSpan w:val="4"/>
            <w:shd w:val="clear" w:color="auto" w:fill="auto"/>
            <w:noWrap/>
            <w:vAlign w:val="center"/>
          </w:tcPr>
          <w:p w14:paraId="6406DEB2" w14:textId="5D3D8BD8" w:rsidR="00156B48"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156B48" w14:paraId="2B8C7787" w14:textId="77777777" w:rsidTr="001A2F55">
        <w:trPr>
          <w:trHeight w:val="300"/>
          <w:jc w:val="center"/>
        </w:trPr>
        <w:tc>
          <w:tcPr>
            <w:tcW w:w="6756" w:type="dxa"/>
            <w:vMerge w:val="restart"/>
            <w:shd w:val="clear" w:color="auto" w:fill="auto"/>
            <w:noWrap/>
            <w:vAlign w:val="center"/>
          </w:tcPr>
          <w:p w14:paraId="5D6BC62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A9D4BB7" w14:textId="46D24C36"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F6E6FE4" w14:textId="0CC2891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AC75172" w14:textId="1E12DAA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36076CCF" w14:textId="77777777" w:rsidTr="001A2F55">
        <w:trPr>
          <w:trHeight w:val="300"/>
          <w:jc w:val="center"/>
        </w:trPr>
        <w:tc>
          <w:tcPr>
            <w:tcW w:w="6756" w:type="dxa"/>
            <w:vMerge/>
            <w:shd w:val="clear" w:color="auto" w:fill="auto"/>
            <w:noWrap/>
            <w:vAlign w:val="center"/>
          </w:tcPr>
          <w:p w14:paraId="4A59AD8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D624CB5" w14:textId="55E62142"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1.02</w:t>
            </w:r>
          </w:p>
        </w:tc>
        <w:tc>
          <w:tcPr>
            <w:tcW w:w="865" w:type="dxa"/>
            <w:shd w:val="clear" w:color="auto" w:fill="auto"/>
            <w:noWrap/>
            <w:vAlign w:val="center"/>
          </w:tcPr>
          <w:p w14:paraId="6F25BEF3" w14:textId="7896B591"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4, 119.50</w:t>
            </w:r>
          </w:p>
        </w:tc>
        <w:tc>
          <w:tcPr>
            <w:tcW w:w="642" w:type="dxa"/>
            <w:shd w:val="clear" w:color="auto" w:fill="auto"/>
            <w:noWrap/>
            <w:vAlign w:val="center"/>
          </w:tcPr>
          <w:p w14:paraId="161B7295" w14:textId="48C07EA6"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0.40</w:t>
            </w:r>
          </w:p>
        </w:tc>
      </w:tr>
    </w:tbl>
    <w:p w14:paraId="2324249C" w14:textId="77777777" w:rsidR="008843FD" w:rsidRDefault="008843FD">
      <w:pPr>
        <w:rPr>
          <w:rFonts w:ascii="Times New Roman" w:hAnsi="Times New Roman" w:cs="Times New Roman"/>
          <w:b/>
          <w:sz w:val="24"/>
          <w:szCs w:val="24"/>
          <w:lang w:val="en-US"/>
        </w:rPr>
      </w:pPr>
    </w:p>
    <w:p w14:paraId="4E6372C8" w14:textId="2E18B452"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5g. Chlorine.</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487C30B5" w14:textId="77777777" w:rsidTr="00156B48">
        <w:trPr>
          <w:trHeight w:val="300"/>
          <w:jc w:val="center"/>
        </w:trPr>
        <w:tc>
          <w:tcPr>
            <w:tcW w:w="9017" w:type="dxa"/>
            <w:gridSpan w:val="4"/>
            <w:shd w:val="clear" w:color="auto" w:fill="auto"/>
            <w:noWrap/>
            <w:vAlign w:val="center"/>
          </w:tcPr>
          <w:p w14:paraId="5753E4C5" w14:textId="7C047583"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31D86D6B" w14:textId="77777777" w:rsidTr="001A2F55">
        <w:trPr>
          <w:trHeight w:val="300"/>
          <w:jc w:val="center"/>
        </w:trPr>
        <w:tc>
          <w:tcPr>
            <w:tcW w:w="6756" w:type="dxa"/>
            <w:vMerge w:val="restart"/>
            <w:shd w:val="clear" w:color="auto" w:fill="auto"/>
            <w:noWrap/>
            <w:vAlign w:val="center"/>
          </w:tcPr>
          <w:p w14:paraId="586683A7"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FD587D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DC92BB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99E881C"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5EEFAF22" w14:textId="77777777" w:rsidTr="001A2F55">
        <w:trPr>
          <w:trHeight w:val="300"/>
          <w:jc w:val="center"/>
        </w:trPr>
        <w:tc>
          <w:tcPr>
            <w:tcW w:w="6756" w:type="dxa"/>
            <w:vMerge/>
            <w:shd w:val="clear" w:color="auto" w:fill="auto"/>
            <w:noWrap/>
            <w:vAlign w:val="center"/>
          </w:tcPr>
          <w:p w14:paraId="31D4900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2A5BF19" w14:textId="3776159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0.85</w:t>
            </w:r>
          </w:p>
        </w:tc>
        <w:tc>
          <w:tcPr>
            <w:tcW w:w="865" w:type="dxa"/>
            <w:shd w:val="clear" w:color="auto" w:fill="auto"/>
            <w:noWrap/>
            <w:vAlign w:val="center"/>
          </w:tcPr>
          <w:p w14:paraId="17B717E3" w14:textId="2521B946"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661C18C8" w14:textId="5CDEC80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0.50</w:t>
            </w:r>
          </w:p>
        </w:tc>
      </w:tr>
      <w:tr w:rsidR="007A0F6A" w:rsidRPr="006D0FD5" w14:paraId="297AA551" w14:textId="77777777" w:rsidTr="00156B48">
        <w:trPr>
          <w:trHeight w:val="300"/>
          <w:jc w:val="center"/>
        </w:trPr>
        <w:tc>
          <w:tcPr>
            <w:tcW w:w="9017" w:type="dxa"/>
            <w:gridSpan w:val="4"/>
            <w:shd w:val="clear" w:color="auto" w:fill="auto"/>
            <w:noWrap/>
            <w:vAlign w:val="center"/>
          </w:tcPr>
          <w:p w14:paraId="2615B2D7" w14:textId="1C5FDF9A" w:rsidR="007A0F6A"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6EAC61CD" w14:textId="77777777" w:rsidTr="001A2F55">
        <w:trPr>
          <w:trHeight w:val="300"/>
          <w:jc w:val="center"/>
        </w:trPr>
        <w:tc>
          <w:tcPr>
            <w:tcW w:w="6756" w:type="dxa"/>
            <w:vMerge w:val="restart"/>
            <w:shd w:val="clear" w:color="auto" w:fill="auto"/>
            <w:noWrap/>
            <w:vAlign w:val="center"/>
          </w:tcPr>
          <w:p w14:paraId="4342EBA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9575A67" w14:textId="6FD8976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7342179" w14:textId="633659B6" w:rsidR="007B33CE" w:rsidRPr="00156B48"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5F4E2C5" w14:textId="371C739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00CD0B1" w14:textId="77777777" w:rsidTr="001A2F55">
        <w:trPr>
          <w:trHeight w:val="300"/>
          <w:jc w:val="center"/>
        </w:trPr>
        <w:tc>
          <w:tcPr>
            <w:tcW w:w="6756" w:type="dxa"/>
            <w:vMerge/>
            <w:shd w:val="clear" w:color="auto" w:fill="auto"/>
            <w:noWrap/>
            <w:vAlign w:val="center"/>
          </w:tcPr>
          <w:p w14:paraId="57720C4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D4DED30" w14:textId="305675FB"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0.63</w:t>
            </w:r>
          </w:p>
        </w:tc>
        <w:tc>
          <w:tcPr>
            <w:tcW w:w="865" w:type="dxa"/>
            <w:shd w:val="clear" w:color="auto" w:fill="auto"/>
            <w:noWrap/>
            <w:vAlign w:val="center"/>
          </w:tcPr>
          <w:p w14:paraId="41912BC5" w14:textId="1CE118A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7948FC87" w14:textId="6F4AC719"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0.64</w:t>
            </w:r>
          </w:p>
        </w:tc>
      </w:tr>
      <w:tr w:rsidR="00156B48" w:rsidRPr="006D0FD5" w14:paraId="1C147EB6" w14:textId="77777777" w:rsidTr="00156B48">
        <w:trPr>
          <w:trHeight w:val="300"/>
          <w:jc w:val="center"/>
        </w:trPr>
        <w:tc>
          <w:tcPr>
            <w:tcW w:w="9017" w:type="dxa"/>
            <w:gridSpan w:val="4"/>
            <w:shd w:val="clear" w:color="auto" w:fill="auto"/>
            <w:noWrap/>
            <w:vAlign w:val="center"/>
          </w:tcPr>
          <w:p w14:paraId="74DB4C8C" w14:textId="77777777" w:rsidR="00156B48"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156B48" w14:paraId="223CCC94" w14:textId="77777777" w:rsidTr="001A2F55">
        <w:trPr>
          <w:trHeight w:val="300"/>
          <w:jc w:val="center"/>
        </w:trPr>
        <w:tc>
          <w:tcPr>
            <w:tcW w:w="6756" w:type="dxa"/>
            <w:vMerge w:val="restart"/>
            <w:shd w:val="clear" w:color="auto" w:fill="auto"/>
            <w:noWrap/>
            <w:vAlign w:val="center"/>
          </w:tcPr>
          <w:p w14:paraId="5BAA4CF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F575C6C"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5817A0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332E30B"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82BD8ED" w14:textId="77777777" w:rsidTr="001A2F55">
        <w:trPr>
          <w:trHeight w:val="300"/>
          <w:jc w:val="center"/>
        </w:trPr>
        <w:tc>
          <w:tcPr>
            <w:tcW w:w="6756" w:type="dxa"/>
            <w:vMerge/>
            <w:shd w:val="clear" w:color="auto" w:fill="auto"/>
            <w:noWrap/>
            <w:vAlign w:val="center"/>
          </w:tcPr>
          <w:p w14:paraId="6F3A39E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27CBAC08"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1.22</w:t>
            </w:r>
          </w:p>
        </w:tc>
        <w:tc>
          <w:tcPr>
            <w:tcW w:w="865" w:type="dxa"/>
            <w:shd w:val="clear" w:color="auto" w:fill="auto"/>
            <w:noWrap/>
            <w:vAlign w:val="center"/>
          </w:tcPr>
          <w:p w14:paraId="4B937E68"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4, 118.04</w:t>
            </w:r>
          </w:p>
        </w:tc>
        <w:tc>
          <w:tcPr>
            <w:tcW w:w="642" w:type="dxa"/>
            <w:shd w:val="clear" w:color="auto" w:fill="auto"/>
            <w:noWrap/>
            <w:vAlign w:val="center"/>
          </w:tcPr>
          <w:p w14:paraId="74652AE7"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0.31</w:t>
            </w:r>
          </w:p>
        </w:tc>
      </w:tr>
    </w:tbl>
    <w:p w14:paraId="04CA725A" w14:textId="77777777" w:rsidR="008843FD" w:rsidRDefault="008843FD">
      <w:pPr>
        <w:rPr>
          <w:rFonts w:ascii="Times New Roman" w:hAnsi="Times New Roman" w:cs="Times New Roman"/>
          <w:b/>
          <w:sz w:val="24"/>
          <w:szCs w:val="24"/>
          <w:lang w:val="en-US"/>
        </w:rPr>
      </w:pPr>
    </w:p>
    <w:p w14:paraId="19B97704" w14:textId="77777777" w:rsidR="00B44E34" w:rsidRDefault="00B44E3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5D9CBF6" w14:textId="563065AD"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5h. Copper.</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50"/>
        <w:gridCol w:w="1438"/>
        <w:gridCol w:w="1453"/>
        <w:gridCol w:w="754"/>
        <w:gridCol w:w="765"/>
        <w:gridCol w:w="742"/>
      </w:tblGrid>
      <w:tr w:rsidR="008843FD" w:rsidRPr="006D0FD5" w14:paraId="4247FE0A" w14:textId="77777777" w:rsidTr="00156B48">
        <w:trPr>
          <w:trHeight w:val="300"/>
          <w:jc w:val="center"/>
        </w:trPr>
        <w:tc>
          <w:tcPr>
            <w:tcW w:w="9017" w:type="dxa"/>
            <w:gridSpan w:val="8"/>
            <w:shd w:val="clear" w:color="auto" w:fill="auto"/>
            <w:noWrap/>
            <w:vAlign w:val="center"/>
          </w:tcPr>
          <w:p w14:paraId="7DC67A1F" w14:textId="1027E9BA"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25C09033" w14:textId="77777777" w:rsidTr="001A2F55">
        <w:trPr>
          <w:trHeight w:val="300"/>
          <w:jc w:val="center"/>
        </w:trPr>
        <w:tc>
          <w:tcPr>
            <w:tcW w:w="6756" w:type="dxa"/>
            <w:gridSpan w:val="5"/>
            <w:vMerge w:val="restart"/>
            <w:shd w:val="clear" w:color="auto" w:fill="auto"/>
            <w:noWrap/>
            <w:vAlign w:val="center"/>
          </w:tcPr>
          <w:p w14:paraId="504F170F"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534682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468C618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12857AB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F352F64" w14:textId="77777777" w:rsidTr="001A2F55">
        <w:trPr>
          <w:trHeight w:val="300"/>
          <w:jc w:val="center"/>
        </w:trPr>
        <w:tc>
          <w:tcPr>
            <w:tcW w:w="6756" w:type="dxa"/>
            <w:gridSpan w:val="5"/>
            <w:vMerge/>
            <w:shd w:val="clear" w:color="auto" w:fill="auto"/>
            <w:noWrap/>
            <w:vAlign w:val="center"/>
          </w:tcPr>
          <w:p w14:paraId="6F16EBB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D5DA7DE" w14:textId="1FDC5234"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2.29</w:t>
            </w:r>
          </w:p>
        </w:tc>
        <w:tc>
          <w:tcPr>
            <w:tcW w:w="765" w:type="dxa"/>
            <w:shd w:val="clear" w:color="auto" w:fill="auto"/>
            <w:noWrap/>
            <w:vAlign w:val="center"/>
          </w:tcPr>
          <w:p w14:paraId="5EF3D469" w14:textId="0EA272D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4, 270</w:t>
            </w:r>
          </w:p>
        </w:tc>
        <w:tc>
          <w:tcPr>
            <w:tcW w:w="742" w:type="dxa"/>
            <w:shd w:val="clear" w:color="auto" w:fill="auto"/>
            <w:noWrap/>
            <w:vAlign w:val="center"/>
          </w:tcPr>
          <w:p w14:paraId="4B2896FC" w14:textId="09F9A90B"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color w:val="000000"/>
                <w:sz w:val="16"/>
                <w:szCs w:val="16"/>
                <w:lang w:eastAsia="de-DE"/>
              </w:rPr>
              <w:t>0.060</w:t>
            </w:r>
          </w:p>
        </w:tc>
      </w:tr>
      <w:tr w:rsidR="00156B48" w:rsidRPr="006D0FD5" w14:paraId="6A3D7265" w14:textId="77777777" w:rsidTr="00156B48">
        <w:trPr>
          <w:trHeight w:val="300"/>
          <w:jc w:val="center"/>
        </w:trPr>
        <w:tc>
          <w:tcPr>
            <w:tcW w:w="9017" w:type="dxa"/>
            <w:gridSpan w:val="8"/>
            <w:shd w:val="clear" w:color="auto" w:fill="auto"/>
            <w:noWrap/>
            <w:vAlign w:val="center"/>
          </w:tcPr>
          <w:p w14:paraId="481F0CDE" w14:textId="347B626A" w:rsidR="00156B48"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analysis of variance </w:t>
            </w:r>
            <w:r>
              <w:rPr>
                <w:rFonts w:ascii="Times New Roman" w:eastAsia="Times New Roman" w:hAnsi="Times New Roman" w:cs="Times New Roman"/>
                <w:b/>
                <w:i/>
                <w:color w:val="000000"/>
                <w:sz w:val="16"/>
                <w:szCs w:val="16"/>
                <w:lang w:val="en-US" w:eastAsia="de-DE"/>
              </w:rPr>
              <w:t>assuming equal variance</w:t>
            </w:r>
          </w:p>
        </w:tc>
      </w:tr>
      <w:tr w:rsidR="007B33CE" w:rsidRPr="00156B48" w14:paraId="6442185D" w14:textId="77777777" w:rsidTr="001A2F55">
        <w:trPr>
          <w:trHeight w:val="300"/>
          <w:jc w:val="center"/>
        </w:trPr>
        <w:tc>
          <w:tcPr>
            <w:tcW w:w="6756" w:type="dxa"/>
            <w:gridSpan w:val="5"/>
            <w:vMerge w:val="restart"/>
            <w:shd w:val="clear" w:color="auto" w:fill="auto"/>
            <w:noWrap/>
            <w:vAlign w:val="center"/>
          </w:tcPr>
          <w:p w14:paraId="510BECD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1897DC5"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22AAD8F7"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0F5252E0"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35B243E" w14:textId="77777777" w:rsidTr="001A2F55">
        <w:trPr>
          <w:trHeight w:val="300"/>
          <w:jc w:val="center"/>
        </w:trPr>
        <w:tc>
          <w:tcPr>
            <w:tcW w:w="6756" w:type="dxa"/>
            <w:gridSpan w:val="5"/>
            <w:vMerge/>
            <w:shd w:val="clear" w:color="auto" w:fill="auto"/>
            <w:noWrap/>
            <w:vAlign w:val="center"/>
          </w:tcPr>
          <w:p w14:paraId="0E52FE1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0EAAEE5"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color w:val="000000"/>
                <w:sz w:val="16"/>
                <w:szCs w:val="16"/>
                <w:lang w:eastAsia="de-DE"/>
              </w:rPr>
              <w:t>5.91</w:t>
            </w:r>
          </w:p>
        </w:tc>
        <w:tc>
          <w:tcPr>
            <w:tcW w:w="765" w:type="dxa"/>
            <w:shd w:val="clear" w:color="auto" w:fill="auto"/>
            <w:noWrap/>
            <w:vAlign w:val="center"/>
          </w:tcPr>
          <w:p w14:paraId="6644484D"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color w:val="000000"/>
                <w:sz w:val="16"/>
                <w:szCs w:val="16"/>
                <w:lang w:eastAsia="de-DE"/>
              </w:rPr>
              <w:t>4, 270</w:t>
            </w:r>
          </w:p>
        </w:tc>
        <w:tc>
          <w:tcPr>
            <w:tcW w:w="742" w:type="dxa"/>
            <w:shd w:val="clear" w:color="auto" w:fill="auto"/>
            <w:noWrap/>
            <w:vAlign w:val="center"/>
          </w:tcPr>
          <w:p w14:paraId="6496AC41" w14:textId="77777777"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val="en-US" w:eastAsia="de-DE"/>
              </w:rPr>
            </w:pPr>
            <w:r w:rsidRPr="00AE4805">
              <w:rPr>
                <w:rFonts w:ascii="Times New Roman" w:eastAsia="Times New Roman" w:hAnsi="Times New Roman" w:cs="Times New Roman"/>
                <w:b/>
                <w:color w:val="000000"/>
                <w:sz w:val="16"/>
                <w:szCs w:val="16"/>
                <w:lang w:eastAsia="de-DE"/>
              </w:rPr>
              <w:t>0.00014</w:t>
            </w:r>
          </w:p>
        </w:tc>
      </w:tr>
      <w:tr w:rsidR="008843FD" w:rsidRPr="006D0FD5" w14:paraId="3D0C957D" w14:textId="77777777" w:rsidTr="00156B48">
        <w:trPr>
          <w:trHeight w:val="300"/>
          <w:jc w:val="center"/>
        </w:trPr>
        <w:tc>
          <w:tcPr>
            <w:tcW w:w="9017" w:type="dxa"/>
            <w:gridSpan w:val="8"/>
            <w:shd w:val="clear" w:color="auto" w:fill="auto"/>
            <w:noWrap/>
            <w:vAlign w:val="center"/>
          </w:tcPr>
          <w:p w14:paraId="6667F41B" w14:textId="6B68AB1D"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w:t>
            </w:r>
            <w:r w:rsidR="00411B7C" w:rsidRPr="00156B48">
              <w:rPr>
                <w:rFonts w:ascii="Times New Roman" w:eastAsia="Times New Roman" w:hAnsi="Times New Roman" w:cs="Times New Roman"/>
                <w:b/>
                <w:i/>
                <w:color w:val="000000"/>
                <w:sz w:val="16"/>
                <w:szCs w:val="16"/>
                <w:lang w:val="en-US" w:eastAsia="de-DE"/>
              </w:rPr>
              <w:t>analysis of variance</w:t>
            </w:r>
            <w:r w:rsidRPr="00156B48">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156B48" w14:paraId="1B88B7E3" w14:textId="77777777" w:rsidTr="001A2F55">
        <w:trPr>
          <w:trHeight w:val="300"/>
          <w:jc w:val="center"/>
        </w:trPr>
        <w:tc>
          <w:tcPr>
            <w:tcW w:w="6756" w:type="dxa"/>
            <w:gridSpan w:val="5"/>
            <w:vMerge w:val="restart"/>
            <w:shd w:val="clear" w:color="auto" w:fill="auto"/>
            <w:noWrap/>
            <w:vAlign w:val="center"/>
          </w:tcPr>
          <w:p w14:paraId="7AFE96E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3EFF1DD"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771E6BF2"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652019C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479C4F53" w14:textId="77777777" w:rsidTr="001A2F55">
        <w:trPr>
          <w:trHeight w:val="300"/>
          <w:jc w:val="center"/>
        </w:trPr>
        <w:tc>
          <w:tcPr>
            <w:tcW w:w="6756" w:type="dxa"/>
            <w:gridSpan w:val="5"/>
            <w:vMerge/>
            <w:shd w:val="clear" w:color="auto" w:fill="auto"/>
            <w:noWrap/>
            <w:vAlign w:val="center"/>
          </w:tcPr>
          <w:p w14:paraId="46BF88AE"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CEB61CA" w14:textId="6489DE0B"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5.12</w:t>
            </w:r>
          </w:p>
        </w:tc>
        <w:tc>
          <w:tcPr>
            <w:tcW w:w="765" w:type="dxa"/>
            <w:shd w:val="clear" w:color="auto" w:fill="auto"/>
            <w:noWrap/>
            <w:vAlign w:val="center"/>
          </w:tcPr>
          <w:p w14:paraId="2D134F69" w14:textId="23E789E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4, 116.65</w:t>
            </w:r>
          </w:p>
        </w:tc>
        <w:tc>
          <w:tcPr>
            <w:tcW w:w="742" w:type="dxa"/>
            <w:shd w:val="clear" w:color="auto" w:fill="auto"/>
            <w:noWrap/>
            <w:vAlign w:val="center"/>
          </w:tcPr>
          <w:p w14:paraId="58DA3E7E" w14:textId="0BB256D0"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color w:val="000000"/>
                <w:sz w:val="16"/>
                <w:szCs w:val="16"/>
                <w:lang w:eastAsia="de-DE"/>
              </w:rPr>
              <w:t>0.00077</w:t>
            </w:r>
          </w:p>
        </w:tc>
      </w:tr>
      <w:tr w:rsidR="008843FD" w:rsidRPr="006D0FD5" w14:paraId="456DAC22" w14:textId="77777777" w:rsidTr="00156B48">
        <w:trPr>
          <w:trHeight w:val="300"/>
          <w:jc w:val="center"/>
        </w:trPr>
        <w:tc>
          <w:tcPr>
            <w:tcW w:w="9017" w:type="dxa"/>
            <w:gridSpan w:val="8"/>
            <w:shd w:val="clear" w:color="auto" w:fill="auto"/>
            <w:noWrap/>
            <w:vAlign w:val="center"/>
          </w:tcPr>
          <w:p w14:paraId="529BFE0A"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Games-Howell post-hoc tests for group differences</w:t>
            </w:r>
          </w:p>
        </w:tc>
      </w:tr>
      <w:tr w:rsidR="008843FD" w:rsidRPr="00156B48" w14:paraId="05CE09C1" w14:textId="77777777" w:rsidTr="0060107F">
        <w:trPr>
          <w:trHeight w:val="300"/>
          <w:jc w:val="center"/>
        </w:trPr>
        <w:tc>
          <w:tcPr>
            <w:tcW w:w="1075" w:type="dxa"/>
            <w:shd w:val="clear" w:color="auto" w:fill="auto"/>
            <w:noWrap/>
            <w:vAlign w:val="center"/>
            <w:hideMark/>
          </w:tcPr>
          <w:p w14:paraId="1B7180C6" w14:textId="77777777" w:rsidR="008843FD" w:rsidRPr="0060107F" w:rsidRDefault="008843FD"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6C65FF66" w14:textId="7A1E18F0" w:rsidR="008843FD" w:rsidRPr="0060107F" w:rsidRDefault="0060107F" w:rsidP="00156B48">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350" w:type="dxa"/>
            <w:vAlign w:val="center"/>
          </w:tcPr>
          <w:p w14:paraId="2003D33C" w14:textId="4571979B" w:rsidR="008843FD" w:rsidRPr="0060107F" w:rsidRDefault="00B62EEE"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Lowe</w:t>
            </w:r>
            <w:r w:rsidR="008843FD" w:rsidRPr="0060107F">
              <w:rPr>
                <w:rFonts w:ascii="Times New Roman" w:eastAsia="Times New Roman" w:hAnsi="Times New Roman" w:cs="Times New Roman"/>
                <w:b/>
                <w:color w:val="000000"/>
                <w:sz w:val="16"/>
                <w:szCs w:val="16"/>
                <w:lang w:eastAsia="de-DE"/>
              </w:rPr>
              <w:t>r 95% CI</w:t>
            </w:r>
          </w:p>
        </w:tc>
        <w:tc>
          <w:tcPr>
            <w:tcW w:w="1438" w:type="dxa"/>
            <w:vAlign w:val="center"/>
          </w:tcPr>
          <w:p w14:paraId="4DCB5CEB" w14:textId="52DDEB29" w:rsidR="008843FD" w:rsidRPr="0060107F" w:rsidRDefault="00B62EEE"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Upp</w:t>
            </w:r>
            <w:r w:rsidR="008843FD" w:rsidRPr="0060107F">
              <w:rPr>
                <w:rFonts w:ascii="Times New Roman" w:eastAsia="Times New Roman" w:hAnsi="Times New Roman" w:cs="Times New Roman"/>
                <w:b/>
                <w:color w:val="000000"/>
                <w:sz w:val="16"/>
                <w:szCs w:val="16"/>
                <w:lang w:eastAsia="de-DE"/>
              </w:rPr>
              <w:t>er 95% CI</w:t>
            </w:r>
          </w:p>
        </w:tc>
        <w:tc>
          <w:tcPr>
            <w:tcW w:w="1453" w:type="dxa"/>
            <w:shd w:val="clear" w:color="auto" w:fill="auto"/>
            <w:noWrap/>
            <w:vAlign w:val="center"/>
            <w:hideMark/>
          </w:tcPr>
          <w:p w14:paraId="0DB87F16" w14:textId="77777777" w:rsidR="008843FD" w:rsidRPr="0060107F" w:rsidRDefault="008843FD"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79F02F0D"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t</w:t>
            </w:r>
          </w:p>
        </w:tc>
        <w:tc>
          <w:tcPr>
            <w:tcW w:w="765" w:type="dxa"/>
            <w:shd w:val="clear" w:color="auto" w:fill="auto"/>
            <w:noWrap/>
            <w:vAlign w:val="center"/>
            <w:hideMark/>
          </w:tcPr>
          <w:p w14:paraId="0E4A118B"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hideMark/>
          </w:tcPr>
          <w:p w14:paraId="4A8FB2E0"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E568CD" w:rsidRPr="00156B48" w14:paraId="039A03BE" w14:textId="77777777" w:rsidTr="0060107F">
        <w:trPr>
          <w:trHeight w:val="300"/>
          <w:jc w:val="center"/>
        </w:trPr>
        <w:tc>
          <w:tcPr>
            <w:tcW w:w="1075" w:type="dxa"/>
            <w:shd w:val="clear" w:color="auto" w:fill="auto"/>
            <w:noWrap/>
            <w:vAlign w:val="center"/>
            <w:hideMark/>
          </w:tcPr>
          <w:p w14:paraId="4C58E470"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094086CA" w14:textId="307322E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3.50</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0B7FAEA8" w14:textId="67A930E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-0.00166</w:t>
            </w:r>
          </w:p>
        </w:tc>
        <w:tc>
          <w:tcPr>
            <w:tcW w:w="1438" w:type="dxa"/>
            <w:vAlign w:val="center"/>
          </w:tcPr>
          <w:p w14:paraId="3C5C0A25" w14:textId="6F48EBA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0.00236</w:t>
            </w:r>
          </w:p>
        </w:tc>
        <w:tc>
          <w:tcPr>
            <w:tcW w:w="1453" w:type="dxa"/>
            <w:shd w:val="clear" w:color="auto" w:fill="auto"/>
            <w:noWrap/>
            <w:vAlign w:val="center"/>
          </w:tcPr>
          <w:p w14:paraId="31FE003D" w14:textId="5EE64C9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5.03</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785BF2FB" w14:textId="77CBEC5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0.49</w:t>
            </w:r>
          </w:p>
        </w:tc>
        <w:tc>
          <w:tcPr>
            <w:tcW w:w="765" w:type="dxa"/>
            <w:shd w:val="clear" w:color="auto" w:fill="auto"/>
            <w:noWrap/>
            <w:vAlign w:val="center"/>
          </w:tcPr>
          <w:p w14:paraId="7A858AAE" w14:textId="7BA3337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51.4</w:t>
            </w:r>
            <w:r w:rsidR="000C098B">
              <w:rPr>
                <w:rFonts w:ascii="Times New Roman" w:hAnsi="Times New Roman" w:cs="Times New Roman"/>
                <w:color w:val="000000"/>
                <w:sz w:val="16"/>
                <w:szCs w:val="16"/>
              </w:rPr>
              <w:t>4</w:t>
            </w:r>
          </w:p>
        </w:tc>
        <w:tc>
          <w:tcPr>
            <w:tcW w:w="742" w:type="dxa"/>
            <w:shd w:val="clear" w:color="auto" w:fill="auto"/>
            <w:noWrap/>
            <w:vAlign w:val="center"/>
          </w:tcPr>
          <w:p w14:paraId="70262D05" w14:textId="3724476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w:t>
            </w:r>
            <w:r w:rsidR="000C098B">
              <w:rPr>
                <w:rFonts w:ascii="Times New Roman" w:hAnsi="Times New Roman" w:cs="Times New Roman"/>
                <w:color w:val="000000"/>
                <w:sz w:val="16"/>
                <w:szCs w:val="16"/>
              </w:rPr>
              <w:t>9</w:t>
            </w:r>
          </w:p>
        </w:tc>
      </w:tr>
      <w:tr w:rsidR="00E568CD" w:rsidRPr="00156B48" w14:paraId="33B772C5" w14:textId="77777777" w:rsidTr="0060107F">
        <w:trPr>
          <w:trHeight w:val="300"/>
          <w:jc w:val="center"/>
        </w:trPr>
        <w:tc>
          <w:tcPr>
            <w:tcW w:w="1075" w:type="dxa"/>
            <w:shd w:val="clear" w:color="auto" w:fill="auto"/>
            <w:noWrap/>
            <w:vAlign w:val="center"/>
            <w:hideMark/>
          </w:tcPr>
          <w:p w14:paraId="468E4B4B"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5BEB49B8" w14:textId="4BED90D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6.16</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6C781100" w14:textId="400AED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-0.00124</w:t>
            </w:r>
          </w:p>
        </w:tc>
        <w:tc>
          <w:tcPr>
            <w:tcW w:w="1438" w:type="dxa"/>
            <w:vAlign w:val="center"/>
          </w:tcPr>
          <w:p w14:paraId="55312230" w14:textId="1720D0D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0.0024</w:t>
            </w:r>
            <w:r w:rsidR="00492CE7">
              <w:rPr>
                <w:rFonts w:ascii="Times New Roman" w:hAnsi="Times New Roman" w:cs="Times New Roman"/>
                <w:color w:val="000000"/>
                <w:sz w:val="16"/>
                <w:szCs w:val="16"/>
              </w:rPr>
              <w:t>8</w:t>
            </w:r>
          </w:p>
        </w:tc>
        <w:tc>
          <w:tcPr>
            <w:tcW w:w="1453" w:type="dxa"/>
            <w:shd w:val="clear" w:color="auto" w:fill="auto"/>
            <w:noWrap/>
            <w:vAlign w:val="center"/>
          </w:tcPr>
          <w:p w14:paraId="58F96892" w14:textId="4A1716D2"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4.70</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732DA0C6" w14:textId="4DEC3F6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w:t>
            </w:r>
            <w:r w:rsidR="000C098B">
              <w:rPr>
                <w:rFonts w:ascii="Times New Roman" w:hAnsi="Times New Roman" w:cs="Times New Roman"/>
                <w:color w:val="000000"/>
                <w:sz w:val="16"/>
                <w:szCs w:val="16"/>
              </w:rPr>
              <w:t>3</w:t>
            </w:r>
          </w:p>
        </w:tc>
        <w:tc>
          <w:tcPr>
            <w:tcW w:w="765" w:type="dxa"/>
            <w:shd w:val="clear" w:color="auto" w:fill="auto"/>
            <w:noWrap/>
            <w:vAlign w:val="center"/>
          </w:tcPr>
          <w:p w14:paraId="387DAFCF" w14:textId="25C54A5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71.</w:t>
            </w:r>
            <w:r w:rsidR="000C098B">
              <w:rPr>
                <w:rFonts w:ascii="Times New Roman" w:hAnsi="Times New Roman" w:cs="Times New Roman"/>
                <w:color w:val="000000"/>
                <w:sz w:val="16"/>
                <w:szCs w:val="16"/>
              </w:rPr>
              <w:t>60</w:t>
            </w:r>
          </w:p>
        </w:tc>
        <w:tc>
          <w:tcPr>
            <w:tcW w:w="742" w:type="dxa"/>
            <w:shd w:val="clear" w:color="auto" w:fill="auto"/>
            <w:noWrap/>
            <w:vAlign w:val="center"/>
          </w:tcPr>
          <w:p w14:paraId="48CE76FC" w14:textId="531A125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0.8</w:t>
            </w:r>
            <w:r w:rsidR="000C098B">
              <w:rPr>
                <w:rFonts w:ascii="Times New Roman" w:hAnsi="Times New Roman" w:cs="Times New Roman"/>
                <w:color w:val="000000"/>
                <w:sz w:val="16"/>
                <w:szCs w:val="16"/>
              </w:rPr>
              <w:t>9</w:t>
            </w:r>
          </w:p>
        </w:tc>
      </w:tr>
      <w:tr w:rsidR="00E568CD" w:rsidRPr="00156B48" w14:paraId="034960A1" w14:textId="77777777" w:rsidTr="0060107F">
        <w:trPr>
          <w:trHeight w:val="300"/>
          <w:jc w:val="center"/>
        </w:trPr>
        <w:tc>
          <w:tcPr>
            <w:tcW w:w="1075" w:type="dxa"/>
            <w:shd w:val="clear" w:color="auto" w:fill="auto"/>
            <w:noWrap/>
            <w:vAlign w:val="center"/>
            <w:hideMark/>
          </w:tcPr>
          <w:p w14:paraId="1FBAC583"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5B37F32D" w14:textId="35747955"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2.30</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w:t>
            </w:r>
            <w:r w:rsidR="00156B48">
              <w:rPr>
                <w:rFonts w:ascii="Times New Roman" w:hAnsi="Times New Roman" w:cs="Times New Roman"/>
                <w:color w:val="000000"/>
                <w:sz w:val="16"/>
                <w:szCs w:val="16"/>
                <w:vertAlign w:val="superscript"/>
              </w:rPr>
              <w:t>5</w:t>
            </w:r>
          </w:p>
        </w:tc>
        <w:tc>
          <w:tcPr>
            <w:tcW w:w="1350" w:type="dxa"/>
            <w:vAlign w:val="center"/>
          </w:tcPr>
          <w:p w14:paraId="0C78F538" w14:textId="767B7B6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-0.00179</w:t>
            </w:r>
          </w:p>
        </w:tc>
        <w:tc>
          <w:tcPr>
            <w:tcW w:w="1438" w:type="dxa"/>
            <w:vAlign w:val="center"/>
          </w:tcPr>
          <w:p w14:paraId="17642017" w14:textId="60F84F5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0.00183</w:t>
            </w:r>
          </w:p>
        </w:tc>
        <w:tc>
          <w:tcPr>
            <w:tcW w:w="1453" w:type="dxa"/>
            <w:shd w:val="clear" w:color="auto" w:fill="auto"/>
            <w:noWrap/>
            <w:vAlign w:val="center"/>
          </w:tcPr>
          <w:p w14:paraId="772FD56A" w14:textId="5A5CE37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4.58</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011B3328" w14:textId="723DA5B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0.03</w:t>
            </w:r>
            <w:r w:rsidR="000C098B">
              <w:rPr>
                <w:rFonts w:ascii="Times New Roman" w:hAnsi="Times New Roman" w:cs="Times New Roman"/>
                <w:color w:val="000000"/>
                <w:sz w:val="16"/>
                <w:szCs w:val="16"/>
              </w:rPr>
              <w:t>6</w:t>
            </w:r>
          </w:p>
        </w:tc>
        <w:tc>
          <w:tcPr>
            <w:tcW w:w="765" w:type="dxa"/>
            <w:shd w:val="clear" w:color="auto" w:fill="auto"/>
            <w:noWrap/>
            <w:vAlign w:val="center"/>
          </w:tcPr>
          <w:p w14:paraId="0B862B86" w14:textId="3A6E5BD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71.70</w:t>
            </w:r>
          </w:p>
        </w:tc>
        <w:tc>
          <w:tcPr>
            <w:tcW w:w="742" w:type="dxa"/>
            <w:shd w:val="clear" w:color="auto" w:fill="auto"/>
            <w:noWrap/>
            <w:vAlign w:val="center"/>
          </w:tcPr>
          <w:p w14:paraId="35406AAE" w14:textId="0F31C1C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w:t>
            </w:r>
            <w:r w:rsidR="000C098B">
              <w:rPr>
                <w:rFonts w:ascii="Times New Roman" w:hAnsi="Times New Roman" w:cs="Times New Roman"/>
                <w:color w:val="000000"/>
                <w:sz w:val="16"/>
                <w:szCs w:val="16"/>
              </w:rPr>
              <w:t>.00</w:t>
            </w:r>
          </w:p>
        </w:tc>
      </w:tr>
      <w:tr w:rsidR="00E568CD" w:rsidRPr="00156B48" w14:paraId="0B3DFBB5" w14:textId="77777777" w:rsidTr="0060107F">
        <w:trPr>
          <w:trHeight w:val="300"/>
          <w:jc w:val="center"/>
        </w:trPr>
        <w:tc>
          <w:tcPr>
            <w:tcW w:w="1075" w:type="dxa"/>
            <w:shd w:val="clear" w:color="auto" w:fill="auto"/>
            <w:noWrap/>
            <w:vAlign w:val="center"/>
            <w:hideMark/>
          </w:tcPr>
          <w:p w14:paraId="310CC04A"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5139B721" w14:textId="02692FC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-0.0022</w:t>
            </w:r>
            <w:r w:rsidR="00492CE7">
              <w:rPr>
                <w:rFonts w:ascii="Times New Roman" w:hAnsi="Times New Roman" w:cs="Times New Roman"/>
                <w:color w:val="000000"/>
                <w:sz w:val="16"/>
                <w:szCs w:val="16"/>
              </w:rPr>
              <w:t>0</w:t>
            </w:r>
          </w:p>
        </w:tc>
        <w:tc>
          <w:tcPr>
            <w:tcW w:w="1350" w:type="dxa"/>
            <w:vAlign w:val="center"/>
          </w:tcPr>
          <w:p w14:paraId="2E3356D3" w14:textId="4C98EE2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-0.00375</w:t>
            </w:r>
          </w:p>
        </w:tc>
        <w:tc>
          <w:tcPr>
            <w:tcW w:w="1438" w:type="dxa"/>
            <w:vAlign w:val="center"/>
          </w:tcPr>
          <w:p w14:paraId="0296B91E" w14:textId="53F3911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-6.54</w:t>
            </w:r>
            <w:r w:rsidR="00AE4805">
              <w:rPr>
                <w:rFonts w:ascii="Times New Roman" w:hAnsi="Times New Roman" w:cs="Times New Roman"/>
                <w:color w:val="000000"/>
                <w:sz w:val="16"/>
                <w:szCs w:val="16"/>
              </w:rPr>
              <w:t xml:space="preserve"> x 10</w:t>
            </w:r>
            <w:r w:rsidR="00AE4805"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6B486CEB" w14:textId="1BCD6E15"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3.95</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548755FA" w14:textId="72C4BE5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3.94</w:t>
            </w:r>
          </w:p>
        </w:tc>
        <w:tc>
          <w:tcPr>
            <w:tcW w:w="765" w:type="dxa"/>
            <w:shd w:val="clear" w:color="auto" w:fill="auto"/>
            <w:noWrap/>
            <w:vAlign w:val="center"/>
          </w:tcPr>
          <w:p w14:paraId="66FA4A3C" w14:textId="5A0FEC31"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117.18</w:t>
            </w:r>
          </w:p>
        </w:tc>
        <w:tc>
          <w:tcPr>
            <w:tcW w:w="742" w:type="dxa"/>
            <w:shd w:val="clear" w:color="auto" w:fill="auto"/>
            <w:noWrap/>
            <w:vAlign w:val="center"/>
          </w:tcPr>
          <w:p w14:paraId="2AFEC7A6" w14:textId="01B41C2A"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0.001</w:t>
            </w:r>
            <w:r w:rsidR="000C098B" w:rsidRPr="00AE4805">
              <w:rPr>
                <w:rFonts w:ascii="Times New Roman" w:hAnsi="Times New Roman" w:cs="Times New Roman"/>
                <w:b/>
                <w:color w:val="000000"/>
                <w:sz w:val="16"/>
                <w:szCs w:val="16"/>
              </w:rPr>
              <w:t>3</w:t>
            </w:r>
          </w:p>
        </w:tc>
      </w:tr>
      <w:tr w:rsidR="00E568CD" w:rsidRPr="00156B48" w14:paraId="299D2BEB" w14:textId="77777777" w:rsidTr="0060107F">
        <w:trPr>
          <w:trHeight w:val="300"/>
          <w:jc w:val="center"/>
        </w:trPr>
        <w:tc>
          <w:tcPr>
            <w:tcW w:w="1075" w:type="dxa"/>
            <w:shd w:val="clear" w:color="auto" w:fill="auto"/>
            <w:noWrap/>
            <w:vAlign w:val="center"/>
            <w:hideMark/>
          </w:tcPr>
          <w:p w14:paraId="63EDFE68"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3C45C9B4" w14:textId="51DE1AB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-2.66</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5C57C3C6" w14:textId="2B3357E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-0.00272</w:t>
            </w:r>
          </w:p>
        </w:tc>
        <w:tc>
          <w:tcPr>
            <w:tcW w:w="1438" w:type="dxa"/>
            <w:vAlign w:val="center"/>
          </w:tcPr>
          <w:p w14:paraId="2DFE646A" w14:textId="198235E1"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0.0021</w:t>
            </w:r>
            <w:r w:rsidR="00492CE7">
              <w:rPr>
                <w:rFonts w:ascii="Times New Roman" w:hAnsi="Times New Roman" w:cs="Times New Roman"/>
                <w:color w:val="000000"/>
                <w:sz w:val="16"/>
                <w:szCs w:val="16"/>
              </w:rPr>
              <w:t>9</w:t>
            </w:r>
          </w:p>
        </w:tc>
        <w:tc>
          <w:tcPr>
            <w:tcW w:w="1453" w:type="dxa"/>
            <w:shd w:val="clear" w:color="auto" w:fill="auto"/>
            <w:noWrap/>
            <w:vAlign w:val="center"/>
          </w:tcPr>
          <w:p w14:paraId="135EF60D" w14:textId="480C8F4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6.22</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3D120566" w14:textId="2F8F73E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0.30</w:t>
            </w:r>
          </w:p>
        </w:tc>
        <w:tc>
          <w:tcPr>
            <w:tcW w:w="765" w:type="dxa"/>
            <w:shd w:val="clear" w:color="auto" w:fill="auto"/>
            <w:noWrap/>
            <w:vAlign w:val="center"/>
          </w:tcPr>
          <w:p w14:paraId="7765E820" w14:textId="1737142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79.8</w:t>
            </w:r>
            <w:r w:rsidR="000C098B">
              <w:rPr>
                <w:rFonts w:ascii="Times New Roman" w:hAnsi="Times New Roman" w:cs="Times New Roman"/>
                <w:color w:val="000000"/>
                <w:sz w:val="16"/>
                <w:szCs w:val="16"/>
              </w:rPr>
              <w:t>2</w:t>
            </w:r>
          </w:p>
        </w:tc>
        <w:tc>
          <w:tcPr>
            <w:tcW w:w="742" w:type="dxa"/>
            <w:shd w:val="clear" w:color="auto" w:fill="auto"/>
            <w:noWrap/>
            <w:vAlign w:val="center"/>
          </w:tcPr>
          <w:p w14:paraId="1B871E2C" w14:textId="694AC96D" w:rsidR="00E568CD" w:rsidRPr="00156B48" w:rsidRDefault="000C098B" w:rsidP="00156B48">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E568CD" w:rsidRPr="00156B48" w14:paraId="648CDA00" w14:textId="77777777" w:rsidTr="0060107F">
        <w:trPr>
          <w:trHeight w:val="300"/>
          <w:jc w:val="center"/>
        </w:trPr>
        <w:tc>
          <w:tcPr>
            <w:tcW w:w="1075" w:type="dxa"/>
            <w:shd w:val="clear" w:color="auto" w:fill="auto"/>
            <w:noWrap/>
            <w:vAlign w:val="center"/>
            <w:hideMark/>
          </w:tcPr>
          <w:p w14:paraId="0DAA971D"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6473E49C" w14:textId="51707C5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-5.93</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4D1633E6" w14:textId="61B5F0C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-0.0029</w:t>
            </w:r>
          </w:p>
        </w:tc>
        <w:tc>
          <w:tcPr>
            <w:tcW w:w="1438" w:type="dxa"/>
            <w:vAlign w:val="center"/>
          </w:tcPr>
          <w:p w14:paraId="67D1E8BA" w14:textId="1860D5F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0.00171</w:t>
            </w:r>
          </w:p>
        </w:tc>
        <w:tc>
          <w:tcPr>
            <w:tcW w:w="1453" w:type="dxa"/>
            <w:shd w:val="clear" w:color="auto" w:fill="auto"/>
            <w:noWrap/>
            <w:vAlign w:val="center"/>
          </w:tcPr>
          <w:p w14:paraId="7ADA102B" w14:textId="2706622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5.86</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1AAB3157" w14:textId="43C401B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0.7</w:t>
            </w:r>
            <w:r w:rsidR="000C098B">
              <w:rPr>
                <w:rFonts w:ascii="Times New Roman" w:hAnsi="Times New Roman" w:cs="Times New Roman"/>
                <w:color w:val="000000"/>
                <w:sz w:val="16"/>
                <w:szCs w:val="16"/>
              </w:rPr>
              <w:t>2</w:t>
            </w:r>
          </w:p>
        </w:tc>
        <w:tc>
          <w:tcPr>
            <w:tcW w:w="765" w:type="dxa"/>
            <w:shd w:val="clear" w:color="auto" w:fill="auto"/>
            <w:noWrap/>
            <w:vAlign w:val="center"/>
          </w:tcPr>
          <w:p w14:paraId="3490A9DA" w14:textId="27611662"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94.9</w:t>
            </w:r>
            <w:r w:rsidR="000C098B">
              <w:rPr>
                <w:rFonts w:ascii="Times New Roman" w:hAnsi="Times New Roman" w:cs="Times New Roman"/>
                <w:color w:val="000000"/>
                <w:sz w:val="16"/>
                <w:szCs w:val="16"/>
              </w:rPr>
              <w:t>5</w:t>
            </w:r>
          </w:p>
        </w:tc>
        <w:tc>
          <w:tcPr>
            <w:tcW w:w="742" w:type="dxa"/>
            <w:shd w:val="clear" w:color="auto" w:fill="auto"/>
            <w:noWrap/>
            <w:vAlign w:val="center"/>
          </w:tcPr>
          <w:p w14:paraId="2CD0E278" w14:textId="3902FC9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0.95</w:t>
            </w:r>
          </w:p>
        </w:tc>
      </w:tr>
      <w:tr w:rsidR="00E568CD" w:rsidRPr="00156B48" w14:paraId="78A2A59C" w14:textId="77777777" w:rsidTr="0060107F">
        <w:trPr>
          <w:trHeight w:val="300"/>
          <w:jc w:val="center"/>
        </w:trPr>
        <w:tc>
          <w:tcPr>
            <w:tcW w:w="1075" w:type="dxa"/>
            <w:shd w:val="clear" w:color="auto" w:fill="auto"/>
            <w:noWrap/>
            <w:vAlign w:val="center"/>
            <w:hideMark/>
          </w:tcPr>
          <w:p w14:paraId="0A942BFD"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168314B" w14:textId="68A4200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-0.00282</w:t>
            </w:r>
          </w:p>
        </w:tc>
        <w:tc>
          <w:tcPr>
            <w:tcW w:w="1350" w:type="dxa"/>
            <w:vAlign w:val="center"/>
          </w:tcPr>
          <w:p w14:paraId="453806C7" w14:textId="1E59C62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-0.00493</w:t>
            </w:r>
          </w:p>
        </w:tc>
        <w:tc>
          <w:tcPr>
            <w:tcW w:w="1438" w:type="dxa"/>
            <w:vAlign w:val="center"/>
          </w:tcPr>
          <w:p w14:paraId="1168D5F0" w14:textId="64D0CD0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-7.05</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7DE42343" w14:textId="74114EB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5.38</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3429C1B1" w14:textId="6EE0BA2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3.70</w:t>
            </w:r>
          </w:p>
        </w:tc>
        <w:tc>
          <w:tcPr>
            <w:tcW w:w="765" w:type="dxa"/>
            <w:shd w:val="clear" w:color="auto" w:fill="auto"/>
            <w:noWrap/>
            <w:vAlign w:val="center"/>
          </w:tcPr>
          <w:p w14:paraId="40F882FC" w14:textId="3969768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100.4</w:t>
            </w:r>
            <w:r w:rsidR="000C098B">
              <w:rPr>
                <w:rFonts w:ascii="Times New Roman" w:hAnsi="Times New Roman" w:cs="Times New Roman"/>
                <w:color w:val="000000"/>
                <w:sz w:val="16"/>
                <w:szCs w:val="16"/>
              </w:rPr>
              <w:t>1</w:t>
            </w:r>
          </w:p>
        </w:tc>
        <w:tc>
          <w:tcPr>
            <w:tcW w:w="742" w:type="dxa"/>
            <w:shd w:val="clear" w:color="auto" w:fill="auto"/>
            <w:noWrap/>
            <w:vAlign w:val="center"/>
          </w:tcPr>
          <w:p w14:paraId="18C5D5AA" w14:textId="4565A13D"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0.0031</w:t>
            </w:r>
          </w:p>
        </w:tc>
      </w:tr>
      <w:tr w:rsidR="00E568CD" w:rsidRPr="00156B48" w14:paraId="0985F627" w14:textId="77777777" w:rsidTr="0060107F">
        <w:trPr>
          <w:trHeight w:val="300"/>
          <w:jc w:val="center"/>
        </w:trPr>
        <w:tc>
          <w:tcPr>
            <w:tcW w:w="1075" w:type="dxa"/>
            <w:shd w:val="clear" w:color="auto" w:fill="auto"/>
            <w:noWrap/>
            <w:vAlign w:val="center"/>
            <w:hideMark/>
          </w:tcPr>
          <w:p w14:paraId="12B83D1F"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410D9405" w14:textId="6D78003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-3.27</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40F461C7" w14:textId="2D65AC8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-0.00275</w:t>
            </w:r>
          </w:p>
        </w:tc>
        <w:tc>
          <w:tcPr>
            <w:tcW w:w="1438" w:type="dxa"/>
            <w:vAlign w:val="center"/>
          </w:tcPr>
          <w:p w14:paraId="7A57E096" w14:textId="3359CAA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0.00209</w:t>
            </w:r>
          </w:p>
        </w:tc>
        <w:tc>
          <w:tcPr>
            <w:tcW w:w="1453" w:type="dxa"/>
            <w:shd w:val="clear" w:color="auto" w:fill="auto"/>
            <w:noWrap/>
            <w:vAlign w:val="center"/>
          </w:tcPr>
          <w:p w14:paraId="184FDDC5" w14:textId="0FD4008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6.12</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4AFB8B08" w14:textId="17C896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0.3</w:t>
            </w:r>
            <w:r w:rsidR="000C098B">
              <w:rPr>
                <w:rFonts w:ascii="Times New Roman" w:hAnsi="Times New Roman" w:cs="Times New Roman"/>
                <w:color w:val="000000"/>
                <w:sz w:val="16"/>
                <w:szCs w:val="16"/>
              </w:rPr>
              <w:t>8</w:t>
            </w:r>
          </w:p>
        </w:tc>
        <w:tc>
          <w:tcPr>
            <w:tcW w:w="765" w:type="dxa"/>
            <w:shd w:val="clear" w:color="auto" w:fill="auto"/>
            <w:noWrap/>
            <w:vAlign w:val="center"/>
          </w:tcPr>
          <w:p w14:paraId="2F11A226" w14:textId="018BA3C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78.0</w:t>
            </w:r>
            <w:r w:rsidR="000C098B">
              <w:rPr>
                <w:rFonts w:ascii="Times New Roman" w:hAnsi="Times New Roman" w:cs="Times New Roman"/>
                <w:color w:val="000000"/>
                <w:sz w:val="16"/>
                <w:szCs w:val="16"/>
              </w:rPr>
              <w:t>6</w:t>
            </w:r>
          </w:p>
        </w:tc>
        <w:tc>
          <w:tcPr>
            <w:tcW w:w="742" w:type="dxa"/>
            <w:shd w:val="clear" w:color="auto" w:fill="auto"/>
            <w:noWrap/>
            <w:vAlign w:val="center"/>
          </w:tcPr>
          <w:p w14:paraId="52866964" w14:textId="1F0BDF6D" w:rsidR="00E568CD" w:rsidRPr="00156B48" w:rsidRDefault="000C098B" w:rsidP="00156B48">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E568CD" w:rsidRPr="00156B48" w14:paraId="33677D21" w14:textId="77777777" w:rsidTr="0060107F">
        <w:trPr>
          <w:trHeight w:val="300"/>
          <w:jc w:val="center"/>
        </w:trPr>
        <w:tc>
          <w:tcPr>
            <w:tcW w:w="1075" w:type="dxa"/>
            <w:shd w:val="clear" w:color="auto" w:fill="auto"/>
            <w:noWrap/>
            <w:vAlign w:val="center"/>
            <w:hideMark/>
          </w:tcPr>
          <w:p w14:paraId="7340DAF4"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1A1CC9F7" w14:textId="3C3EB37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-0.00255</w:t>
            </w:r>
          </w:p>
        </w:tc>
        <w:tc>
          <w:tcPr>
            <w:tcW w:w="1350" w:type="dxa"/>
            <w:vAlign w:val="center"/>
          </w:tcPr>
          <w:p w14:paraId="5D7CBE01" w14:textId="3799698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-0.00479</w:t>
            </w:r>
          </w:p>
        </w:tc>
        <w:tc>
          <w:tcPr>
            <w:tcW w:w="1438" w:type="dxa"/>
            <w:vAlign w:val="center"/>
          </w:tcPr>
          <w:p w14:paraId="15920BD3" w14:textId="004B2DD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-3.09</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1EDC60DE" w14:textId="051C151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5.67</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077CD581" w14:textId="1EB3A13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3.18</w:t>
            </w:r>
          </w:p>
        </w:tc>
        <w:tc>
          <w:tcPr>
            <w:tcW w:w="765" w:type="dxa"/>
            <w:shd w:val="clear" w:color="auto" w:fill="auto"/>
            <w:noWrap/>
            <w:vAlign w:val="center"/>
          </w:tcPr>
          <w:p w14:paraId="5B1779D2" w14:textId="2708ED2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73.96</w:t>
            </w:r>
          </w:p>
        </w:tc>
        <w:tc>
          <w:tcPr>
            <w:tcW w:w="742" w:type="dxa"/>
            <w:shd w:val="clear" w:color="auto" w:fill="auto"/>
            <w:noWrap/>
            <w:vAlign w:val="center"/>
          </w:tcPr>
          <w:p w14:paraId="2EA963D4" w14:textId="7B034959"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0.01</w:t>
            </w:r>
            <w:r w:rsidR="000C098B" w:rsidRPr="00AE4805">
              <w:rPr>
                <w:rFonts w:ascii="Times New Roman" w:hAnsi="Times New Roman" w:cs="Times New Roman"/>
                <w:b/>
                <w:color w:val="000000"/>
                <w:sz w:val="16"/>
                <w:szCs w:val="16"/>
              </w:rPr>
              <w:t>8</w:t>
            </w:r>
          </w:p>
        </w:tc>
      </w:tr>
      <w:tr w:rsidR="00E568CD" w:rsidRPr="00156B48" w14:paraId="26FFF3BA" w14:textId="77777777" w:rsidTr="0060107F">
        <w:trPr>
          <w:trHeight w:val="300"/>
          <w:jc w:val="center"/>
        </w:trPr>
        <w:tc>
          <w:tcPr>
            <w:tcW w:w="1075" w:type="dxa"/>
            <w:shd w:val="clear" w:color="auto" w:fill="auto"/>
            <w:noWrap/>
            <w:vAlign w:val="center"/>
            <w:hideMark/>
          </w:tcPr>
          <w:p w14:paraId="24382EE9"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1A6C64E8" w14:textId="3B0D935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-0.00223</w:t>
            </w:r>
          </w:p>
        </w:tc>
        <w:tc>
          <w:tcPr>
            <w:tcW w:w="1350" w:type="dxa"/>
            <w:vAlign w:val="center"/>
          </w:tcPr>
          <w:p w14:paraId="4B67DDF7" w14:textId="185AD2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-0.0043</w:t>
            </w:r>
            <w:r w:rsidR="00492CE7">
              <w:rPr>
                <w:rFonts w:ascii="Times New Roman" w:hAnsi="Times New Roman" w:cs="Times New Roman"/>
                <w:color w:val="000000"/>
                <w:sz w:val="16"/>
                <w:szCs w:val="16"/>
              </w:rPr>
              <w:t>0</w:t>
            </w:r>
          </w:p>
        </w:tc>
        <w:tc>
          <w:tcPr>
            <w:tcW w:w="1438" w:type="dxa"/>
            <w:vAlign w:val="center"/>
          </w:tcPr>
          <w:p w14:paraId="6ABB23B8" w14:textId="3450149E"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-1.54</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285645A1" w14:textId="4D95FAC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5.27</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10B9E7AA" w14:textId="67EF3BF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2.98</w:t>
            </w:r>
          </w:p>
        </w:tc>
        <w:tc>
          <w:tcPr>
            <w:tcW w:w="765" w:type="dxa"/>
            <w:shd w:val="clear" w:color="auto" w:fill="auto"/>
            <w:noWrap/>
            <w:vAlign w:val="center"/>
          </w:tcPr>
          <w:p w14:paraId="46F924BF" w14:textId="1F1D6B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101.08</w:t>
            </w:r>
          </w:p>
        </w:tc>
        <w:tc>
          <w:tcPr>
            <w:tcW w:w="742" w:type="dxa"/>
            <w:shd w:val="clear" w:color="auto" w:fill="auto"/>
            <w:noWrap/>
            <w:vAlign w:val="center"/>
          </w:tcPr>
          <w:p w14:paraId="5F0391DF" w14:textId="6C680EE2"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0.02</w:t>
            </w:r>
            <w:r w:rsidR="000C098B" w:rsidRPr="00AE4805">
              <w:rPr>
                <w:rFonts w:ascii="Times New Roman" w:hAnsi="Times New Roman" w:cs="Times New Roman"/>
                <w:b/>
                <w:color w:val="000000"/>
                <w:sz w:val="16"/>
                <w:szCs w:val="16"/>
              </w:rPr>
              <w:t>9</w:t>
            </w:r>
          </w:p>
        </w:tc>
      </w:tr>
    </w:tbl>
    <w:p w14:paraId="7AC70EFF" w14:textId="77777777" w:rsidR="00572FFF" w:rsidRDefault="00572FFF">
      <w:pPr>
        <w:rPr>
          <w:rFonts w:ascii="Times New Roman" w:hAnsi="Times New Roman" w:cs="Times New Roman"/>
          <w:b/>
          <w:sz w:val="24"/>
          <w:szCs w:val="24"/>
          <w:lang w:val="en-US"/>
        </w:rPr>
      </w:pPr>
    </w:p>
    <w:p w14:paraId="59DC9AAD" w14:textId="0023DC4C" w:rsidR="00B520F1"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 xml:space="preserve">5i. </w:t>
      </w:r>
      <w:r w:rsidR="00B520F1">
        <w:rPr>
          <w:rFonts w:ascii="Times New Roman" w:hAnsi="Times New Roman" w:cs="Times New Roman"/>
          <w:b/>
          <w:sz w:val="24"/>
          <w:szCs w:val="24"/>
          <w:lang w:val="en-US"/>
        </w:rPr>
        <w:t>Iron.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365"/>
        <w:gridCol w:w="1260"/>
        <w:gridCol w:w="1035"/>
        <w:gridCol w:w="765"/>
        <w:gridCol w:w="742"/>
      </w:tblGrid>
      <w:tr w:rsidR="008843FD" w:rsidRPr="006D0FD5" w14:paraId="6C8A5E8F" w14:textId="77777777" w:rsidTr="0039082F">
        <w:trPr>
          <w:trHeight w:val="274"/>
          <w:jc w:val="center"/>
        </w:trPr>
        <w:tc>
          <w:tcPr>
            <w:tcW w:w="9017" w:type="dxa"/>
            <w:gridSpan w:val="8"/>
            <w:shd w:val="clear" w:color="auto" w:fill="auto"/>
            <w:noWrap/>
            <w:vAlign w:val="center"/>
          </w:tcPr>
          <w:p w14:paraId="493760D3" w14:textId="2DDDCB01" w:rsidR="008843FD" w:rsidRPr="004A34A2" w:rsidRDefault="004A34A2" w:rsidP="0039082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8843FD" w14:paraId="39CEAD49" w14:textId="77777777" w:rsidTr="001A2F55">
        <w:trPr>
          <w:trHeight w:val="274"/>
          <w:jc w:val="center"/>
        </w:trPr>
        <w:tc>
          <w:tcPr>
            <w:tcW w:w="6475" w:type="dxa"/>
            <w:gridSpan w:val="5"/>
            <w:vMerge w:val="restart"/>
            <w:shd w:val="clear" w:color="auto" w:fill="auto"/>
            <w:noWrap/>
            <w:vAlign w:val="center"/>
          </w:tcPr>
          <w:p w14:paraId="01B7E55B" w14:textId="77777777" w:rsidR="007B33CE" w:rsidRPr="004A34A2" w:rsidRDefault="007B33CE" w:rsidP="0039082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06E6904E"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563AB550"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254A98A5"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8843FD" w14:paraId="089F9685" w14:textId="77777777" w:rsidTr="001A2F55">
        <w:trPr>
          <w:trHeight w:val="274"/>
          <w:jc w:val="center"/>
        </w:trPr>
        <w:tc>
          <w:tcPr>
            <w:tcW w:w="6475" w:type="dxa"/>
            <w:gridSpan w:val="5"/>
            <w:vMerge/>
            <w:shd w:val="clear" w:color="auto" w:fill="auto"/>
            <w:noWrap/>
            <w:vAlign w:val="center"/>
          </w:tcPr>
          <w:p w14:paraId="6ED11E3D"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6781EFE9" w14:textId="1AAD5FFC"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0.99</w:t>
            </w:r>
          </w:p>
        </w:tc>
        <w:tc>
          <w:tcPr>
            <w:tcW w:w="765" w:type="dxa"/>
            <w:shd w:val="clear" w:color="auto" w:fill="auto"/>
            <w:noWrap/>
            <w:vAlign w:val="center"/>
          </w:tcPr>
          <w:p w14:paraId="19E6153C" w14:textId="6D41E5F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4, 271</w:t>
            </w:r>
          </w:p>
        </w:tc>
        <w:tc>
          <w:tcPr>
            <w:tcW w:w="742" w:type="dxa"/>
            <w:shd w:val="clear" w:color="auto" w:fill="auto"/>
            <w:noWrap/>
            <w:vAlign w:val="center"/>
          </w:tcPr>
          <w:p w14:paraId="2AC953C6" w14:textId="6DDCB95A"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0.41</w:t>
            </w:r>
          </w:p>
        </w:tc>
      </w:tr>
      <w:tr w:rsidR="00B62EEE" w:rsidRPr="006D0FD5" w14:paraId="4D190EFC" w14:textId="77777777" w:rsidTr="0039082F">
        <w:trPr>
          <w:trHeight w:val="274"/>
          <w:jc w:val="center"/>
        </w:trPr>
        <w:tc>
          <w:tcPr>
            <w:tcW w:w="9017" w:type="dxa"/>
            <w:gridSpan w:val="8"/>
            <w:shd w:val="clear" w:color="auto" w:fill="auto"/>
            <w:noWrap/>
            <w:vAlign w:val="center"/>
          </w:tcPr>
          <w:p w14:paraId="26CACCA1" w14:textId="616E4257" w:rsidR="00B62EEE" w:rsidRPr="00AE4805" w:rsidRDefault="00B62EEE" w:rsidP="0039082F">
            <w:pPr>
              <w:spacing w:after="0" w:line="240" w:lineRule="auto"/>
              <w:jc w:val="center"/>
              <w:rPr>
                <w:rFonts w:ascii="Times New Roman" w:eastAsia="Times New Roman" w:hAnsi="Times New Roman" w:cs="Times New Roman"/>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 xml:space="preserve">One-way </w:t>
            </w:r>
            <w:r w:rsidR="00411B7C" w:rsidRPr="00AE4805">
              <w:rPr>
                <w:rFonts w:ascii="Times New Roman" w:eastAsia="Times New Roman" w:hAnsi="Times New Roman" w:cs="Times New Roman"/>
                <w:b/>
                <w:i/>
                <w:color w:val="000000"/>
                <w:sz w:val="16"/>
                <w:szCs w:val="16"/>
                <w:lang w:val="en-US" w:eastAsia="de-DE"/>
              </w:rPr>
              <w:t>analysis of variance</w:t>
            </w:r>
            <w:r w:rsidRPr="00AE4805">
              <w:rPr>
                <w:rFonts w:ascii="Times New Roman" w:eastAsia="Times New Roman" w:hAnsi="Times New Roman" w:cs="Times New Roman"/>
                <w:b/>
                <w:i/>
                <w:color w:val="000000"/>
                <w:sz w:val="16"/>
                <w:szCs w:val="16"/>
                <w:lang w:val="en-US" w:eastAsia="de-DE"/>
              </w:rPr>
              <w:t xml:space="preserve"> </w:t>
            </w:r>
            <w:r w:rsidR="00156B48" w:rsidRPr="00AE4805">
              <w:rPr>
                <w:rFonts w:ascii="Times New Roman" w:eastAsia="Times New Roman" w:hAnsi="Times New Roman" w:cs="Times New Roman"/>
                <w:b/>
                <w:i/>
                <w:color w:val="000000"/>
                <w:sz w:val="16"/>
                <w:szCs w:val="16"/>
                <w:lang w:val="en-US" w:eastAsia="de-DE"/>
              </w:rPr>
              <w:t>assuming equal variance</w:t>
            </w:r>
            <w:r w:rsidR="00572FFF">
              <w:rPr>
                <w:rFonts w:ascii="Times New Roman" w:eastAsia="Times New Roman" w:hAnsi="Times New Roman" w:cs="Times New Roman"/>
                <w:b/>
                <w:i/>
                <w:color w:val="000000"/>
                <w:sz w:val="16"/>
                <w:szCs w:val="16"/>
                <w:lang w:val="en-US" w:eastAsia="de-DE"/>
              </w:rPr>
              <w:t>s</w:t>
            </w:r>
          </w:p>
        </w:tc>
      </w:tr>
      <w:tr w:rsidR="007B33CE" w:rsidRPr="008843FD" w14:paraId="5F71D7B1" w14:textId="77777777" w:rsidTr="001A2F55">
        <w:trPr>
          <w:trHeight w:val="274"/>
          <w:jc w:val="center"/>
        </w:trPr>
        <w:tc>
          <w:tcPr>
            <w:tcW w:w="6475" w:type="dxa"/>
            <w:gridSpan w:val="5"/>
            <w:vMerge w:val="restart"/>
            <w:shd w:val="clear" w:color="auto" w:fill="auto"/>
            <w:noWrap/>
            <w:vAlign w:val="center"/>
          </w:tcPr>
          <w:p w14:paraId="23E18E3F"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1F1AD21E" w14:textId="584CCF03"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62FB8A75" w14:textId="15AE78BD" w:rsidR="007B33CE" w:rsidRPr="00AE4805" w:rsidRDefault="007B33CE" w:rsidP="0039082F">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66FBA83B" w14:textId="615AAB8C"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8843FD" w14:paraId="0F3ADAA6" w14:textId="77777777" w:rsidTr="001A2F55">
        <w:trPr>
          <w:trHeight w:val="274"/>
          <w:jc w:val="center"/>
        </w:trPr>
        <w:tc>
          <w:tcPr>
            <w:tcW w:w="6475" w:type="dxa"/>
            <w:gridSpan w:val="5"/>
            <w:vMerge/>
            <w:shd w:val="clear" w:color="auto" w:fill="auto"/>
            <w:noWrap/>
            <w:vAlign w:val="center"/>
          </w:tcPr>
          <w:p w14:paraId="3088636F"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7B5B78DB" w14:textId="232C2CF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5.41</w:t>
            </w:r>
          </w:p>
        </w:tc>
        <w:tc>
          <w:tcPr>
            <w:tcW w:w="765" w:type="dxa"/>
            <w:shd w:val="clear" w:color="auto" w:fill="auto"/>
            <w:noWrap/>
            <w:vAlign w:val="center"/>
          </w:tcPr>
          <w:p w14:paraId="7F385A19" w14:textId="32ACD20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4, 271</w:t>
            </w:r>
          </w:p>
        </w:tc>
        <w:tc>
          <w:tcPr>
            <w:tcW w:w="742" w:type="dxa"/>
            <w:shd w:val="clear" w:color="auto" w:fill="auto"/>
            <w:noWrap/>
            <w:vAlign w:val="center"/>
          </w:tcPr>
          <w:p w14:paraId="2FE56AB1" w14:textId="57FC5C29" w:rsidR="007B33CE" w:rsidRPr="00572FFF" w:rsidRDefault="007B33C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0.00033</w:t>
            </w:r>
          </w:p>
        </w:tc>
      </w:tr>
      <w:tr w:rsidR="00572FFF" w:rsidRPr="006D0FD5" w14:paraId="5EA7B771" w14:textId="77777777" w:rsidTr="00572FFF">
        <w:trPr>
          <w:trHeight w:val="274"/>
          <w:jc w:val="center"/>
        </w:trPr>
        <w:tc>
          <w:tcPr>
            <w:tcW w:w="9017" w:type="dxa"/>
            <w:gridSpan w:val="8"/>
            <w:shd w:val="clear" w:color="auto" w:fill="auto"/>
            <w:noWrap/>
            <w:vAlign w:val="center"/>
          </w:tcPr>
          <w:p w14:paraId="263BC956" w14:textId="77777777" w:rsidR="00572FFF" w:rsidRPr="00AE4805" w:rsidRDefault="00572FFF" w:rsidP="00572FFF">
            <w:pPr>
              <w:spacing w:after="0" w:line="240" w:lineRule="auto"/>
              <w:jc w:val="center"/>
              <w:rPr>
                <w:rFonts w:ascii="Times New Roman" w:eastAsia="Times New Roman" w:hAnsi="Times New Roman" w:cs="Times New Roman"/>
                <w:b/>
                <w:i/>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AE4805" w14:paraId="31003C6D" w14:textId="77777777" w:rsidTr="001A2F55">
        <w:trPr>
          <w:trHeight w:val="274"/>
          <w:jc w:val="center"/>
        </w:trPr>
        <w:tc>
          <w:tcPr>
            <w:tcW w:w="6475" w:type="dxa"/>
            <w:gridSpan w:val="5"/>
            <w:vMerge w:val="restart"/>
            <w:shd w:val="clear" w:color="auto" w:fill="auto"/>
            <w:noWrap/>
            <w:vAlign w:val="center"/>
          </w:tcPr>
          <w:p w14:paraId="47BEF1BB"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034C765E"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2765A90D"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02131459"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AE4805" w14:paraId="183A2BB9" w14:textId="77777777" w:rsidTr="001A2F55">
        <w:trPr>
          <w:trHeight w:val="274"/>
          <w:jc w:val="center"/>
        </w:trPr>
        <w:tc>
          <w:tcPr>
            <w:tcW w:w="6475" w:type="dxa"/>
            <w:gridSpan w:val="5"/>
            <w:vMerge/>
            <w:shd w:val="clear" w:color="auto" w:fill="auto"/>
            <w:noWrap/>
            <w:vAlign w:val="center"/>
          </w:tcPr>
          <w:p w14:paraId="3D518D99"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7CB1F3E8" w14:textId="77777777" w:rsidR="007B33CE" w:rsidRPr="00AE4805"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5.87</w:t>
            </w:r>
          </w:p>
        </w:tc>
        <w:tc>
          <w:tcPr>
            <w:tcW w:w="765" w:type="dxa"/>
            <w:shd w:val="clear" w:color="auto" w:fill="auto"/>
            <w:noWrap/>
            <w:vAlign w:val="center"/>
          </w:tcPr>
          <w:p w14:paraId="51E6F681" w14:textId="77777777" w:rsidR="007B33CE" w:rsidRPr="00AE4805"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4, 122.47</w:t>
            </w:r>
          </w:p>
        </w:tc>
        <w:tc>
          <w:tcPr>
            <w:tcW w:w="742" w:type="dxa"/>
            <w:shd w:val="clear" w:color="auto" w:fill="auto"/>
            <w:noWrap/>
            <w:vAlign w:val="center"/>
          </w:tcPr>
          <w:p w14:paraId="248B8A02" w14:textId="77777777" w:rsidR="007B33CE" w:rsidRPr="00572FFF"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0.00023</w:t>
            </w:r>
          </w:p>
        </w:tc>
      </w:tr>
      <w:tr w:rsidR="00B62EEE" w:rsidRPr="006D0FD5" w14:paraId="16131AB9" w14:textId="77777777" w:rsidTr="0039082F">
        <w:trPr>
          <w:trHeight w:val="274"/>
          <w:jc w:val="center"/>
        </w:trPr>
        <w:tc>
          <w:tcPr>
            <w:tcW w:w="9017" w:type="dxa"/>
            <w:gridSpan w:val="8"/>
            <w:shd w:val="clear" w:color="auto" w:fill="auto"/>
            <w:noWrap/>
            <w:vAlign w:val="center"/>
          </w:tcPr>
          <w:p w14:paraId="73F84244"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Games-Howell post-hoc tests for group differences</w:t>
            </w:r>
          </w:p>
        </w:tc>
      </w:tr>
      <w:tr w:rsidR="00B62EEE" w:rsidRPr="008843FD" w14:paraId="51FDE760" w14:textId="77777777" w:rsidTr="00572FFF">
        <w:trPr>
          <w:trHeight w:val="274"/>
          <w:jc w:val="center"/>
        </w:trPr>
        <w:tc>
          <w:tcPr>
            <w:tcW w:w="1075" w:type="dxa"/>
            <w:shd w:val="clear" w:color="auto" w:fill="auto"/>
            <w:noWrap/>
            <w:vAlign w:val="center"/>
            <w:hideMark/>
          </w:tcPr>
          <w:p w14:paraId="75F4F3F6" w14:textId="77777777"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51400C84" w14:textId="41E58148" w:rsidR="00B62EEE" w:rsidRPr="00572FFF" w:rsidRDefault="0060107F"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35" w:type="dxa"/>
            <w:vAlign w:val="center"/>
          </w:tcPr>
          <w:p w14:paraId="212D1060" w14:textId="5D0B1E2F"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Lower 95% CI</w:t>
            </w:r>
          </w:p>
        </w:tc>
        <w:tc>
          <w:tcPr>
            <w:tcW w:w="1365" w:type="dxa"/>
            <w:vAlign w:val="center"/>
          </w:tcPr>
          <w:p w14:paraId="58DA0658" w14:textId="2893751F"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Upper 95% CI</w:t>
            </w:r>
          </w:p>
        </w:tc>
        <w:tc>
          <w:tcPr>
            <w:tcW w:w="1260" w:type="dxa"/>
            <w:shd w:val="clear" w:color="auto" w:fill="auto"/>
            <w:noWrap/>
            <w:vAlign w:val="center"/>
            <w:hideMark/>
          </w:tcPr>
          <w:p w14:paraId="3F324525" w14:textId="77777777"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1035" w:type="dxa"/>
            <w:shd w:val="clear" w:color="auto" w:fill="auto"/>
            <w:noWrap/>
            <w:vAlign w:val="center"/>
            <w:hideMark/>
          </w:tcPr>
          <w:p w14:paraId="06937ADB"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t</w:t>
            </w:r>
          </w:p>
        </w:tc>
        <w:tc>
          <w:tcPr>
            <w:tcW w:w="765" w:type="dxa"/>
            <w:shd w:val="clear" w:color="auto" w:fill="auto"/>
            <w:noWrap/>
            <w:vAlign w:val="center"/>
            <w:hideMark/>
          </w:tcPr>
          <w:p w14:paraId="62DCD1F0"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hideMark/>
          </w:tcPr>
          <w:p w14:paraId="4C6ECEBC"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AE4805" w:rsidRPr="008843FD" w14:paraId="4F526914" w14:textId="77777777" w:rsidTr="00572FFF">
        <w:trPr>
          <w:trHeight w:val="274"/>
          <w:jc w:val="center"/>
        </w:trPr>
        <w:tc>
          <w:tcPr>
            <w:tcW w:w="1075" w:type="dxa"/>
            <w:shd w:val="clear" w:color="auto" w:fill="auto"/>
            <w:noWrap/>
            <w:vAlign w:val="center"/>
            <w:hideMark/>
          </w:tcPr>
          <w:p w14:paraId="14A228FE"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2C0B46F5" w14:textId="727171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0.0140</w:t>
            </w:r>
          </w:p>
        </w:tc>
        <w:tc>
          <w:tcPr>
            <w:tcW w:w="1335" w:type="dxa"/>
            <w:vAlign w:val="center"/>
          </w:tcPr>
          <w:p w14:paraId="47ADDEB3" w14:textId="72FE4C4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-0.0319</w:t>
            </w:r>
          </w:p>
        </w:tc>
        <w:tc>
          <w:tcPr>
            <w:tcW w:w="1365" w:type="dxa"/>
            <w:vAlign w:val="center"/>
          </w:tcPr>
          <w:p w14:paraId="74454D9E" w14:textId="36C2A0E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0.0599</w:t>
            </w:r>
          </w:p>
        </w:tc>
        <w:tc>
          <w:tcPr>
            <w:tcW w:w="1260" w:type="dxa"/>
            <w:shd w:val="clear" w:color="auto" w:fill="auto"/>
            <w:noWrap/>
            <w:vAlign w:val="center"/>
          </w:tcPr>
          <w:p w14:paraId="21BFA960" w14:textId="1CA898E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0.0116</w:t>
            </w:r>
          </w:p>
        </w:tc>
        <w:tc>
          <w:tcPr>
            <w:tcW w:w="1035" w:type="dxa"/>
            <w:shd w:val="clear" w:color="auto" w:fill="auto"/>
            <w:noWrap/>
            <w:vAlign w:val="center"/>
          </w:tcPr>
          <w:p w14:paraId="50D18ED5" w14:textId="138DDD9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0.85</w:t>
            </w:r>
          </w:p>
        </w:tc>
        <w:tc>
          <w:tcPr>
            <w:tcW w:w="765" w:type="dxa"/>
            <w:shd w:val="clear" w:color="auto" w:fill="auto"/>
            <w:noWrap/>
            <w:vAlign w:val="center"/>
          </w:tcPr>
          <w:p w14:paraId="12615BBF" w14:textId="57A0E30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80.40</w:t>
            </w:r>
          </w:p>
        </w:tc>
        <w:tc>
          <w:tcPr>
            <w:tcW w:w="742" w:type="dxa"/>
            <w:shd w:val="clear" w:color="auto" w:fill="auto"/>
            <w:noWrap/>
            <w:vAlign w:val="center"/>
          </w:tcPr>
          <w:p w14:paraId="3C09641C" w14:textId="716F9C1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0.91</w:t>
            </w:r>
          </w:p>
        </w:tc>
      </w:tr>
      <w:tr w:rsidR="00AE4805" w:rsidRPr="008843FD" w14:paraId="15E9F3DF" w14:textId="77777777" w:rsidTr="00572FFF">
        <w:trPr>
          <w:trHeight w:val="274"/>
          <w:jc w:val="center"/>
        </w:trPr>
        <w:tc>
          <w:tcPr>
            <w:tcW w:w="1075" w:type="dxa"/>
            <w:shd w:val="clear" w:color="auto" w:fill="auto"/>
            <w:noWrap/>
            <w:vAlign w:val="center"/>
            <w:hideMark/>
          </w:tcPr>
          <w:p w14:paraId="2795F51D"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3EE93300" w14:textId="726CEA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-0.0094</w:t>
            </w:r>
          </w:p>
        </w:tc>
        <w:tc>
          <w:tcPr>
            <w:tcW w:w="1335" w:type="dxa"/>
            <w:vAlign w:val="center"/>
          </w:tcPr>
          <w:p w14:paraId="13565C32" w14:textId="60E774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-0.0426</w:t>
            </w:r>
          </w:p>
        </w:tc>
        <w:tc>
          <w:tcPr>
            <w:tcW w:w="1365" w:type="dxa"/>
            <w:vAlign w:val="center"/>
          </w:tcPr>
          <w:p w14:paraId="731BB1CB" w14:textId="63A33B4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0.0237</w:t>
            </w:r>
          </w:p>
        </w:tc>
        <w:tc>
          <w:tcPr>
            <w:tcW w:w="1260" w:type="dxa"/>
            <w:shd w:val="clear" w:color="auto" w:fill="auto"/>
            <w:noWrap/>
            <w:vAlign w:val="center"/>
          </w:tcPr>
          <w:p w14:paraId="0880AB77" w14:textId="2AE03E6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0.0084</w:t>
            </w:r>
          </w:p>
        </w:tc>
        <w:tc>
          <w:tcPr>
            <w:tcW w:w="1035" w:type="dxa"/>
            <w:shd w:val="clear" w:color="auto" w:fill="auto"/>
            <w:noWrap/>
            <w:vAlign w:val="center"/>
          </w:tcPr>
          <w:p w14:paraId="4B3EAB4D" w14:textId="782D9F4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0.79</w:t>
            </w:r>
          </w:p>
        </w:tc>
        <w:tc>
          <w:tcPr>
            <w:tcW w:w="765" w:type="dxa"/>
            <w:shd w:val="clear" w:color="auto" w:fill="auto"/>
            <w:noWrap/>
            <w:vAlign w:val="center"/>
          </w:tcPr>
          <w:p w14:paraId="3E3E9638" w14:textId="089BA5F9"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93.52</w:t>
            </w:r>
          </w:p>
        </w:tc>
        <w:tc>
          <w:tcPr>
            <w:tcW w:w="742" w:type="dxa"/>
            <w:shd w:val="clear" w:color="auto" w:fill="auto"/>
            <w:noWrap/>
            <w:vAlign w:val="center"/>
          </w:tcPr>
          <w:p w14:paraId="0215B5BE" w14:textId="1B382D5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0.93</w:t>
            </w:r>
          </w:p>
        </w:tc>
      </w:tr>
      <w:tr w:rsidR="00AE4805" w:rsidRPr="008843FD" w14:paraId="06A28FFB" w14:textId="77777777" w:rsidTr="00572FFF">
        <w:trPr>
          <w:trHeight w:val="274"/>
          <w:jc w:val="center"/>
        </w:trPr>
        <w:tc>
          <w:tcPr>
            <w:tcW w:w="1075" w:type="dxa"/>
            <w:shd w:val="clear" w:color="auto" w:fill="auto"/>
            <w:noWrap/>
            <w:vAlign w:val="center"/>
            <w:hideMark/>
          </w:tcPr>
          <w:p w14:paraId="4B3D6E2E"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EB8C616" w14:textId="0D6892E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-0.0125</w:t>
            </w:r>
          </w:p>
        </w:tc>
        <w:tc>
          <w:tcPr>
            <w:tcW w:w="1335" w:type="dxa"/>
            <w:vAlign w:val="center"/>
          </w:tcPr>
          <w:p w14:paraId="6193F8A1" w14:textId="4D538EF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-0.0477</w:t>
            </w:r>
          </w:p>
        </w:tc>
        <w:tc>
          <w:tcPr>
            <w:tcW w:w="1365" w:type="dxa"/>
            <w:vAlign w:val="center"/>
          </w:tcPr>
          <w:p w14:paraId="04B63300" w14:textId="08269EB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0.0226</w:t>
            </w:r>
          </w:p>
        </w:tc>
        <w:tc>
          <w:tcPr>
            <w:tcW w:w="1260" w:type="dxa"/>
            <w:shd w:val="clear" w:color="auto" w:fill="auto"/>
            <w:noWrap/>
            <w:vAlign w:val="center"/>
          </w:tcPr>
          <w:p w14:paraId="5CCF39CD" w14:textId="3BD44E2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0.0090</w:t>
            </w:r>
          </w:p>
        </w:tc>
        <w:tc>
          <w:tcPr>
            <w:tcW w:w="1035" w:type="dxa"/>
            <w:shd w:val="clear" w:color="auto" w:fill="auto"/>
            <w:noWrap/>
            <w:vAlign w:val="center"/>
          </w:tcPr>
          <w:p w14:paraId="14E94D29" w14:textId="1F43552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0.99</w:t>
            </w:r>
          </w:p>
        </w:tc>
        <w:tc>
          <w:tcPr>
            <w:tcW w:w="765" w:type="dxa"/>
            <w:shd w:val="clear" w:color="auto" w:fill="auto"/>
            <w:noWrap/>
            <w:vAlign w:val="center"/>
          </w:tcPr>
          <w:p w14:paraId="5541CFA5" w14:textId="53FC3C8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104.94</w:t>
            </w:r>
          </w:p>
        </w:tc>
        <w:tc>
          <w:tcPr>
            <w:tcW w:w="742" w:type="dxa"/>
            <w:shd w:val="clear" w:color="auto" w:fill="auto"/>
            <w:noWrap/>
            <w:vAlign w:val="center"/>
          </w:tcPr>
          <w:p w14:paraId="58C7DE28" w14:textId="18466CB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0.8</w:t>
            </w:r>
            <w:r>
              <w:rPr>
                <w:rFonts w:ascii="Times New Roman" w:hAnsi="Times New Roman" w:cs="Times New Roman"/>
                <w:color w:val="000000"/>
                <w:sz w:val="16"/>
                <w:szCs w:val="16"/>
              </w:rPr>
              <w:t>6</w:t>
            </w:r>
          </w:p>
        </w:tc>
      </w:tr>
      <w:tr w:rsidR="00AE4805" w:rsidRPr="003846F7" w14:paraId="2D9824C9" w14:textId="77777777" w:rsidTr="00572FFF">
        <w:trPr>
          <w:trHeight w:val="274"/>
          <w:jc w:val="center"/>
        </w:trPr>
        <w:tc>
          <w:tcPr>
            <w:tcW w:w="1075" w:type="dxa"/>
            <w:shd w:val="clear" w:color="auto" w:fill="auto"/>
            <w:noWrap/>
            <w:vAlign w:val="center"/>
            <w:hideMark/>
          </w:tcPr>
          <w:p w14:paraId="257A55CB"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613A1CC5" w14:textId="245A12B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-0.0415</w:t>
            </w:r>
          </w:p>
        </w:tc>
        <w:tc>
          <w:tcPr>
            <w:tcW w:w="1335" w:type="dxa"/>
            <w:vAlign w:val="center"/>
          </w:tcPr>
          <w:p w14:paraId="0D6E8B1C" w14:textId="128FE54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-0.0709</w:t>
            </w:r>
          </w:p>
        </w:tc>
        <w:tc>
          <w:tcPr>
            <w:tcW w:w="1365" w:type="dxa"/>
            <w:vAlign w:val="center"/>
          </w:tcPr>
          <w:p w14:paraId="64DB66F8" w14:textId="4CA4811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-0.0121</w:t>
            </w:r>
          </w:p>
        </w:tc>
        <w:tc>
          <w:tcPr>
            <w:tcW w:w="1260" w:type="dxa"/>
            <w:shd w:val="clear" w:color="auto" w:fill="auto"/>
            <w:noWrap/>
            <w:vAlign w:val="center"/>
          </w:tcPr>
          <w:p w14:paraId="500A21F7" w14:textId="0356E85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0.0075</w:t>
            </w:r>
          </w:p>
        </w:tc>
        <w:tc>
          <w:tcPr>
            <w:tcW w:w="1035" w:type="dxa"/>
            <w:shd w:val="clear" w:color="auto" w:fill="auto"/>
            <w:noWrap/>
            <w:vAlign w:val="center"/>
          </w:tcPr>
          <w:p w14:paraId="2FC5F3D2" w14:textId="29D2DC1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3.91</w:t>
            </w:r>
          </w:p>
        </w:tc>
        <w:tc>
          <w:tcPr>
            <w:tcW w:w="765" w:type="dxa"/>
            <w:shd w:val="clear" w:color="auto" w:fill="auto"/>
            <w:noWrap/>
            <w:vAlign w:val="center"/>
          </w:tcPr>
          <w:p w14:paraId="58279920" w14:textId="66F3E25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131.77</w:t>
            </w:r>
          </w:p>
        </w:tc>
        <w:tc>
          <w:tcPr>
            <w:tcW w:w="742" w:type="dxa"/>
            <w:shd w:val="clear" w:color="auto" w:fill="auto"/>
            <w:noWrap/>
            <w:vAlign w:val="center"/>
          </w:tcPr>
          <w:p w14:paraId="022A58AA" w14:textId="64EB7772"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0.0014</w:t>
            </w:r>
          </w:p>
        </w:tc>
      </w:tr>
      <w:tr w:rsidR="00AE4805" w:rsidRPr="008843FD" w14:paraId="56C09762" w14:textId="77777777" w:rsidTr="00572FFF">
        <w:trPr>
          <w:trHeight w:val="274"/>
          <w:jc w:val="center"/>
        </w:trPr>
        <w:tc>
          <w:tcPr>
            <w:tcW w:w="1075" w:type="dxa"/>
            <w:shd w:val="clear" w:color="auto" w:fill="auto"/>
            <w:noWrap/>
            <w:vAlign w:val="center"/>
            <w:hideMark/>
          </w:tcPr>
          <w:p w14:paraId="40C8013F"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3E4B0A4" w14:textId="483F16D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-0.0235</w:t>
            </w:r>
          </w:p>
        </w:tc>
        <w:tc>
          <w:tcPr>
            <w:tcW w:w="1335" w:type="dxa"/>
            <w:vAlign w:val="center"/>
          </w:tcPr>
          <w:p w14:paraId="07596CDB" w14:textId="531B728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0.0227</w:t>
            </w:r>
          </w:p>
        </w:tc>
        <w:tc>
          <w:tcPr>
            <w:tcW w:w="1365" w:type="dxa"/>
            <w:vAlign w:val="center"/>
          </w:tcPr>
          <w:p w14:paraId="0CB1C8E8" w14:textId="5DFA282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-0.0696</w:t>
            </w:r>
          </w:p>
        </w:tc>
        <w:tc>
          <w:tcPr>
            <w:tcW w:w="1260" w:type="dxa"/>
            <w:shd w:val="clear" w:color="auto" w:fill="auto"/>
            <w:noWrap/>
            <w:vAlign w:val="center"/>
          </w:tcPr>
          <w:p w14:paraId="1B751A5D" w14:textId="64E504F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0.0117</w:t>
            </w:r>
          </w:p>
        </w:tc>
        <w:tc>
          <w:tcPr>
            <w:tcW w:w="1035" w:type="dxa"/>
            <w:shd w:val="clear" w:color="auto" w:fill="auto"/>
            <w:noWrap/>
            <w:vAlign w:val="center"/>
          </w:tcPr>
          <w:p w14:paraId="76813075" w14:textId="41F3954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1.42</w:t>
            </w:r>
          </w:p>
        </w:tc>
        <w:tc>
          <w:tcPr>
            <w:tcW w:w="765" w:type="dxa"/>
            <w:shd w:val="clear" w:color="auto" w:fill="auto"/>
            <w:noWrap/>
            <w:vAlign w:val="center"/>
          </w:tcPr>
          <w:p w14:paraId="552CEE11" w14:textId="5840452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75.72</w:t>
            </w:r>
          </w:p>
        </w:tc>
        <w:tc>
          <w:tcPr>
            <w:tcW w:w="742" w:type="dxa"/>
            <w:shd w:val="clear" w:color="auto" w:fill="auto"/>
            <w:noWrap/>
            <w:vAlign w:val="center"/>
          </w:tcPr>
          <w:p w14:paraId="37B5DBDE" w14:textId="7FFD66A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0.6</w:t>
            </w:r>
            <w:r>
              <w:rPr>
                <w:rFonts w:ascii="Times New Roman" w:hAnsi="Times New Roman" w:cs="Times New Roman"/>
                <w:color w:val="000000"/>
                <w:sz w:val="16"/>
                <w:szCs w:val="16"/>
              </w:rPr>
              <w:t>2</w:t>
            </w:r>
          </w:p>
        </w:tc>
      </w:tr>
      <w:tr w:rsidR="00AE4805" w:rsidRPr="008843FD" w14:paraId="446F3DE9" w14:textId="77777777" w:rsidTr="00572FFF">
        <w:trPr>
          <w:trHeight w:val="274"/>
          <w:jc w:val="center"/>
        </w:trPr>
        <w:tc>
          <w:tcPr>
            <w:tcW w:w="1075" w:type="dxa"/>
            <w:shd w:val="clear" w:color="auto" w:fill="auto"/>
            <w:noWrap/>
            <w:vAlign w:val="center"/>
            <w:hideMark/>
          </w:tcPr>
          <w:p w14:paraId="357C6C3C"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01510747" w14:textId="38F26A0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-0.0265</w:t>
            </w:r>
          </w:p>
        </w:tc>
        <w:tc>
          <w:tcPr>
            <w:tcW w:w="1335" w:type="dxa"/>
            <w:vAlign w:val="center"/>
          </w:tcPr>
          <w:p w14:paraId="1C90DB3A" w14:textId="657EA63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-0.0741</w:t>
            </w:r>
          </w:p>
        </w:tc>
        <w:tc>
          <w:tcPr>
            <w:tcW w:w="1365" w:type="dxa"/>
            <w:vAlign w:val="center"/>
          </w:tcPr>
          <w:p w14:paraId="7C370EE5" w14:textId="60E41CB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0.0210</w:t>
            </w:r>
          </w:p>
        </w:tc>
        <w:tc>
          <w:tcPr>
            <w:tcW w:w="1260" w:type="dxa"/>
            <w:shd w:val="clear" w:color="auto" w:fill="auto"/>
            <w:noWrap/>
            <w:vAlign w:val="center"/>
          </w:tcPr>
          <w:p w14:paraId="67434FD4" w14:textId="2266CAB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0.0121</w:t>
            </w:r>
          </w:p>
        </w:tc>
        <w:tc>
          <w:tcPr>
            <w:tcW w:w="1035" w:type="dxa"/>
            <w:shd w:val="clear" w:color="auto" w:fill="auto"/>
            <w:noWrap/>
            <w:vAlign w:val="center"/>
          </w:tcPr>
          <w:p w14:paraId="1C5A5827" w14:textId="0555B24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1.56</w:t>
            </w:r>
          </w:p>
        </w:tc>
        <w:tc>
          <w:tcPr>
            <w:tcW w:w="765" w:type="dxa"/>
            <w:shd w:val="clear" w:color="auto" w:fill="auto"/>
            <w:noWrap/>
            <w:vAlign w:val="center"/>
          </w:tcPr>
          <w:p w14:paraId="50F4855E" w14:textId="4935176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83.65</w:t>
            </w:r>
          </w:p>
        </w:tc>
        <w:tc>
          <w:tcPr>
            <w:tcW w:w="742" w:type="dxa"/>
            <w:shd w:val="clear" w:color="auto" w:fill="auto"/>
            <w:noWrap/>
            <w:vAlign w:val="center"/>
          </w:tcPr>
          <w:p w14:paraId="4FAD3FA3" w14:textId="383F637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0.53</w:t>
            </w:r>
          </w:p>
        </w:tc>
      </w:tr>
      <w:tr w:rsidR="00AE4805" w:rsidRPr="008843FD" w14:paraId="6D8E9AB5" w14:textId="77777777" w:rsidTr="00572FFF">
        <w:trPr>
          <w:trHeight w:val="274"/>
          <w:jc w:val="center"/>
        </w:trPr>
        <w:tc>
          <w:tcPr>
            <w:tcW w:w="1075" w:type="dxa"/>
            <w:shd w:val="clear" w:color="auto" w:fill="auto"/>
            <w:noWrap/>
            <w:vAlign w:val="center"/>
            <w:hideMark/>
          </w:tcPr>
          <w:p w14:paraId="7AA6EA7C"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07E84E4" w14:textId="1C8C6709"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-0.0555</w:t>
            </w:r>
          </w:p>
        </w:tc>
        <w:tc>
          <w:tcPr>
            <w:tcW w:w="1335" w:type="dxa"/>
            <w:vAlign w:val="center"/>
          </w:tcPr>
          <w:p w14:paraId="40BD03C2" w14:textId="72A9912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-0.0993</w:t>
            </w:r>
          </w:p>
        </w:tc>
        <w:tc>
          <w:tcPr>
            <w:tcW w:w="1365" w:type="dxa"/>
            <w:vAlign w:val="center"/>
          </w:tcPr>
          <w:p w14:paraId="2E45F6BB" w14:textId="23A0F33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w:t>
            </w:r>
            <w:r w:rsidR="003846F7">
              <w:rPr>
                <w:rFonts w:ascii="Times New Roman" w:hAnsi="Times New Roman" w:cs="Times New Roman"/>
                <w:color w:val="000000"/>
                <w:sz w:val="16"/>
                <w:szCs w:val="16"/>
              </w:rPr>
              <w:t>8</w:t>
            </w:r>
          </w:p>
        </w:tc>
        <w:tc>
          <w:tcPr>
            <w:tcW w:w="1260" w:type="dxa"/>
            <w:shd w:val="clear" w:color="auto" w:fill="auto"/>
            <w:noWrap/>
            <w:vAlign w:val="center"/>
          </w:tcPr>
          <w:p w14:paraId="4D1721D3" w14:textId="0551BB2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0.0110</w:t>
            </w:r>
          </w:p>
        </w:tc>
        <w:tc>
          <w:tcPr>
            <w:tcW w:w="1035" w:type="dxa"/>
            <w:shd w:val="clear" w:color="auto" w:fill="auto"/>
            <w:noWrap/>
            <w:vAlign w:val="center"/>
          </w:tcPr>
          <w:p w14:paraId="0B7976D8" w14:textId="1F6498A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3.56</w:t>
            </w:r>
          </w:p>
        </w:tc>
        <w:tc>
          <w:tcPr>
            <w:tcW w:w="765" w:type="dxa"/>
            <w:shd w:val="clear" w:color="auto" w:fill="auto"/>
            <w:noWrap/>
            <w:vAlign w:val="center"/>
          </w:tcPr>
          <w:p w14:paraId="4DD0F21E" w14:textId="676D5AE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68.71</w:t>
            </w:r>
          </w:p>
        </w:tc>
        <w:tc>
          <w:tcPr>
            <w:tcW w:w="742" w:type="dxa"/>
            <w:shd w:val="clear" w:color="auto" w:fill="auto"/>
            <w:noWrap/>
            <w:vAlign w:val="center"/>
          </w:tcPr>
          <w:p w14:paraId="63E544D5" w14:textId="021103AC"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0.0060</w:t>
            </w:r>
          </w:p>
        </w:tc>
      </w:tr>
      <w:tr w:rsidR="00AE4805" w:rsidRPr="008843FD" w14:paraId="3230E458" w14:textId="77777777" w:rsidTr="00572FFF">
        <w:trPr>
          <w:trHeight w:val="274"/>
          <w:jc w:val="center"/>
        </w:trPr>
        <w:tc>
          <w:tcPr>
            <w:tcW w:w="1075" w:type="dxa"/>
            <w:shd w:val="clear" w:color="auto" w:fill="auto"/>
            <w:noWrap/>
            <w:vAlign w:val="center"/>
            <w:hideMark/>
          </w:tcPr>
          <w:p w14:paraId="12D21136"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FEAF70C" w14:textId="1B12AF4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-0.0031</w:t>
            </w:r>
          </w:p>
        </w:tc>
        <w:tc>
          <w:tcPr>
            <w:tcW w:w="1335" w:type="dxa"/>
            <w:vAlign w:val="center"/>
          </w:tcPr>
          <w:p w14:paraId="14144434" w14:textId="78E0F17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-0.0387</w:t>
            </w:r>
          </w:p>
        </w:tc>
        <w:tc>
          <w:tcPr>
            <w:tcW w:w="1365" w:type="dxa"/>
            <w:vAlign w:val="center"/>
          </w:tcPr>
          <w:p w14:paraId="6889453F" w14:textId="709F330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0.0325</w:t>
            </w:r>
          </w:p>
        </w:tc>
        <w:tc>
          <w:tcPr>
            <w:tcW w:w="1260" w:type="dxa"/>
            <w:shd w:val="clear" w:color="auto" w:fill="auto"/>
            <w:noWrap/>
            <w:vAlign w:val="center"/>
          </w:tcPr>
          <w:p w14:paraId="7532713A" w14:textId="1F10A07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0.0090</w:t>
            </w:r>
          </w:p>
        </w:tc>
        <w:tc>
          <w:tcPr>
            <w:tcW w:w="1035" w:type="dxa"/>
            <w:shd w:val="clear" w:color="auto" w:fill="auto"/>
            <w:noWrap/>
            <w:vAlign w:val="center"/>
          </w:tcPr>
          <w:p w14:paraId="2B2EBB21" w14:textId="25C309B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0.24</w:t>
            </w:r>
          </w:p>
        </w:tc>
        <w:tc>
          <w:tcPr>
            <w:tcW w:w="765" w:type="dxa"/>
            <w:shd w:val="clear" w:color="auto" w:fill="auto"/>
            <w:noWrap/>
            <w:vAlign w:val="center"/>
          </w:tcPr>
          <w:p w14:paraId="3ACD9A9C" w14:textId="25540DB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82.96</w:t>
            </w:r>
          </w:p>
        </w:tc>
        <w:tc>
          <w:tcPr>
            <w:tcW w:w="742" w:type="dxa"/>
            <w:shd w:val="clear" w:color="auto" w:fill="auto"/>
            <w:noWrap/>
            <w:vAlign w:val="center"/>
          </w:tcPr>
          <w:p w14:paraId="7CB1204B" w14:textId="79ABEEE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AE4805" w:rsidRPr="008843FD" w14:paraId="1AAECC2A" w14:textId="77777777" w:rsidTr="00572FFF">
        <w:trPr>
          <w:trHeight w:val="274"/>
          <w:jc w:val="center"/>
        </w:trPr>
        <w:tc>
          <w:tcPr>
            <w:tcW w:w="1075" w:type="dxa"/>
            <w:shd w:val="clear" w:color="auto" w:fill="auto"/>
            <w:noWrap/>
            <w:vAlign w:val="center"/>
            <w:hideMark/>
          </w:tcPr>
          <w:p w14:paraId="18B4CAA1"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6ACE40FA" w14:textId="3C22E2F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-0.0321</w:t>
            </w:r>
          </w:p>
        </w:tc>
        <w:tc>
          <w:tcPr>
            <w:tcW w:w="1335" w:type="dxa"/>
            <w:vAlign w:val="center"/>
          </w:tcPr>
          <w:p w14:paraId="059FA365" w14:textId="6468DE4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-0.0621</w:t>
            </w:r>
          </w:p>
        </w:tc>
        <w:tc>
          <w:tcPr>
            <w:tcW w:w="1365" w:type="dxa"/>
            <w:vAlign w:val="center"/>
          </w:tcPr>
          <w:p w14:paraId="584C14CF" w14:textId="0462EF0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1</w:t>
            </w:r>
          </w:p>
        </w:tc>
        <w:tc>
          <w:tcPr>
            <w:tcW w:w="1260" w:type="dxa"/>
            <w:shd w:val="clear" w:color="auto" w:fill="auto"/>
            <w:noWrap/>
            <w:vAlign w:val="center"/>
          </w:tcPr>
          <w:p w14:paraId="79C72F19" w14:textId="6E83413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0.0076</w:t>
            </w:r>
          </w:p>
        </w:tc>
        <w:tc>
          <w:tcPr>
            <w:tcW w:w="1035" w:type="dxa"/>
            <w:shd w:val="clear" w:color="auto" w:fill="auto"/>
            <w:noWrap/>
            <w:vAlign w:val="center"/>
          </w:tcPr>
          <w:p w14:paraId="6966D37B" w14:textId="1823257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2.98</w:t>
            </w:r>
          </w:p>
        </w:tc>
        <w:tc>
          <w:tcPr>
            <w:tcW w:w="765" w:type="dxa"/>
            <w:shd w:val="clear" w:color="auto" w:fill="auto"/>
            <w:noWrap/>
            <w:vAlign w:val="center"/>
          </w:tcPr>
          <w:p w14:paraId="28CC0A33" w14:textId="21EDAC9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77.72</w:t>
            </w:r>
          </w:p>
        </w:tc>
        <w:tc>
          <w:tcPr>
            <w:tcW w:w="742" w:type="dxa"/>
            <w:shd w:val="clear" w:color="auto" w:fill="auto"/>
            <w:noWrap/>
            <w:vAlign w:val="center"/>
          </w:tcPr>
          <w:p w14:paraId="36B00B50" w14:textId="53F98A6E"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0.030</w:t>
            </w:r>
          </w:p>
        </w:tc>
      </w:tr>
      <w:tr w:rsidR="00AE4805" w:rsidRPr="008843FD" w14:paraId="6CD99E7A" w14:textId="77777777" w:rsidTr="00572FFF">
        <w:trPr>
          <w:trHeight w:val="274"/>
          <w:jc w:val="center"/>
        </w:trPr>
        <w:tc>
          <w:tcPr>
            <w:tcW w:w="1075" w:type="dxa"/>
            <w:shd w:val="clear" w:color="auto" w:fill="auto"/>
            <w:noWrap/>
            <w:vAlign w:val="center"/>
            <w:hideMark/>
          </w:tcPr>
          <w:p w14:paraId="3EDB2167"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779D4475" w14:textId="216C481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-0.0290</w:t>
            </w:r>
          </w:p>
        </w:tc>
        <w:tc>
          <w:tcPr>
            <w:tcW w:w="1335" w:type="dxa"/>
            <w:vAlign w:val="center"/>
          </w:tcPr>
          <w:p w14:paraId="675826C0" w14:textId="367F1D9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-0.0612</w:t>
            </w:r>
          </w:p>
        </w:tc>
        <w:tc>
          <w:tcPr>
            <w:tcW w:w="1365" w:type="dxa"/>
            <w:vAlign w:val="center"/>
          </w:tcPr>
          <w:p w14:paraId="3BD38378" w14:textId="09733F4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2</w:t>
            </w:r>
          </w:p>
        </w:tc>
        <w:tc>
          <w:tcPr>
            <w:tcW w:w="1260" w:type="dxa"/>
            <w:shd w:val="clear" w:color="auto" w:fill="auto"/>
            <w:noWrap/>
            <w:vAlign w:val="center"/>
          </w:tcPr>
          <w:p w14:paraId="3C6765C4" w14:textId="5409E7E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0.0082</w:t>
            </w:r>
          </w:p>
        </w:tc>
        <w:tc>
          <w:tcPr>
            <w:tcW w:w="1035" w:type="dxa"/>
            <w:shd w:val="clear" w:color="auto" w:fill="auto"/>
            <w:noWrap/>
            <w:vAlign w:val="center"/>
          </w:tcPr>
          <w:p w14:paraId="65B7DB81" w14:textId="5A6CC06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2.51</w:t>
            </w:r>
          </w:p>
        </w:tc>
        <w:tc>
          <w:tcPr>
            <w:tcW w:w="765" w:type="dxa"/>
            <w:shd w:val="clear" w:color="auto" w:fill="auto"/>
            <w:noWrap/>
            <w:vAlign w:val="center"/>
          </w:tcPr>
          <w:p w14:paraId="596CD2C2" w14:textId="30531AC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89.12</w:t>
            </w:r>
          </w:p>
        </w:tc>
        <w:tc>
          <w:tcPr>
            <w:tcW w:w="742" w:type="dxa"/>
            <w:shd w:val="clear" w:color="auto" w:fill="auto"/>
            <w:noWrap/>
            <w:vAlign w:val="center"/>
          </w:tcPr>
          <w:p w14:paraId="3EDE2FB9" w14:textId="4F8F5C2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0.09</w:t>
            </w:r>
            <w:r>
              <w:rPr>
                <w:rFonts w:ascii="Times New Roman" w:hAnsi="Times New Roman" w:cs="Times New Roman"/>
                <w:color w:val="000000"/>
                <w:sz w:val="16"/>
                <w:szCs w:val="16"/>
              </w:rPr>
              <w:t>8</w:t>
            </w:r>
          </w:p>
        </w:tc>
      </w:tr>
    </w:tbl>
    <w:p w14:paraId="69DE5BE1" w14:textId="77777777" w:rsidR="0039082F" w:rsidRDefault="0039082F">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BCC85C5" w14:textId="24764FC1"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5j. Lead.</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50"/>
        <w:gridCol w:w="1438"/>
        <w:gridCol w:w="1453"/>
        <w:gridCol w:w="754"/>
        <w:gridCol w:w="865"/>
        <w:gridCol w:w="642"/>
      </w:tblGrid>
      <w:tr w:rsidR="008843FD" w:rsidRPr="006D0FD5" w14:paraId="38C211F3" w14:textId="77777777" w:rsidTr="00572FFF">
        <w:trPr>
          <w:trHeight w:val="300"/>
          <w:jc w:val="center"/>
        </w:trPr>
        <w:tc>
          <w:tcPr>
            <w:tcW w:w="9017" w:type="dxa"/>
            <w:gridSpan w:val="8"/>
            <w:shd w:val="clear" w:color="auto" w:fill="auto"/>
            <w:noWrap/>
            <w:vAlign w:val="center"/>
          </w:tcPr>
          <w:p w14:paraId="568EA0F7" w14:textId="4D7F4B9E"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41B51647" w14:textId="77777777" w:rsidTr="001A2F55">
        <w:trPr>
          <w:trHeight w:val="300"/>
          <w:jc w:val="center"/>
        </w:trPr>
        <w:tc>
          <w:tcPr>
            <w:tcW w:w="6756" w:type="dxa"/>
            <w:gridSpan w:val="5"/>
            <w:vMerge w:val="restart"/>
            <w:shd w:val="clear" w:color="auto" w:fill="auto"/>
            <w:noWrap/>
            <w:vAlign w:val="center"/>
          </w:tcPr>
          <w:p w14:paraId="370E03B9"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FB19584"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AC1C377"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6749642"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0B5B067C" w14:textId="77777777" w:rsidTr="001A2F55">
        <w:trPr>
          <w:trHeight w:val="300"/>
          <w:jc w:val="center"/>
        </w:trPr>
        <w:tc>
          <w:tcPr>
            <w:tcW w:w="6756" w:type="dxa"/>
            <w:gridSpan w:val="5"/>
            <w:vMerge/>
            <w:shd w:val="clear" w:color="auto" w:fill="auto"/>
            <w:noWrap/>
            <w:vAlign w:val="center"/>
          </w:tcPr>
          <w:p w14:paraId="52FEE15E"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1718A247" w14:textId="7B926422"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0.70</w:t>
            </w:r>
          </w:p>
        </w:tc>
        <w:tc>
          <w:tcPr>
            <w:tcW w:w="865" w:type="dxa"/>
            <w:shd w:val="clear" w:color="auto" w:fill="auto"/>
            <w:noWrap/>
            <w:vAlign w:val="center"/>
          </w:tcPr>
          <w:p w14:paraId="18590228" w14:textId="69F84734"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29B4778C" w14:textId="4D35D95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0.59</w:t>
            </w:r>
          </w:p>
        </w:tc>
      </w:tr>
      <w:tr w:rsidR="008843FD" w:rsidRPr="006D0FD5" w14:paraId="34A326DE" w14:textId="77777777" w:rsidTr="00572FFF">
        <w:trPr>
          <w:trHeight w:val="300"/>
          <w:jc w:val="center"/>
        </w:trPr>
        <w:tc>
          <w:tcPr>
            <w:tcW w:w="9017" w:type="dxa"/>
            <w:gridSpan w:val="8"/>
            <w:shd w:val="clear" w:color="auto" w:fill="auto"/>
            <w:noWrap/>
            <w:vAlign w:val="center"/>
          </w:tcPr>
          <w:p w14:paraId="3E14879B" w14:textId="156808A8"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572FFF" w14:paraId="21D34283" w14:textId="77777777" w:rsidTr="001A2F55">
        <w:trPr>
          <w:trHeight w:val="300"/>
          <w:jc w:val="center"/>
        </w:trPr>
        <w:tc>
          <w:tcPr>
            <w:tcW w:w="6756" w:type="dxa"/>
            <w:gridSpan w:val="5"/>
            <w:vMerge w:val="restart"/>
            <w:shd w:val="clear" w:color="auto" w:fill="auto"/>
            <w:noWrap/>
            <w:vAlign w:val="center"/>
          </w:tcPr>
          <w:p w14:paraId="563B7E6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36DACE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18F188C"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9AD8BA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2BD90B2C" w14:textId="77777777" w:rsidTr="001A2F55">
        <w:trPr>
          <w:trHeight w:val="300"/>
          <w:jc w:val="center"/>
        </w:trPr>
        <w:tc>
          <w:tcPr>
            <w:tcW w:w="6756" w:type="dxa"/>
            <w:gridSpan w:val="5"/>
            <w:vMerge/>
            <w:shd w:val="clear" w:color="auto" w:fill="auto"/>
            <w:noWrap/>
            <w:vAlign w:val="center"/>
          </w:tcPr>
          <w:p w14:paraId="61F3B390"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D3C802A" w14:textId="19D05BEA"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3.93</w:t>
            </w:r>
          </w:p>
        </w:tc>
        <w:tc>
          <w:tcPr>
            <w:tcW w:w="865" w:type="dxa"/>
            <w:shd w:val="clear" w:color="auto" w:fill="auto"/>
            <w:noWrap/>
            <w:vAlign w:val="center"/>
          </w:tcPr>
          <w:p w14:paraId="750DB7D3" w14:textId="46BCBD2C"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4, 124.52</w:t>
            </w:r>
          </w:p>
        </w:tc>
        <w:tc>
          <w:tcPr>
            <w:tcW w:w="642" w:type="dxa"/>
            <w:shd w:val="clear" w:color="auto" w:fill="auto"/>
            <w:noWrap/>
            <w:vAlign w:val="center"/>
          </w:tcPr>
          <w:p w14:paraId="2A52216D" w14:textId="19A380AC"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0.0048</w:t>
            </w:r>
          </w:p>
        </w:tc>
      </w:tr>
      <w:tr w:rsidR="00E31689" w:rsidRPr="006D0FD5" w14:paraId="209B6A91" w14:textId="77777777" w:rsidTr="00572FFF">
        <w:trPr>
          <w:trHeight w:val="300"/>
          <w:jc w:val="center"/>
        </w:trPr>
        <w:tc>
          <w:tcPr>
            <w:tcW w:w="9017" w:type="dxa"/>
            <w:gridSpan w:val="8"/>
            <w:shd w:val="clear" w:color="auto" w:fill="auto"/>
            <w:noWrap/>
            <w:vAlign w:val="center"/>
          </w:tcPr>
          <w:p w14:paraId="4A32F986" w14:textId="30742FC3" w:rsidR="00E31689" w:rsidRPr="003846F7" w:rsidRDefault="00E31689" w:rsidP="00572FFF">
            <w:pPr>
              <w:spacing w:after="0" w:line="240" w:lineRule="auto"/>
              <w:jc w:val="center"/>
              <w:rPr>
                <w:rFonts w:ascii="Times New Roman" w:eastAsia="Times New Roman" w:hAnsi="Times New Roman" w:cs="Times New Roman"/>
                <w:b/>
                <w:i/>
                <w:color w:val="000000"/>
                <w:sz w:val="16"/>
                <w:szCs w:val="16"/>
                <w:lang w:val="en-US" w:eastAsia="de-DE"/>
              </w:rPr>
            </w:pPr>
            <w:r w:rsidRPr="003846F7">
              <w:rPr>
                <w:rFonts w:ascii="Times New Roman" w:eastAsia="Times New Roman" w:hAnsi="Times New Roman" w:cs="Times New Roman"/>
                <w:b/>
                <w:i/>
                <w:color w:val="000000"/>
                <w:sz w:val="16"/>
                <w:szCs w:val="16"/>
                <w:lang w:val="en-US" w:eastAsia="de-DE"/>
              </w:rPr>
              <w:t xml:space="preserve">One-way </w:t>
            </w:r>
            <w:r w:rsidR="00411B7C" w:rsidRPr="003846F7">
              <w:rPr>
                <w:rFonts w:ascii="Times New Roman" w:eastAsia="Times New Roman" w:hAnsi="Times New Roman" w:cs="Times New Roman"/>
                <w:b/>
                <w:i/>
                <w:color w:val="000000"/>
                <w:sz w:val="16"/>
                <w:szCs w:val="16"/>
                <w:lang w:val="en-US" w:eastAsia="de-DE"/>
              </w:rPr>
              <w:t>analysis of variance</w:t>
            </w:r>
            <w:r w:rsidRPr="003846F7">
              <w:rPr>
                <w:rFonts w:ascii="Times New Roman" w:eastAsia="Times New Roman" w:hAnsi="Times New Roman" w:cs="Times New Roman"/>
                <w:b/>
                <w:i/>
                <w:color w:val="000000"/>
                <w:sz w:val="16"/>
                <w:szCs w:val="16"/>
                <w:lang w:val="en-US" w:eastAsia="de-DE"/>
              </w:rPr>
              <w:t xml:space="preserve"> </w:t>
            </w:r>
            <w:r w:rsidR="00156B48" w:rsidRPr="003846F7">
              <w:rPr>
                <w:rFonts w:ascii="Times New Roman" w:eastAsia="Times New Roman" w:hAnsi="Times New Roman" w:cs="Times New Roman"/>
                <w:b/>
                <w:i/>
                <w:color w:val="000000"/>
                <w:sz w:val="16"/>
                <w:szCs w:val="16"/>
                <w:lang w:val="en-US" w:eastAsia="de-DE"/>
              </w:rPr>
              <w:t>assuming equal variance</w:t>
            </w:r>
          </w:p>
        </w:tc>
      </w:tr>
      <w:tr w:rsidR="007B33CE" w:rsidRPr="00572FFF" w14:paraId="78A64173" w14:textId="77777777" w:rsidTr="001A2F55">
        <w:trPr>
          <w:trHeight w:val="300"/>
          <w:jc w:val="center"/>
        </w:trPr>
        <w:tc>
          <w:tcPr>
            <w:tcW w:w="6756" w:type="dxa"/>
            <w:gridSpan w:val="5"/>
            <w:vMerge w:val="restart"/>
            <w:shd w:val="clear" w:color="auto" w:fill="auto"/>
            <w:noWrap/>
            <w:vAlign w:val="center"/>
          </w:tcPr>
          <w:p w14:paraId="54D77453"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89673D5" w14:textId="0729B98A"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EE6B0DB" w14:textId="66BF97BB" w:rsidR="007B33CE" w:rsidRPr="00572FFF"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31BB2C7" w14:textId="5F2CCE67"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48744EB7" w14:textId="77777777" w:rsidTr="001A2F55">
        <w:trPr>
          <w:trHeight w:val="300"/>
          <w:jc w:val="center"/>
        </w:trPr>
        <w:tc>
          <w:tcPr>
            <w:tcW w:w="6756" w:type="dxa"/>
            <w:gridSpan w:val="5"/>
            <w:vMerge/>
            <w:shd w:val="clear" w:color="auto" w:fill="auto"/>
            <w:noWrap/>
            <w:vAlign w:val="center"/>
          </w:tcPr>
          <w:p w14:paraId="39EEBE5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708F6B6" w14:textId="0B69B423"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3.66</w:t>
            </w:r>
          </w:p>
        </w:tc>
        <w:tc>
          <w:tcPr>
            <w:tcW w:w="865" w:type="dxa"/>
            <w:shd w:val="clear" w:color="auto" w:fill="auto"/>
            <w:noWrap/>
            <w:vAlign w:val="center"/>
          </w:tcPr>
          <w:p w14:paraId="4DED5532" w14:textId="546F3E27"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4, 271</w:t>
            </w:r>
          </w:p>
        </w:tc>
        <w:tc>
          <w:tcPr>
            <w:tcW w:w="642" w:type="dxa"/>
            <w:shd w:val="clear" w:color="auto" w:fill="auto"/>
            <w:noWrap/>
            <w:vAlign w:val="center"/>
          </w:tcPr>
          <w:p w14:paraId="24EA3808" w14:textId="3DFED75D"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0.0064</w:t>
            </w:r>
          </w:p>
        </w:tc>
      </w:tr>
      <w:tr w:rsidR="008843FD" w:rsidRPr="006D0FD5" w14:paraId="2E97795C" w14:textId="77777777" w:rsidTr="00572FFF">
        <w:trPr>
          <w:trHeight w:val="300"/>
          <w:jc w:val="center"/>
        </w:trPr>
        <w:tc>
          <w:tcPr>
            <w:tcW w:w="9017" w:type="dxa"/>
            <w:gridSpan w:val="8"/>
            <w:shd w:val="clear" w:color="auto" w:fill="auto"/>
            <w:noWrap/>
            <w:vAlign w:val="center"/>
          </w:tcPr>
          <w:p w14:paraId="408E4FC8"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72FFF" w14:paraId="4541FC0F" w14:textId="77777777" w:rsidTr="00572FFF">
        <w:trPr>
          <w:trHeight w:val="300"/>
          <w:jc w:val="center"/>
        </w:trPr>
        <w:tc>
          <w:tcPr>
            <w:tcW w:w="1075" w:type="dxa"/>
            <w:shd w:val="clear" w:color="auto" w:fill="auto"/>
            <w:noWrap/>
            <w:vAlign w:val="center"/>
            <w:hideMark/>
          </w:tcPr>
          <w:p w14:paraId="04177FC3"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148D1E4E" w14:textId="5E512C00" w:rsidR="008843FD" w:rsidRPr="00572FFF" w:rsidRDefault="0060107F"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50" w:type="dxa"/>
            <w:vAlign w:val="center"/>
          </w:tcPr>
          <w:p w14:paraId="04D04E3D" w14:textId="3C2038A3" w:rsidR="008843FD" w:rsidRPr="00572FFF"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w:t>
            </w:r>
            <w:r w:rsidR="008843FD" w:rsidRPr="00572FFF">
              <w:rPr>
                <w:rFonts w:ascii="Times New Roman" w:eastAsia="Times New Roman" w:hAnsi="Times New Roman" w:cs="Times New Roman"/>
                <w:b/>
                <w:color w:val="000000"/>
                <w:sz w:val="16"/>
                <w:szCs w:val="16"/>
                <w:lang w:eastAsia="de-DE"/>
              </w:rPr>
              <w:t>er 95% CI</w:t>
            </w:r>
          </w:p>
        </w:tc>
        <w:tc>
          <w:tcPr>
            <w:tcW w:w="1438" w:type="dxa"/>
            <w:vAlign w:val="center"/>
          </w:tcPr>
          <w:p w14:paraId="46561A9B" w14:textId="42BD8281" w:rsidR="008843FD" w:rsidRPr="00572FFF"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w:t>
            </w:r>
            <w:r w:rsidR="008843FD" w:rsidRPr="00572FFF">
              <w:rPr>
                <w:rFonts w:ascii="Times New Roman" w:eastAsia="Times New Roman" w:hAnsi="Times New Roman" w:cs="Times New Roman"/>
                <w:b/>
                <w:color w:val="000000"/>
                <w:sz w:val="16"/>
                <w:szCs w:val="16"/>
                <w:lang w:eastAsia="de-DE"/>
              </w:rPr>
              <w:t>er 95% CI</w:t>
            </w:r>
          </w:p>
        </w:tc>
        <w:tc>
          <w:tcPr>
            <w:tcW w:w="1453" w:type="dxa"/>
            <w:shd w:val="clear" w:color="auto" w:fill="auto"/>
            <w:noWrap/>
            <w:vAlign w:val="center"/>
            <w:hideMark/>
          </w:tcPr>
          <w:p w14:paraId="704778BC"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00EFA8A1"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t</w:t>
            </w:r>
          </w:p>
        </w:tc>
        <w:tc>
          <w:tcPr>
            <w:tcW w:w="865" w:type="dxa"/>
            <w:shd w:val="clear" w:color="auto" w:fill="auto"/>
            <w:noWrap/>
            <w:vAlign w:val="center"/>
            <w:hideMark/>
          </w:tcPr>
          <w:p w14:paraId="0524E45C"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hideMark/>
          </w:tcPr>
          <w:p w14:paraId="735955EB"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1307C2" w:rsidRPr="00572FFF" w14:paraId="1F176264" w14:textId="77777777" w:rsidTr="00572FFF">
        <w:trPr>
          <w:trHeight w:val="300"/>
          <w:jc w:val="center"/>
        </w:trPr>
        <w:tc>
          <w:tcPr>
            <w:tcW w:w="1075" w:type="dxa"/>
            <w:shd w:val="clear" w:color="auto" w:fill="auto"/>
            <w:noWrap/>
            <w:vAlign w:val="center"/>
            <w:hideMark/>
          </w:tcPr>
          <w:p w14:paraId="0F6FA46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49025B1B" w14:textId="5BB18A7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7A6DFF49" w14:textId="3C49039A"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-0.00112</w:t>
            </w:r>
          </w:p>
        </w:tc>
        <w:tc>
          <w:tcPr>
            <w:tcW w:w="1438" w:type="dxa"/>
            <w:vAlign w:val="center"/>
          </w:tcPr>
          <w:p w14:paraId="68E7839C" w14:textId="47E76E0F"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0.001395</w:t>
            </w:r>
          </w:p>
        </w:tc>
        <w:tc>
          <w:tcPr>
            <w:tcW w:w="1453" w:type="dxa"/>
            <w:shd w:val="clear" w:color="auto" w:fill="auto"/>
            <w:noWrap/>
            <w:vAlign w:val="center"/>
          </w:tcPr>
          <w:p w14:paraId="14B0EDB0" w14:textId="0767FE8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3.20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629B2FA2" w14:textId="37FF7FB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1</w:t>
            </w:r>
          </w:p>
        </w:tc>
        <w:tc>
          <w:tcPr>
            <w:tcW w:w="865" w:type="dxa"/>
            <w:shd w:val="clear" w:color="auto" w:fill="auto"/>
            <w:noWrap/>
            <w:vAlign w:val="center"/>
          </w:tcPr>
          <w:p w14:paraId="767F4A9E" w14:textId="6F0D2D3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110.95</w:t>
            </w:r>
          </w:p>
        </w:tc>
        <w:tc>
          <w:tcPr>
            <w:tcW w:w="642" w:type="dxa"/>
            <w:shd w:val="clear" w:color="auto" w:fill="auto"/>
            <w:noWrap/>
            <w:vAlign w:val="center"/>
          </w:tcPr>
          <w:p w14:paraId="0C5E7767" w14:textId="621B5D21" w:rsidR="001307C2" w:rsidRPr="00572FFF" w:rsidRDefault="00572FFF"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1307C2" w:rsidRPr="00572FFF" w14:paraId="15621205" w14:textId="77777777" w:rsidTr="00572FFF">
        <w:trPr>
          <w:trHeight w:val="300"/>
          <w:jc w:val="center"/>
        </w:trPr>
        <w:tc>
          <w:tcPr>
            <w:tcW w:w="1075" w:type="dxa"/>
            <w:shd w:val="clear" w:color="auto" w:fill="auto"/>
            <w:noWrap/>
            <w:vAlign w:val="center"/>
            <w:hideMark/>
          </w:tcPr>
          <w:p w14:paraId="5F26641A"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5EDB281D" w14:textId="397E268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-5.57</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189EC53E" w14:textId="2423D6C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-0.00177</w:t>
            </w:r>
          </w:p>
        </w:tc>
        <w:tc>
          <w:tcPr>
            <w:tcW w:w="1438" w:type="dxa"/>
            <w:vAlign w:val="center"/>
          </w:tcPr>
          <w:p w14:paraId="1E0193CC" w14:textId="3D8F255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6.55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3D8FBC65" w14:textId="45375E6E"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3.08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4E3B4CE0" w14:textId="39082D1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w:t>
            </w:r>
            <w:r w:rsidR="00572FFF">
              <w:rPr>
                <w:rFonts w:ascii="Times New Roman" w:hAnsi="Times New Roman" w:cs="Times New Roman"/>
                <w:color w:val="000000"/>
                <w:sz w:val="16"/>
                <w:szCs w:val="16"/>
              </w:rPr>
              <w:t>8</w:t>
            </w:r>
          </w:p>
        </w:tc>
        <w:tc>
          <w:tcPr>
            <w:tcW w:w="865" w:type="dxa"/>
            <w:shd w:val="clear" w:color="auto" w:fill="auto"/>
            <w:noWrap/>
            <w:vAlign w:val="center"/>
          </w:tcPr>
          <w:p w14:paraId="54011394" w14:textId="3D85A5F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96.2</w:t>
            </w:r>
            <w:r w:rsidR="00572FFF">
              <w:rPr>
                <w:rFonts w:ascii="Times New Roman" w:hAnsi="Times New Roman" w:cs="Times New Roman"/>
                <w:color w:val="000000"/>
                <w:sz w:val="16"/>
                <w:szCs w:val="16"/>
              </w:rPr>
              <w:t>3</w:t>
            </w:r>
          </w:p>
        </w:tc>
        <w:tc>
          <w:tcPr>
            <w:tcW w:w="642" w:type="dxa"/>
            <w:shd w:val="clear" w:color="auto" w:fill="auto"/>
            <w:noWrap/>
            <w:vAlign w:val="center"/>
          </w:tcPr>
          <w:p w14:paraId="4858E550" w14:textId="1421E11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w:t>
            </w:r>
            <w:r w:rsidR="00572FFF">
              <w:rPr>
                <w:rFonts w:ascii="Times New Roman" w:hAnsi="Times New Roman" w:cs="Times New Roman"/>
                <w:color w:val="000000"/>
                <w:sz w:val="16"/>
                <w:szCs w:val="16"/>
              </w:rPr>
              <w:t>1</w:t>
            </w:r>
          </w:p>
        </w:tc>
      </w:tr>
      <w:tr w:rsidR="001307C2" w:rsidRPr="00572FFF" w14:paraId="7D07BB41" w14:textId="77777777" w:rsidTr="00572FFF">
        <w:trPr>
          <w:trHeight w:val="300"/>
          <w:jc w:val="center"/>
        </w:trPr>
        <w:tc>
          <w:tcPr>
            <w:tcW w:w="1075" w:type="dxa"/>
            <w:shd w:val="clear" w:color="auto" w:fill="auto"/>
            <w:noWrap/>
            <w:vAlign w:val="center"/>
            <w:hideMark/>
          </w:tcPr>
          <w:p w14:paraId="6E5A0921"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F1D237D" w14:textId="71D17CE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-4.24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6BE7267C" w14:textId="23FFA2E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-0.00181</w:t>
            </w:r>
          </w:p>
        </w:tc>
        <w:tc>
          <w:tcPr>
            <w:tcW w:w="1438" w:type="dxa"/>
            <w:vAlign w:val="center"/>
          </w:tcPr>
          <w:p w14:paraId="1DBC461B" w14:textId="6747987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9.61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5ADA3261" w14:textId="539ECBA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7FCB9265" w14:textId="15B0D82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0.85</w:t>
            </w:r>
          </w:p>
        </w:tc>
        <w:tc>
          <w:tcPr>
            <w:tcW w:w="865" w:type="dxa"/>
            <w:shd w:val="clear" w:color="auto" w:fill="auto"/>
            <w:noWrap/>
            <w:vAlign w:val="center"/>
          </w:tcPr>
          <w:p w14:paraId="3FBC20C1" w14:textId="0E3D744A"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99.17</w:t>
            </w:r>
          </w:p>
        </w:tc>
        <w:tc>
          <w:tcPr>
            <w:tcW w:w="642" w:type="dxa"/>
            <w:shd w:val="clear" w:color="auto" w:fill="auto"/>
            <w:noWrap/>
            <w:vAlign w:val="center"/>
          </w:tcPr>
          <w:p w14:paraId="2F4173E4" w14:textId="7BE566E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0.91</w:t>
            </w:r>
          </w:p>
        </w:tc>
      </w:tr>
      <w:tr w:rsidR="001307C2" w:rsidRPr="00572FFF" w14:paraId="1768378E" w14:textId="77777777" w:rsidTr="00572FFF">
        <w:trPr>
          <w:trHeight w:val="300"/>
          <w:jc w:val="center"/>
        </w:trPr>
        <w:tc>
          <w:tcPr>
            <w:tcW w:w="1075" w:type="dxa"/>
            <w:shd w:val="clear" w:color="auto" w:fill="auto"/>
            <w:noWrap/>
            <w:vAlign w:val="center"/>
            <w:hideMark/>
          </w:tcPr>
          <w:p w14:paraId="2CA7AD1E"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37A91F28" w14:textId="3B5D0C3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-0.00129</w:t>
            </w:r>
          </w:p>
        </w:tc>
        <w:tc>
          <w:tcPr>
            <w:tcW w:w="1350" w:type="dxa"/>
            <w:vAlign w:val="center"/>
          </w:tcPr>
          <w:p w14:paraId="6E1D1167" w14:textId="42B7457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-0.0024</w:t>
            </w:r>
          </w:p>
        </w:tc>
        <w:tc>
          <w:tcPr>
            <w:tcW w:w="1438" w:type="dxa"/>
            <w:vAlign w:val="center"/>
          </w:tcPr>
          <w:p w14:paraId="6C318E62" w14:textId="7631384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44302A15" w14:textId="7984D24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2.85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06CB3170" w14:textId="6C526CE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w:t>
            </w:r>
            <w:r w:rsidR="00572FFF">
              <w:rPr>
                <w:rFonts w:ascii="Times New Roman" w:hAnsi="Times New Roman" w:cs="Times New Roman"/>
                <w:color w:val="000000"/>
                <w:sz w:val="16"/>
                <w:szCs w:val="16"/>
              </w:rPr>
              <w:t>20</w:t>
            </w:r>
          </w:p>
        </w:tc>
        <w:tc>
          <w:tcPr>
            <w:tcW w:w="865" w:type="dxa"/>
            <w:shd w:val="clear" w:color="auto" w:fill="auto"/>
            <w:noWrap/>
            <w:vAlign w:val="center"/>
          </w:tcPr>
          <w:p w14:paraId="3C3445F1" w14:textId="66A3040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133.57</w:t>
            </w:r>
          </w:p>
        </w:tc>
        <w:tc>
          <w:tcPr>
            <w:tcW w:w="642" w:type="dxa"/>
            <w:shd w:val="clear" w:color="auto" w:fill="auto"/>
            <w:noWrap/>
            <w:vAlign w:val="center"/>
          </w:tcPr>
          <w:p w14:paraId="3C6C077E" w14:textId="6728A297" w:rsidR="001307C2" w:rsidRPr="003846F7"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w:t>
            </w:r>
            <w:r w:rsidR="00572FFF" w:rsidRPr="003846F7">
              <w:rPr>
                <w:rFonts w:ascii="Times New Roman" w:hAnsi="Times New Roman" w:cs="Times New Roman"/>
                <w:b/>
                <w:color w:val="000000"/>
                <w:sz w:val="16"/>
                <w:szCs w:val="16"/>
              </w:rPr>
              <w:t>15</w:t>
            </w:r>
          </w:p>
        </w:tc>
      </w:tr>
      <w:tr w:rsidR="001307C2" w:rsidRPr="00572FFF" w14:paraId="51E17BED" w14:textId="77777777" w:rsidTr="00572FFF">
        <w:trPr>
          <w:trHeight w:val="300"/>
          <w:jc w:val="center"/>
        </w:trPr>
        <w:tc>
          <w:tcPr>
            <w:tcW w:w="1075" w:type="dxa"/>
            <w:shd w:val="clear" w:color="auto" w:fill="auto"/>
            <w:noWrap/>
            <w:vAlign w:val="center"/>
            <w:hideMark/>
          </w:tcPr>
          <w:p w14:paraId="142800B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DAFC31E" w14:textId="72045DB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-6.95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3ADD4BE9" w14:textId="49BC0FCF"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-0.00194</w:t>
            </w:r>
          </w:p>
        </w:tc>
        <w:tc>
          <w:tcPr>
            <w:tcW w:w="1438" w:type="dxa"/>
            <w:vAlign w:val="center"/>
          </w:tcPr>
          <w:p w14:paraId="56B606B4" w14:textId="333923B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202C1829" w14:textId="78B3194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3.16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56A79E88" w14:textId="2B69333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1.55</w:t>
            </w:r>
          </w:p>
        </w:tc>
        <w:tc>
          <w:tcPr>
            <w:tcW w:w="865" w:type="dxa"/>
            <w:shd w:val="clear" w:color="auto" w:fill="auto"/>
            <w:noWrap/>
            <w:vAlign w:val="center"/>
          </w:tcPr>
          <w:p w14:paraId="7779A5BD" w14:textId="2337B82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83.6</w:t>
            </w:r>
            <w:r w:rsidR="00572FFF">
              <w:rPr>
                <w:rFonts w:ascii="Times New Roman" w:hAnsi="Times New Roman" w:cs="Times New Roman"/>
                <w:color w:val="000000"/>
                <w:sz w:val="16"/>
                <w:szCs w:val="16"/>
              </w:rPr>
              <w:t>4</w:t>
            </w:r>
          </w:p>
        </w:tc>
        <w:tc>
          <w:tcPr>
            <w:tcW w:w="642" w:type="dxa"/>
            <w:shd w:val="clear" w:color="auto" w:fill="auto"/>
            <w:noWrap/>
            <w:vAlign w:val="center"/>
          </w:tcPr>
          <w:p w14:paraId="10D837CD" w14:textId="7961042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0.53</w:t>
            </w:r>
          </w:p>
        </w:tc>
      </w:tr>
      <w:tr w:rsidR="001307C2" w:rsidRPr="00572FFF" w14:paraId="74668671" w14:textId="77777777" w:rsidTr="00572FFF">
        <w:trPr>
          <w:trHeight w:val="300"/>
          <w:jc w:val="center"/>
        </w:trPr>
        <w:tc>
          <w:tcPr>
            <w:tcW w:w="1075" w:type="dxa"/>
            <w:shd w:val="clear" w:color="auto" w:fill="auto"/>
            <w:noWrap/>
            <w:vAlign w:val="center"/>
            <w:hideMark/>
          </w:tcPr>
          <w:p w14:paraId="525C25BD"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34209A0E" w14:textId="47CE152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-5.63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61C2CF1E" w14:textId="2B4D4BB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-0.00198</w:t>
            </w:r>
          </w:p>
        </w:tc>
        <w:tc>
          <w:tcPr>
            <w:tcW w:w="1438" w:type="dxa"/>
            <w:vAlign w:val="center"/>
          </w:tcPr>
          <w:p w14:paraId="0990AF68" w14:textId="0AF2E9F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0EA5E5C7" w14:textId="2D0C6D4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3.60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0D6CB13A" w14:textId="5AA6A04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w:t>
            </w:r>
            <w:r w:rsidR="00572FFF">
              <w:rPr>
                <w:rFonts w:ascii="Times New Roman" w:hAnsi="Times New Roman" w:cs="Times New Roman"/>
                <w:color w:val="000000"/>
                <w:sz w:val="16"/>
                <w:szCs w:val="16"/>
              </w:rPr>
              <w:t>1</w:t>
            </w:r>
          </w:p>
        </w:tc>
        <w:tc>
          <w:tcPr>
            <w:tcW w:w="865" w:type="dxa"/>
            <w:shd w:val="clear" w:color="auto" w:fill="auto"/>
            <w:noWrap/>
            <w:vAlign w:val="center"/>
          </w:tcPr>
          <w:p w14:paraId="1DD7BED0" w14:textId="294FDD6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92.1</w:t>
            </w:r>
            <w:r w:rsidR="00572FFF">
              <w:rPr>
                <w:rFonts w:ascii="Times New Roman" w:hAnsi="Times New Roman" w:cs="Times New Roman"/>
                <w:color w:val="000000"/>
                <w:sz w:val="16"/>
                <w:szCs w:val="16"/>
              </w:rPr>
              <w:t>2</w:t>
            </w:r>
          </w:p>
        </w:tc>
        <w:tc>
          <w:tcPr>
            <w:tcW w:w="642" w:type="dxa"/>
            <w:shd w:val="clear" w:color="auto" w:fill="auto"/>
            <w:noWrap/>
            <w:vAlign w:val="center"/>
          </w:tcPr>
          <w:p w14:paraId="78BFE2A3" w14:textId="047BFC6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0.80</w:t>
            </w:r>
          </w:p>
        </w:tc>
      </w:tr>
      <w:tr w:rsidR="001307C2" w:rsidRPr="003846F7" w14:paraId="53DB9813" w14:textId="77777777" w:rsidTr="00572FFF">
        <w:trPr>
          <w:trHeight w:val="300"/>
          <w:jc w:val="center"/>
        </w:trPr>
        <w:tc>
          <w:tcPr>
            <w:tcW w:w="1075" w:type="dxa"/>
            <w:shd w:val="clear" w:color="auto" w:fill="auto"/>
            <w:noWrap/>
            <w:vAlign w:val="center"/>
            <w:hideMark/>
          </w:tcPr>
          <w:p w14:paraId="1C408760"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2963E1F" w14:textId="388FFDF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-0.00143</w:t>
            </w:r>
          </w:p>
        </w:tc>
        <w:tc>
          <w:tcPr>
            <w:tcW w:w="1350" w:type="dxa"/>
            <w:vAlign w:val="center"/>
          </w:tcPr>
          <w:p w14:paraId="08DA19B6" w14:textId="72488A5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-0.00258</w:t>
            </w:r>
          </w:p>
        </w:tc>
        <w:tc>
          <w:tcPr>
            <w:tcW w:w="1438" w:type="dxa"/>
            <w:vAlign w:val="center"/>
          </w:tcPr>
          <w:p w14:paraId="321904B4" w14:textId="5449317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-2.71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04D63FF7" w14:textId="5ED4BBA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2A60A0A7" w14:textId="0FD16A8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3.43</w:t>
            </w:r>
          </w:p>
        </w:tc>
        <w:tc>
          <w:tcPr>
            <w:tcW w:w="865" w:type="dxa"/>
            <w:shd w:val="clear" w:color="auto" w:fill="auto"/>
            <w:noWrap/>
            <w:vAlign w:val="center"/>
          </w:tcPr>
          <w:p w14:paraId="57FFE9CD" w14:textId="343526F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98.6</w:t>
            </w:r>
            <w:r w:rsidR="00572FFF">
              <w:rPr>
                <w:rFonts w:ascii="Times New Roman" w:hAnsi="Times New Roman" w:cs="Times New Roman"/>
                <w:color w:val="000000"/>
                <w:sz w:val="16"/>
                <w:szCs w:val="16"/>
              </w:rPr>
              <w:t>3</w:t>
            </w:r>
          </w:p>
        </w:tc>
        <w:tc>
          <w:tcPr>
            <w:tcW w:w="642" w:type="dxa"/>
            <w:shd w:val="clear" w:color="auto" w:fill="auto"/>
            <w:noWrap/>
            <w:vAlign w:val="center"/>
          </w:tcPr>
          <w:p w14:paraId="0FB95416" w14:textId="79C1DCD6" w:rsidR="001307C2" w:rsidRPr="003846F7"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0.007</w:t>
            </w:r>
            <w:r w:rsidR="00572FFF" w:rsidRPr="003846F7">
              <w:rPr>
                <w:rFonts w:ascii="Times New Roman" w:hAnsi="Times New Roman" w:cs="Times New Roman"/>
                <w:b/>
                <w:color w:val="000000"/>
                <w:sz w:val="16"/>
                <w:szCs w:val="16"/>
              </w:rPr>
              <w:t>6</w:t>
            </w:r>
          </w:p>
        </w:tc>
      </w:tr>
      <w:tr w:rsidR="001307C2" w:rsidRPr="00572FFF" w14:paraId="042F6C07" w14:textId="77777777" w:rsidTr="00572FFF">
        <w:trPr>
          <w:trHeight w:val="300"/>
          <w:jc w:val="center"/>
        </w:trPr>
        <w:tc>
          <w:tcPr>
            <w:tcW w:w="1075" w:type="dxa"/>
            <w:shd w:val="clear" w:color="auto" w:fill="auto"/>
            <w:noWrap/>
            <w:vAlign w:val="center"/>
            <w:hideMark/>
          </w:tcPr>
          <w:p w14:paraId="2A65E0B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216A1E07" w14:textId="2E1353D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7F0EB4B3" w14:textId="57C44C1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-0.00124</w:t>
            </w:r>
          </w:p>
        </w:tc>
        <w:tc>
          <w:tcPr>
            <w:tcW w:w="1438" w:type="dxa"/>
            <w:vAlign w:val="center"/>
          </w:tcPr>
          <w:p w14:paraId="72374623" w14:textId="5AA7E06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0.001509</w:t>
            </w:r>
          </w:p>
        </w:tc>
        <w:tc>
          <w:tcPr>
            <w:tcW w:w="1453" w:type="dxa"/>
            <w:shd w:val="clear" w:color="auto" w:fill="auto"/>
            <w:noWrap/>
            <w:vAlign w:val="center"/>
          </w:tcPr>
          <w:p w14:paraId="4D8AAA85" w14:textId="41508CE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3.49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5BBC8941" w14:textId="174D0FD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0.2</w:t>
            </w:r>
            <w:r w:rsidR="00572FFF">
              <w:rPr>
                <w:rFonts w:ascii="Times New Roman" w:hAnsi="Times New Roman" w:cs="Times New Roman"/>
                <w:color w:val="000000"/>
                <w:sz w:val="16"/>
                <w:szCs w:val="16"/>
              </w:rPr>
              <w:t>7</w:t>
            </w:r>
          </w:p>
        </w:tc>
        <w:tc>
          <w:tcPr>
            <w:tcW w:w="865" w:type="dxa"/>
            <w:shd w:val="clear" w:color="auto" w:fill="auto"/>
            <w:noWrap/>
            <w:vAlign w:val="center"/>
          </w:tcPr>
          <w:p w14:paraId="6AEA73C1" w14:textId="6477DCD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82.0</w:t>
            </w:r>
            <w:r w:rsidR="00572FFF">
              <w:rPr>
                <w:rFonts w:ascii="Times New Roman" w:hAnsi="Times New Roman" w:cs="Times New Roman"/>
                <w:color w:val="000000"/>
                <w:sz w:val="16"/>
                <w:szCs w:val="16"/>
              </w:rPr>
              <w:t>2</w:t>
            </w:r>
          </w:p>
        </w:tc>
        <w:tc>
          <w:tcPr>
            <w:tcW w:w="642" w:type="dxa"/>
            <w:shd w:val="clear" w:color="auto" w:fill="auto"/>
            <w:noWrap/>
            <w:vAlign w:val="center"/>
          </w:tcPr>
          <w:p w14:paraId="3F679798" w14:textId="74791AAE" w:rsidR="001307C2" w:rsidRPr="00572FFF" w:rsidRDefault="00572FFF"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1307C2" w:rsidRPr="00572FFF" w14:paraId="281EE244" w14:textId="77777777" w:rsidTr="00572FFF">
        <w:trPr>
          <w:trHeight w:val="300"/>
          <w:jc w:val="center"/>
        </w:trPr>
        <w:tc>
          <w:tcPr>
            <w:tcW w:w="1075" w:type="dxa"/>
            <w:shd w:val="clear" w:color="auto" w:fill="auto"/>
            <w:noWrap/>
            <w:vAlign w:val="center"/>
            <w:hideMark/>
          </w:tcPr>
          <w:p w14:paraId="2A4FF8CC"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5908830C" w14:textId="1FE7C07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-7.29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36985481" w14:textId="64C730B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-0.00183</w:t>
            </w:r>
          </w:p>
        </w:tc>
        <w:tc>
          <w:tcPr>
            <w:tcW w:w="1438" w:type="dxa"/>
            <w:vAlign w:val="center"/>
          </w:tcPr>
          <w:p w14:paraId="0CEE96FB" w14:textId="6DA1AA0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3.75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3822E4EA" w14:textId="78B2846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2DB4B4A8" w14:textId="21174A8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1.84</w:t>
            </w:r>
          </w:p>
        </w:tc>
        <w:tc>
          <w:tcPr>
            <w:tcW w:w="865" w:type="dxa"/>
            <w:shd w:val="clear" w:color="auto" w:fill="auto"/>
            <w:noWrap/>
            <w:vAlign w:val="center"/>
          </w:tcPr>
          <w:p w14:paraId="08836E19" w14:textId="1919A34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83.1</w:t>
            </w:r>
            <w:r w:rsidR="00572FFF">
              <w:rPr>
                <w:rFonts w:ascii="Times New Roman" w:hAnsi="Times New Roman" w:cs="Times New Roman"/>
                <w:color w:val="000000"/>
                <w:sz w:val="16"/>
                <w:szCs w:val="16"/>
              </w:rPr>
              <w:t>9</w:t>
            </w:r>
          </w:p>
        </w:tc>
        <w:tc>
          <w:tcPr>
            <w:tcW w:w="642" w:type="dxa"/>
            <w:shd w:val="clear" w:color="auto" w:fill="auto"/>
            <w:noWrap/>
            <w:vAlign w:val="center"/>
          </w:tcPr>
          <w:p w14:paraId="35235920" w14:textId="1839238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6</w:t>
            </w:r>
          </w:p>
        </w:tc>
      </w:tr>
      <w:tr w:rsidR="001307C2" w:rsidRPr="00572FFF" w14:paraId="07022B19" w14:textId="77777777" w:rsidTr="00572FFF">
        <w:trPr>
          <w:trHeight w:val="300"/>
          <w:jc w:val="center"/>
        </w:trPr>
        <w:tc>
          <w:tcPr>
            <w:tcW w:w="1075" w:type="dxa"/>
            <w:shd w:val="clear" w:color="auto" w:fill="auto"/>
            <w:noWrap/>
            <w:vAlign w:val="center"/>
            <w:hideMark/>
          </w:tcPr>
          <w:p w14:paraId="43DB02AD"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440274A0" w14:textId="021DBAD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-8.62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2D40E66F" w14:textId="524DE4C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-0.00216</w:t>
            </w:r>
          </w:p>
        </w:tc>
        <w:tc>
          <w:tcPr>
            <w:tcW w:w="1438" w:type="dxa"/>
            <w:vAlign w:val="center"/>
          </w:tcPr>
          <w:p w14:paraId="2DD4EEAA" w14:textId="6253573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4.31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5CD4CE64" w14:textId="306D196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6AFEBBFA" w14:textId="49912BE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w:t>
            </w:r>
            <w:r w:rsidR="00572FFF">
              <w:rPr>
                <w:rFonts w:ascii="Times New Roman" w:hAnsi="Times New Roman" w:cs="Times New Roman"/>
                <w:color w:val="000000"/>
                <w:sz w:val="16"/>
                <w:szCs w:val="16"/>
              </w:rPr>
              <w:t>6</w:t>
            </w:r>
          </w:p>
        </w:tc>
        <w:tc>
          <w:tcPr>
            <w:tcW w:w="865" w:type="dxa"/>
            <w:shd w:val="clear" w:color="auto" w:fill="auto"/>
            <w:noWrap/>
            <w:vAlign w:val="center"/>
          </w:tcPr>
          <w:p w14:paraId="497E4401" w14:textId="2E14518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85.35</w:t>
            </w:r>
          </w:p>
        </w:tc>
        <w:tc>
          <w:tcPr>
            <w:tcW w:w="642" w:type="dxa"/>
            <w:shd w:val="clear" w:color="auto" w:fill="auto"/>
            <w:noWrap/>
            <w:vAlign w:val="center"/>
          </w:tcPr>
          <w:p w14:paraId="0C03C0A5" w14:textId="06884D0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5</w:t>
            </w:r>
          </w:p>
        </w:tc>
      </w:tr>
    </w:tbl>
    <w:p w14:paraId="197B016B" w14:textId="77777777" w:rsidR="008843FD" w:rsidRDefault="008843FD">
      <w:pPr>
        <w:rPr>
          <w:rFonts w:ascii="Times New Roman" w:hAnsi="Times New Roman" w:cs="Times New Roman"/>
          <w:b/>
          <w:sz w:val="24"/>
          <w:szCs w:val="24"/>
          <w:lang w:val="en-US"/>
        </w:rPr>
      </w:pPr>
    </w:p>
    <w:p w14:paraId="5D2C1E9C" w14:textId="793C178D"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5k. Mercury.</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5B9AEAC6" w14:textId="77777777" w:rsidTr="00572FFF">
        <w:trPr>
          <w:trHeight w:val="300"/>
          <w:jc w:val="center"/>
        </w:trPr>
        <w:tc>
          <w:tcPr>
            <w:tcW w:w="9017" w:type="dxa"/>
            <w:gridSpan w:val="4"/>
            <w:shd w:val="clear" w:color="auto" w:fill="auto"/>
            <w:noWrap/>
            <w:vAlign w:val="center"/>
          </w:tcPr>
          <w:p w14:paraId="00E13AD7" w14:textId="17C80F13"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6C0153DA" w14:textId="77777777" w:rsidTr="001A2F55">
        <w:trPr>
          <w:trHeight w:val="300"/>
          <w:jc w:val="center"/>
        </w:trPr>
        <w:tc>
          <w:tcPr>
            <w:tcW w:w="6756" w:type="dxa"/>
            <w:vMerge w:val="restart"/>
            <w:shd w:val="clear" w:color="auto" w:fill="auto"/>
            <w:noWrap/>
            <w:vAlign w:val="center"/>
          </w:tcPr>
          <w:p w14:paraId="2AB07987"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F330C5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46DD0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3E4CFB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15169B36" w14:textId="77777777" w:rsidTr="001A2F55">
        <w:trPr>
          <w:trHeight w:val="300"/>
          <w:jc w:val="center"/>
        </w:trPr>
        <w:tc>
          <w:tcPr>
            <w:tcW w:w="6756" w:type="dxa"/>
            <w:vMerge/>
            <w:shd w:val="clear" w:color="auto" w:fill="auto"/>
            <w:noWrap/>
            <w:vAlign w:val="center"/>
          </w:tcPr>
          <w:p w14:paraId="567130E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F6E966A" w14:textId="710EF96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1.88</w:t>
            </w:r>
          </w:p>
        </w:tc>
        <w:tc>
          <w:tcPr>
            <w:tcW w:w="865" w:type="dxa"/>
            <w:shd w:val="clear" w:color="auto" w:fill="auto"/>
            <w:noWrap/>
            <w:vAlign w:val="center"/>
          </w:tcPr>
          <w:p w14:paraId="261DED55" w14:textId="3439C7A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4, 157</w:t>
            </w:r>
          </w:p>
        </w:tc>
        <w:tc>
          <w:tcPr>
            <w:tcW w:w="642" w:type="dxa"/>
            <w:shd w:val="clear" w:color="auto" w:fill="auto"/>
            <w:noWrap/>
            <w:vAlign w:val="center"/>
          </w:tcPr>
          <w:p w14:paraId="65269B09" w14:textId="287B2C4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0.11</w:t>
            </w:r>
          </w:p>
        </w:tc>
      </w:tr>
      <w:tr w:rsidR="001824E5" w:rsidRPr="006D0FD5" w14:paraId="0C9A2F88" w14:textId="77777777" w:rsidTr="00572FFF">
        <w:trPr>
          <w:trHeight w:val="300"/>
          <w:jc w:val="center"/>
        </w:trPr>
        <w:tc>
          <w:tcPr>
            <w:tcW w:w="9017" w:type="dxa"/>
            <w:gridSpan w:val="4"/>
            <w:shd w:val="clear" w:color="auto" w:fill="auto"/>
            <w:noWrap/>
            <w:vAlign w:val="center"/>
          </w:tcPr>
          <w:p w14:paraId="2EEB1BE7" w14:textId="289029DE" w:rsidR="001824E5" w:rsidRPr="00572FFF" w:rsidRDefault="001824E5"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t>
            </w:r>
            <w:r w:rsidR="00572FFF" w:rsidRPr="00572FFF">
              <w:rPr>
                <w:rFonts w:ascii="Times New Roman" w:eastAsia="Times New Roman" w:hAnsi="Times New Roman" w:cs="Times New Roman"/>
                <w:b/>
                <w:i/>
                <w:color w:val="000000"/>
                <w:sz w:val="16"/>
                <w:szCs w:val="16"/>
                <w:lang w:val="en-US" w:eastAsia="de-DE"/>
              </w:rPr>
              <w:t>assuming equal variances</w:t>
            </w:r>
          </w:p>
        </w:tc>
      </w:tr>
      <w:tr w:rsidR="007B33CE" w:rsidRPr="00572FFF" w14:paraId="0A83C2C2" w14:textId="77777777" w:rsidTr="001A2F55">
        <w:trPr>
          <w:trHeight w:val="300"/>
          <w:jc w:val="center"/>
        </w:trPr>
        <w:tc>
          <w:tcPr>
            <w:tcW w:w="6756" w:type="dxa"/>
            <w:vMerge w:val="restart"/>
            <w:shd w:val="clear" w:color="auto" w:fill="auto"/>
            <w:noWrap/>
            <w:vAlign w:val="center"/>
          </w:tcPr>
          <w:p w14:paraId="1E6B4275"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3E14245" w14:textId="6536979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3B81AA5" w14:textId="7A61557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8E31405" w14:textId="031799A2"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5755485F" w14:textId="77777777" w:rsidTr="001A2F55">
        <w:trPr>
          <w:trHeight w:val="300"/>
          <w:jc w:val="center"/>
        </w:trPr>
        <w:tc>
          <w:tcPr>
            <w:tcW w:w="6756" w:type="dxa"/>
            <w:vMerge/>
            <w:shd w:val="clear" w:color="auto" w:fill="auto"/>
            <w:noWrap/>
            <w:vAlign w:val="center"/>
          </w:tcPr>
          <w:p w14:paraId="181E37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440AC1" w14:textId="53779099"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0.42</w:t>
            </w:r>
          </w:p>
        </w:tc>
        <w:tc>
          <w:tcPr>
            <w:tcW w:w="865" w:type="dxa"/>
            <w:shd w:val="clear" w:color="auto" w:fill="auto"/>
            <w:noWrap/>
            <w:vAlign w:val="center"/>
          </w:tcPr>
          <w:p w14:paraId="7F5D8578" w14:textId="66EB316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4, 157</w:t>
            </w:r>
          </w:p>
        </w:tc>
        <w:tc>
          <w:tcPr>
            <w:tcW w:w="642" w:type="dxa"/>
            <w:shd w:val="clear" w:color="auto" w:fill="auto"/>
            <w:noWrap/>
            <w:vAlign w:val="center"/>
          </w:tcPr>
          <w:p w14:paraId="41D65A5C" w14:textId="1BC9BAC8"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0.80</w:t>
            </w:r>
          </w:p>
        </w:tc>
      </w:tr>
      <w:tr w:rsidR="008843FD" w:rsidRPr="006D0FD5" w14:paraId="6F97F23A" w14:textId="77777777" w:rsidTr="00572FFF">
        <w:trPr>
          <w:trHeight w:val="300"/>
          <w:jc w:val="center"/>
        </w:trPr>
        <w:tc>
          <w:tcPr>
            <w:tcW w:w="9017" w:type="dxa"/>
            <w:gridSpan w:val="4"/>
            <w:shd w:val="clear" w:color="auto" w:fill="auto"/>
            <w:noWrap/>
            <w:vAlign w:val="center"/>
          </w:tcPr>
          <w:p w14:paraId="1F4D3286" w14:textId="55EE41CA"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572FFF" w14:paraId="3FBACBAE" w14:textId="77777777" w:rsidTr="001A2F55">
        <w:trPr>
          <w:trHeight w:val="300"/>
          <w:jc w:val="center"/>
        </w:trPr>
        <w:tc>
          <w:tcPr>
            <w:tcW w:w="6756" w:type="dxa"/>
            <w:vMerge w:val="restart"/>
            <w:shd w:val="clear" w:color="auto" w:fill="auto"/>
            <w:noWrap/>
            <w:vAlign w:val="center"/>
          </w:tcPr>
          <w:p w14:paraId="4DBF1725"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6E7C5AD"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4975284"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C45758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6C44F70A" w14:textId="77777777" w:rsidTr="001A2F55">
        <w:trPr>
          <w:trHeight w:val="300"/>
          <w:jc w:val="center"/>
        </w:trPr>
        <w:tc>
          <w:tcPr>
            <w:tcW w:w="6756" w:type="dxa"/>
            <w:vMerge/>
            <w:shd w:val="clear" w:color="auto" w:fill="auto"/>
            <w:noWrap/>
            <w:vAlign w:val="center"/>
          </w:tcPr>
          <w:p w14:paraId="3A372D6D"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71D67D1F" w14:textId="3A19314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0.34</w:t>
            </w:r>
          </w:p>
        </w:tc>
        <w:tc>
          <w:tcPr>
            <w:tcW w:w="865" w:type="dxa"/>
            <w:shd w:val="clear" w:color="auto" w:fill="auto"/>
            <w:noWrap/>
            <w:vAlign w:val="center"/>
          </w:tcPr>
          <w:p w14:paraId="4C8AF5E3" w14:textId="79DFC8DE"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4, 58.89</w:t>
            </w:r>
          </w:p>
        </w:tc>
        <w:tc>
          <w:tcPr>
            <w:tcW w:w="642" w:type="dxa"/>
            <w:shd w:val="clear" w:color="auto" w:fill="auto"/>
            <w:noWrap/>
            <w:vAlign w:val="center"/>
          </w:tcPr>
          <w:p w14:paraId="0A07E766" w14:textId="522941D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0.84</w:t>
            </w:r>
          </w:p>
        </w:tc>
      </w:tr>
    </w:tbl>
    <w:p w14:paraId="11606247" w14:textId="77777777" w:rsidR="008843FD" w:rsidRDefault="008843FD">
      <w:pPr>
        <w:rPr>
          <w:rFonts w:ascii="Times New Roman" w:hAnsi="Times New Roman" w:cs="Times New Roman"/>
          <w:b/>
          <w:sz w:val="24"/>
          <w:szCs w:val="24"/>
          <w:lang w:val="en-US"/>
        </w:rPr>
      </w:pPr>
    </w:p>
    <w:p w14:paraId="7B302474" w14:textId="77777777" w:rsidR="00793230" w:rsidRDefault="0079323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54CBBDB" w14:textId="13CEAF84"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5l. Nickel.</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900"/>
        <w:gridCol w:w="922"/>
      </w:tblGrid>
      <w:tr w:rsidR="008843FD" w:rsidRPr="006D0FD5" w14:paraId="0BC6EEFE" w14:textId="77777777" w:rsidTr="00572FFF">
        <w:trPr>
          <w:trHeight w:val="300"/>
          <w:jc w:val="center"/>
        </w:trPr>
        <w:tc>
          <w:tcPr>
            <w:tcW w:w="9017" w:type="dxa"/>
            <w:gridSpan w:val="8"/>
            <w:shd w:val="clear" w:color="auto" w:fill="auto"/>
            <w:noWrap/>
            <w:vAlign w:val="center"/>
          </w:tcPr>
          <w:p w14:paraId="6D059F8E" w14:textId="6A40B543"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2D5B34EF" w14:textId="77777777" w:rsidTr="001A2F55">
        <w:trPr>
          <w:trHeight w:val="300"/>
          <w:jc w:val="center"/>
        </w:trPr>
        <w:tc>
          <w:tcPr>
            <w:tcW w:w="6565" w:type="dxa"/>
            <w:gridSpan w:val="5"/>
            <w:vMerge w:val="restart"/>
            <w:shd w:val="clear" w:color="auto" w:fill="auto"/>
            <w:noWrap/>
            <w:vAlign w:val="center"/>
          </w:tcPr>
          <w:p w14:paraId="23A653BA"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3EE6BCA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34E0CB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EEBF67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65973727" w14:textId="77777777" w:rsidTr="001A2F55">
        <w:trPr>
          <w:trHeight w:val="300"/>
          <w:jc w:val="center"/>
        </w:trPr>
        <w:tc>
          <w:tcPr>
            <w:tcW w:w="6565" w:type="dxa"/>
            <w:gridSpan w:val="5"/>
            <w:vMerge/>
            <w:shd w:val="clear" w:color="auto" w:fill="auto"/>
            <w:noWrap/>
            <w:vAlign w:val="center"/>
          </w:tcPr>
          <w:p w14:paraId="20FF50E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7DCF4152" w14:textId="25C4CA6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2.41</w:t>
            </w:r>
          </w:p>
        </w:tc>
        <w:tc>
          <w:tcPr>
            <w:tcW w:w="900" w:type="dxa"/>
            <w:shd w:val="clear" w:color="auto" w:fill="auto"/>
            <w:noWrap/>
            <w:vAlign w:val="center"/>
          </w:tcPr>
          <w:p w14:paraId="7E318D1E" w14:textId="4FE4B50F"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4DFFB388" w14:textId="01CDEDE3"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0.049</w:t>
            </w:r>
          </w:p>
        </w:tc>
      </w:tr>
      <w:tr w:rsidR="00D4175F" w:rsidRPr="006D0FD5" w14:paraId="08D1029E" w14:textId="77777777" w:rsidTr="00572FFF">
        <w:trPr>
          <w:trHeight w:val="300"/>
          <w:jc w:val="center"/>
        </w:trPr>
        <w:tc>
          <w:tcPr>
            <w:tcW w:w="9017" w:type="dxa"/>
            <w:gridSpan w:val="8"/>
            <w:shd w:val="clear" w:color="auto" w:fill="auto"/>
            <w:noWrap/>
            <w:vAlign w:val="center"/>
          </w:tcPr>
          <w:p w14:paraId="7C7DFFF3" w14:textId="3187870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t>
            </w:r>
            <w:r w:rsidR="00572FFF" w:rsidRPr="00572FFF">
              <w:rPr>
                <w:rFonts w:ascii="Times New Roman" w:eastAsia="Times New Roman" w:hAnsi="Times New Roman" w:cs="Times New Roman"/>
                <w:b/>
                <w:i/>
                <w:color w:val="000000"/>
                <w:sz w:val="16"/>
                <w:szCs w:val="16"/>
                <w:lang w:val="en-US" w:eastAsia="de-DE"/>
              </w:rPr>
              <w:t>assuming equal variances</w:t>
            </w:r>
          </w:p>
        </w:tc>
      </w:tr>
      <w:tr w:rsidR="007B33CE" w:rsidRPr="00572FFF" w14:paraId="7ABC2298" w14:textId="77777777" w:rsidTr="001A2F55">
        <w:trPr>
          <w:trHeight w:val="300"/>
          <w:jc w:val="center"/>
        </w:trPr>
        <w:tc>
          <w:tcPr>
            <w:tcW w:w="6565" w:type="dxa"/>
            <w:gridSpan w:val="5"/>
            <w:vMerge w:val="restart"/>
            <w:shd w:val="clear" w:color="auto" w:fill="auto"/>
            <w:noWrap/>
            <w:vAlign w:val="center"/>
          </w:tcPr>
          <w:p w14:paraId="01AE038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0BC9CD07" w14:textId="1EA9A83D"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57CB3280" w14:textId="6DA7F63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95D48BC" w14:textId="5F9C7AF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4A613DDF" w14:textId="77777777" w:rsidTr="001A2F55">
        <w:trPr>
          <w:trHeight w:val="300"/>
          <w:jc w:val="center"/>
        </w:trPr>
        <w:tc>
          <w:tcPr>
            <w:tcW w:w="6565" w:type="dxa"/>
            <w:gridSpan w:val="5"/>
            <w:vMerge/>
            <w:shd w:val="clear" w:color="auto" w:fill="auto"/>
            <w:noWrap/>
            <w:vAlign w:val="center"/>
          </w:tcPr>
          <w:p w14:paraId="5960053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53B40483" w14:textId="11F8628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8.81</w:t>
            </w:r>
          </w:p>
        </w:tc>
        <w:tc>
          <w:tcPr>
            <w:tcW w:w="900" w:type="dxa"/>
            <w:shd w:val="clear" w:color="auto" w:fill="auto"/>
            <w:noWrap/>
            <w:vAlign w:val="center"/>
          </w:tcPr>
          <w:p w14:paraId="3C1DFC04" w14:textId="0B56B14D"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655A0AE7" w14:textId="6C66972E"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1.</w:t>
            </w:r>
            <w:r w:rsidR="003846F7" w:rsidRPr="003846F7">
              <w:rPr>
                <w:rFonts w:ascii="Times New Roman" w:eastAsia="Times New Roman" w:hAnsi="Times New Roman" w:cs="Times New Roman"/>
                <w:b/>
                <w:color w:val="000000"/>
                <w:sz w:val="16"/>
                <w:szCs w:val="16"/>
                <w:lang w:val="en-US" w:eastAsia="de-DE"/>
              </w:rPr>
              <w:t>1</w:t>
            </w:r>
            <w:r w:rsidRPr="003846F7">
              <w:rPr>
                <w:rFonts w:ascii="Times New Roman" w:hAnsi="Times New Roman" w:cs="Times New Roman"/>
                <w:b/>
                <w:color w:val="000000"/>
                <w:sz w:val="16"/>
                <w:szCs w:val="16"/>
              </w:rPr>
              <w:t xml:space="preserve"> x 10</w:t>
            </w:r>
            <w:r w:rsidRPr="003846F7">
              <w:rPr>
                <w:rFonts w:ascii="Times New Roman" w:hAnsi="Times New Roman" w:cs="Times New Roman"/>
                <w:b/>
                <w:color w:val="000000"/>
                <w:sz w:val="16"/>
                <w:szCs w:val="16"/>
                <w:vertAlign w:val="superscript"/>
              </w:rPr>
              <w:t>-6</w:t>
            </w:r>
          </w:p>
        </w:tc>
      </w:tr>
      <w:tr w:rsidR="008843FD" w:rsidRPr="006D0FD5" w14:paraId="2CCBDB86" w14:textId="77777777" w:rsidTr="00572FFF">
        <w:trPr>
          <w:trHeight w:val="300"/>
          <w:jc w:val="center"/>
        </w:trPr>
        <w:tc>
          <w:tcPr>
            <w:tcW w:w="9017" w:type="dxa"/>
            <w:gridSpan w:val="8"/>
            <w:shd w:val="clear" w:color="auto" w:fill="auto"/>
            <w:noWrap/>
            <w:vAlign w:val="center"/>
          </w:tcPr>
          <w:p w14:paraId="752BCFB2" w14:textId="08F0A7CC"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8843FD" w:rsidRPr="00572FFF" w14:paraId="097D5681" w14:textId="77777777" w:rsidTr="003337B0">
        <w:trPr>
          <w:trHeight w:val="300"/>
          <w:jc w:val="center"/>
        </w:trPr>
        <w:tc>
          <w:tcPr>
            <w:tcW w:w="1075" w:type="dxa"/>
            <w:shd w:val="clear" w:color="auto" w:fill="auto"/>
            <w:noWrap/>
            <w:vAlign w:val="center"/>
          </w:tcPr>
          <w:p w14:paraId="23B160E6"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440" w:type="dxa"/>
            <w:shd w:val="clear" w:color="auto" w:fill="auto"/>
            <w:noWrap/>
            <w:vAlign w:val="center"/>
          </w:tcPr>
          <w:p w14:paraId="66DF1A64"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335" w:type="dxa"/>
            <w:vAlign w:val="center"/>
          </w:tcPr>
          <w:p w14:paraId="1804491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453" w:type="dxa"/>
            <w:vAlign w:val="center"/>
          </w:tcPr>
          <w:p w14:paraId="7773E9BD"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262" w:type="dxa"/>
            <w:shd w:val="clear" w:color="auto" w:fill="auto"/>
            <w:noWrap/>
            <w:vAlign w:val="center"/>
          </w:tcPr>
          <w:p w14:paraId="34DAEC53"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DA8FEF3"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7497F1A"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99DE596" w14:textId="28A4EC90" w:rsidR="008843FD" w:rsidRPr="00572FFF" w:rsidRDefault="003337B0"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8843FD" w:rsidRPr="00572FFF" w14:paraId="76A8023F" w14:textId="77777777" w:rsidTr="003337B0">
        <w:trPr>
          <w:trHeight w:val="300"/>
          <w:jc w:val="center"/>
        </w:trPr>
        <w:tc>
          <w:tcPr>
            <w:tcW w:w="1075" w:type="dxa"/>
            <w:shd w:val="clear" w:color="auto" w:fill="auto"/>
            <w:noWrap/>
            <w:vAlign w:val="center"/>
          </w:tcPr>
          <w:p w14:paraId="286C506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440" w:type="dxa"/>
            <w:shd w:val="clear" w:color="auto" w:fill="auto"/>
            <w:noWrap/>
            <w:vAlign w:val="center"/>
          </w:tcPr>
          <w:p w14:paraId="5E5477F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335" w:type="dxa"/>
            <w:vAlign w:val="center"/>
          </w:tcPr>
          <w:p w14:paraId="698A6F87"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453" w:type="dxa"/>
            <w:vAlign w:val="center"/>
          </w:tcPr>
          <w:p w14:paraId="7EE58E77"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262" w:type="dxa"/>
            <w:shd w:val="clear" w:color="auto" w:fill="auto"/>
            <w:noWrap/>
            <w:vAlign w:val="center"/>
          </w:tcPr>
          <w:p w14:paraId="4797782C"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18E9FD17" w14:textId="09DA020D" w:rsidR="008843FD"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16.88</w:t>
            </w:r>
          </w:p>
        </w:tc>
        <w:tc>
          <w:tcPr>
            <w:tcW w:w="900" w:type="dxa"/>
            <w:shd w:val="clear" w:color="auto" w:fill="auto"/>
            <w:noWrap/>
            <w:vAlign w:val="center"/>
          </w:tcPr>
          <w:p w14:paraId="639F0B4F" w14:textId="7BD06AD0" w:rsidR="008843FD"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4, 111.13</w:t>
            </w:r>
          </w:p>
        </w:tc>
        <w:tc>
          <w:tcPr>
            <w:tcW w:w="922" w:type="dxa"/>
            <w:shd w:val="clear" w:color="auto" w:fill="auto"/>
            <w:noWrap/>
            <w:vAlign w:val="center"/>
          </w:tcPr>
          <w:p w14:paraId="6781B921" w14:textId="56A86272" w:rsidR="008843FD"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7.7</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-11</w:t>
            </w:r>
          </w:p>
        </w:tc>
      </w:tr>
      <w:tr w:rsidR="008843FD" w:rsidRPr="006D0FD5" w14:paraId="79BF9352" w14:textId="77777777" w:rsidTr="00572FFF">
        <w:trPr>
          <w:trHeight w:val="300"/>
          <w:jc w:val="center"/>
        </w:trPr>
        <w:tc>
          <w:tcPr>
            <w:tcW w:w="9017" w:type="dxa"/>
            <w:gridSpan w:val="8"/>
            <w:shd w:val="clear" w:color="auto" w:fill="auto"/>
            <w:noWrap/>
            <w:vAlign w:val="center"/>
          </w:tcPr>
          <w:p w14:paraId="266B343B"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72FFF" w14:paraId="317B037F" w14:textId="77777777" w:rsidTr="003337B0">
        <w:trPr>
          <w:trHeight w:val="300"/>
          <w:jc w:val="center"/>
        </w:trPr>
        <w:tc>
          <w:tcPr>
            <w:tcW w:w="1075" w:type="dxa"/>
            <w:shd w:val="clear" w:color="auto" w:fill="auto"/>
            <w:noWrap/>
            <w:vAlign w:val="center"/>
            <w:hideMark/>
          </w:tcPr>
          <w:p w14:paraId="4583B377"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6888ADAD" w14:textId="29EE809E" w:rsidR="008843FD" w:rsidRPr="00572FFF" w:rsidRDefault="0060107F"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35" w:type="dxa"/>
            <w:vAlign w:val="center"/>
          </w:tcPr>
          <w:p w14:paraId="5E7BB0B2"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Upper 95% CI</w:t>
            </w:r>
          </w:p>
        </w:tc>
        <w:tc>
          <w:tcPr>
            <w:tcW w:w="1453" w:type="dxa"/>
            <w:vAlign w:val="center"/>
          </w:tcPr>
          <w:p w14:paraId="4A367741"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Lower 95% CI</w:t>
            </w:r>
          </w:p>
        </w:tc>
        <w:tc>
          <w:tcPr>
            <w:tcW w:w="1262" w:type="dxa"/>
            <w:shd w:val="clear" w:color="auto" w:fill="auto"/>
            <w:noWrap/>
            <w:vAlign w:val="center"/>
            <w:hideMark/>
          </w:tcPr>
          <w:p w14:paraId="2689C33E"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0E13F81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2F207626"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0B615EB5"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D4175F" w:rsidRPr="00572FFF" w14:paraId="508E7B9D" w14:textId="77777777" w:rsidTr="003337B0">
        <w:trPr>
          <w:trHeight w:val="300"/>
          <w:jc w:val="center"/>
        </w:trPr>
        <w:tc>
          <w:tcPr>
            <w:tcW w:w="1075" w:type="dxa"/>
            <w:shd w:val="clear" w:color="auto" w:fill="auto"/>
            <w:noWrap/>
            <w:vAlign w:val="center"/>
            <w:hideMark/>
          </w:tcPr>
          <w:p w14:paraId="5741EC63"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17167639" w14:textId="3684F87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53C21D88" w14:textId="7E96D51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58F3C66B" w14:textId="61253A6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B0FD2D0" w14:textId="5E8F6DA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917242B" w14:textId="6E37713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1.20</w:t>
            </w:r>
          </w:p>
        </w:tc>
        <w:tc>
          <w:tcPr>
            <w:tcW w:w="900" w:type="dxa"/>
            <w:shd w:val="clear" w:color="auto" w:fill="auto"/>
            <w:noWrap/>
            <w:vAlign w:val="center"/>
          </w:tcPr>
          <w:p w14:paraId="17D35EB7" w14:textId="16891D3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103.0</w:t>
            </w:r>
            <w:r w:rsidR="003337B0">
              <w:rPr>
                <w:rFonts w:ascii="Times New Roman" w:hAnsi="Times New Roman" w:cs="Times New Roman"/>
                <w:color w:val="000000"/>
                <w:sz w:val="16"/>
                <w:szCs w:val="16"/>
              </w:rPr>
              <w:t>1</w:t>
            </w:r>
          </w:p>
        </w:tc>
        <w:tc>
          <w:tcPr>
            <w:tcW w:w="922" w:type="dxa"/>
            <w:shd w:val="clear" w:color="auto" w:fill="auto"/>
            <w:noWrap/>
            <w:vAlign w:val="center"/>
          </w:tcPr>
          <w:p w14:paraId="22E544D6" w14:textId="2B1D1CB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0.75</w:t>
            </w:r>
          </w:p>
        </w:tc>
      </w:tr>
      <w:tr w:rsidR="00D4175F" w:rsidRPr="00572FFF" w14:paraId="2E8A543C" w14:textId="77777777" w:rsidTr="003337B0">
        <w:trPr>
          <w:trHeight w:val="300"/>
          <w:jc w:val="center"/>
        </w:trPr>
        <w:tc>
          <w:tcPr>
            <w:tcW w:w="1075" w:type="dxa"/>
            <w:shd w:val="clear" w:color="auto" w:fill="auto"/>
            <w:noWrap/>
            <w:vAlign w:val="center"/>
            <w:hideMark/>
          </w:tcPr>
          <w:p w14:paraId="052926E2"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16C54E59" w14:textId="2B6820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2A5B602F" w14:textId="0F09A8E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0E85B93A" w14:textId="5AE5E70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8.62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3B1FAADB" w14:textId="503E9F6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8EA63A8" w14:textId="1307536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0.6</w:t>
            </w:r>
            <w:r w:rsidR="003337B0">
              <w:rPr>
                <w:rFonts w:ascii="Times New Roman" w:hAnsi="Times New Roman" w:cs="Times New Roman"/>
                <w:color w:val="000000"/>
                <w:sz w:val="16"/>
                <w:szCs w:val="16"/>
              </w:rPr>
              <w:t>1</w:t>
            </w:r>
          </w:p>
        </w:tc>
        <w:tc>
          <w:tcPr>
            <w:tcW w:w="900" w:type="dxa"/>
            <w:shd w:val="clear" w:color="auto" w:fill="auto"/>
            <w:noWrap/>
            <w:vAlign w:val="center"/>
          </w:tcPr>
          <w:p w14:paraId="62FE0489" w14:textId="1A07AF9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91.15</w:t>
            </w:r>
          </w:p>
        </w:tc>
        <w:tc>
          <w:tcPr>
            <w:tcW w:w="922" w:type="dxa"/>
            <w:shd w:val="clear" w:color="auto" w:fill="auto"/>
            <w:noWrap/>
            <w:vAlign w:val="center"/>
          </w:tcPr>
          <w:p w14:paraId="4600FA2C" w14:textId="206776F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w:t>
            </w:r>
            <w:r w:rsidR="003337B0">
              <w:rPr>
                <w:rFonts w:ascii="Times New Roman" w:hAnsi="Times New Roman" w:cs="Times New Roman"/>
                <w:color w:val="000000"/>
                <w:sz w:val="16"/>
                <w:szCs w:val="16"/>
              </w:rPr>
              <w:t>7</w:t>
            </w:r>
          </w:p>
        </w:tc>
      </w:tr>
      <w:tr w:rsidR="00D4175F" w:rsidRPr="00572FFF" w14:paraId="703FA6D1" w14:textId="77777777" w:rsidTr="003337B0">
        <w:trPr>
          <w:trHeight w:val="300"/>
          <w:jc w:val="center"/>
        </w:trPr>
        <w:tc>
          <w:tcPr>
            <w:tcW w:w="1075" w:type="dxa"/>
            <w:shd w:val="clear" w:color="auto" w:fill="auto"/>
            <w:noWrap/>
            <w:vAlign w:val="center"/>
            <w:hideMark/>
          </w:tcPr>
          <w:p w14:paraId="0BCE4B01"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4202A9A" w14:textId="5246E00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610F0320" w14:textId="385C8C1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-7.88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17F7D0C6" w14:textId="01179F1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4.35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910EFDC" w14:textId="7731DD0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39CE79AE" w14:textId="28431185"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w:t>
            </w:r>
            <w:r w:rsidR="003337B0">
              <w:rPr>
                <w:rFonts w:ascii="Times New Roman" w:hAnsi="Times New Roman" w:cs="Times New Roman"/>
                <w:color w:val="000000"/>
                <w:sz w:val="16"/>
                <w:szCs w:val="16"/>
              </w:rPr>
              <w:t>80</w:t>
            </w:r>
          </w:p>
        </w:tc>
        <w:tc>
          <w:tcPr>
            <w:tcW w:w="900" w:type="dxa"/>
            <w:shd w:val="clear" w:color="auto" w:fill="auto"/>
            <w:noWrap/>
            <w:vAlign w:val="center"/>
          </w:tcPr>
          <w:p w14:paraId="411EC8E0" w14:textId="05DDBB1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105.1</w:t>
            </w:r>
            <w:r w:rsidR="003337B0">
              <w:rPr>
                <w:rFonts w:ascii="Times New Roman" w:hAnsi="Times New Roman" w:cs="Times New Roman"/>
                <w:color w:val="000000"/>
                <w:sz w:val="16"/>
                <w:szCs w:val="16"/>
              </w:rPr>
              <w:t>6</w:t>
            </w:r>
          </w:p>
        </w:tc>
        <w:tc>
          <w:tcPr>
            <w:tcW w:w="922" w:type="dxa"/>
            <w:shd w:val="clear" w:color="auto" w:fill="auto"/>
            <w:noWrap/>
            <w:vAlign w:val="center"/>
          </w:tcPr>
          <w:p w14:paraId="550D09D9" w14:textId="7FDEF7B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0.93</w:t>
            </w:r>
          </w:p>
        </w:tc>
      </w:tr>
      <w:tr w:rsidR="00D4175F" w:rsidRPr="00572FFF" w14:paraId="3DD2EBA1" w14:textId="77777777" w:rsidTr="003337B0">
        <w:trPr>
          <w:trHeight w:val="300"/>
          <w:jc w:val="center"/>
        </w:trPr>
        <w:tc>
          <w:tcPr>
            <w:tcW w:w="1075" w:type="dxa"/>
            <w:shd w:val="clear" w:color="auto" w:fill="auto"/>
            <w:noWrap/>
            <w:vAlign w:val="center"/>
            <w:hideMark/>
          </w:tcPr>
          <w:p w14:paraId="54EF89B9"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04836A55" w14:textId="2020D76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4092F67A" w14:textId="410F727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-0.00129</w:t>
            </w:r>
          </w:p>
        </w:tc>
        <w:tc>
          <w:tcPr>
            <w:tcW w:w="1453" w:type="dxa"/>
            <w:vAlign w:val="center"/>
          </w:tcPr>
          <w:p w14:paraId="6106779E" w14:textId="14DCBBF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5027C54F" w14:textId="029BEF5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0C94A88" w14:textId="3840F51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5.51</w:t>
            </w:r>
          </w:p>
        </w:tc>
        <w:tc>
          <w:tcPr>
            <w:tcW w:w="900" w:type="dxa"/>
            <w:shd w:val="clear" w:color="auto" w:fill="auto"/>
            <w:noWrap/>
            <w:vAlign w:val="center"/>
          </w:tcPr>
          <w:p w14:paraId="653D0D49" w14:textId="14F3D57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87.50</w:t>
            </w:r>
          </w:p>
        </w:tc>
        <w:tc>
          <w:tcPr>
            <w:tcW w:w="922" w:type="dxa"/>
            <w:shd w:val="clear" w:color="auto" w:fill="auto"/>
            <w:noWrap/>
            <w:vAlign w:val="center"/>
          </w:tcPr>
          <w:p w14:paraId="7233871A" w14:textId="235195AF"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3.0</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-6</w:t>
            </w:r>
          </w:p>
        </w:tc>
      </w:tr>
      <w:tr w:rsidR="00D4175F" w:rsidRPr="00572FFF" w14:paraId="041BE1E2" w14:textId="77777777" w:rsidTr="003337B0">
        <w:trPr>
          <w:trHeight w:val="300"/>
          <w:jc w:val="center"/>
        </w:trPr>
        <w:tc>
          <w:tcPr>
            <w:tcW w:w="1075" w:type="dxa"/>
            <w:shd w:val="clear" w:color="auto" w:fill="auto"/>
            <w:noWrap/>
            <w:vAlign w:val="center"/>
            <w:hideMark/>
          </w:tcPr>
          <w:p w14:paraId="5FA64AA4"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098A568A" w14:textId="6D7B9E6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-3.82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1B26A142" w14:textId="5B93251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-0.00106</w:t>
            </w:r>
          </w:p>
        </w:tc>
        <w:tc>
          <w:tcPr>
            <w:tcW w:w="1453" w:type="dxa"/>
            <w:vAlign w:val="center"/>
          </w:tcPr>
          <w:p w14:paraId="34053280" w14:textId="15A2CBA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466F23F4" w14:textId="6C5C1F5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30C31E1C" w14:textId="0C81811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1.58</w:t>
            </w:r>
          </w:p>
        </w:tc>
        <w:tc>
          <w:tcPr>
            <w:tcW w:w="900" w:type="dxa"/>
            <w:shd w:val="clear" w:color="auto" w:fill="auto"/>
            <w:noWrap/>
            <w:vAlign w:val="center"/>
          </w:tcPr>
          <w:p w14:paraId="4866E32D" w14:textId="57F465D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74.53</w:t>
            </w:r>
          </w:p>
        </w:tc>
        <w:tc>
          <w:tcPr>
            <w:tcW w:w="922" w:type="dxa"/>
            <w:shd w:val="clear" w:color="auto" w:fill="auto"/>
            <w:noWrap/>
            <w:vAlign w:val="center"/>
          </w:tcPr>
          <w:p w14:paraId="2E26085F" w14:textId="7A477B4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0.5</w:t>
            </w:r>
            <w:r w:rsidR="003337B0">
              <w:rPr>
                <w:rFonts w:ascii="Times New Roman" w:hAnsi="Times New Roman" w:cs="Times New Roman"/>
                <w:color w:val="000000"/>
                <w:sz w:val="16"/>
                <w:szCs w:val="16"/>
              </w:rPr>
              <w:t>1</w:t>
            </w:r>
          </w:p>
        </w:tc>
      </w:tr>
      <w:tr w:rsidR="00D4175F" w:rsidRPr="00572FFF" w14:paraId="3E32BBCD" w14:textId="77777777" w:rsidTr="003337B0">
        <w:trPr>
          <w:trHeight w:val="300"/>
          <w:jc w:val="center"/>
        </w:trPr>
        <w:tc>
          <w:tcPr>
            <w:tcW w:w="1075" w:type="dxa"/>
            <w:shd w:val="clear" w:color="auto" w:fill="auto"/>
            <w:noWrap/>
            <w:vAlign w:val="center"/>
            <w:hideMark/>
          </w:tcPr>
          <w:p w14:paraId="3CB54583"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11388517" w14:textId="2966855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-3.30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4056764F" w14:textId="44BCC40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-0.00107</w:t>
            </w:r>
          </w:p>
        </w:tc>
        <w:tc>
          <w:tcPr>
            <w:tcW w:w="1453" w:type="dxa"/>
            <w:vAlign w:val="center"/>
          </w:tcPr>
          <w:p w14:paraId="50057BF5" w14:textId="1F34F56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4.10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7D7135E0" w14:textId="1E133F9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7B2CC456" w14:textId="6D22994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1.24</w:t>
            </w:r>
          </w:p>
        </w:tc>
        <w:tc>
          <w:tcPr>
            <w:tcW w:w="900" w:type="dxa"/>
            <w:shd w:val="clear" w:color="auto" w:fill="auto"/>
            <w:noWrap/>
            <w:vAlign w:val="center"/>
          </w:tcPr>
          <w:p w14:paraId="7F752215" w14:textId="752919C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90.6</w:t>
            </w:r>
            <w:r w:rsidR="003337B0">
              <w:rPr>
                <w:rFonts w:ascii="Times New Roman" w:hAnsi="Times New Roman" w:cs="Times New Roman"/>
                <w:color w:val="000000"/>
                <w:sz w:val="16"/>
                <w:szCs w:val="16"/>
              </w:rPr>
              <w:t>8</w:t>
            </w:r>
          </w:p>
        </w:tc>
        <w:tc>
          <w:tcPr>
            <w:tcW w:w="922" w:type="dxa"/>
            <w:shd w:val="clear" w:color="auto" w:fill="auto"/>
            <w:noWrap/>
            <w:vAlign w:val="center"/>
          </w:tcPr>
          <w:p w14:paraId="4BA96FCC" w14:textId="03195F4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w:t>
            </w:r>
            <w:r w:rsidR="003337B0">
              <w:rPr>
                <w:rFonts w:ascii="Times New Roman" w:hAnsi="Times New Roman" w:cs="Times New Roman"/>
                <w:color w:val="000000"/>
                <w:sz w:val="16"/>
                <w:szCs w:val="16"/>
              </w:rPr>
              <w:t>3</w:t>
            </w:r>
          </w:p>
        </w:tc>
      </w:tr>
      <w:tr w:rsidR="00D4175F" w:rsidRPr="00572FFF" w14:paraId="588824BB" w14:textId="77777777" w:rsidTr="003337B0">
        <w:trPr>
          <w:trHeight w:val="300"/>
          <w:jc w:val="center"/>
        </w:trPr>
        <w:tc>
          <w:tcPr>
            <w:tcW w:w="1075" w:type="dxa"/>
            <w:shd w:val="clear" w:color="auto" w:fill="auto"/>
            <w:noWrap/>
            <w:vAlign w:val="center"/>
            <w:hideMark/>
          </w:tcPr>
          <w:p w14:paraId="3B5B8762"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41658142" w14:textId="59E4465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-0.00101</w:t>
            </w:r>
          </w:p>
        </w:tc>
        <w:tc>
          <w:tcPr>
            <w:tcW w:w="1335" w:type="dxa"/>
            <w:vAlign w:val="center"/>
          </w:tcPr>
          <w:p w14:paraId="6E1CA5D4" w14:textId="256B86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-0.00162</w:t>
            </w:r>
          </w:p>
        </w:tc>
        <w:tc>
          <w:tcPr>
            <w:tcW w:w="1453" w:type="dxa"/>
            <w:vAlign w:val="center"/>
          </w:tcPr>
          <w:p w14:paraId="5C12A296" w14:textId="5376763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-4.03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51F435F9" w14:textId="3DBDEB5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0C7775D" w14:textId="372C3F1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4.69</w:t>
            </w:r>
          </w:p>
        </w:tc>
        <w:tc>
          <w:tcPr>
            <w:tcW w:w="900" w:type="dxa"/>
            <w:shd w:val="clear" w:color="auto" w:fill="auto"/>
            <w:noWrap/>
            <w:vAlign w:val="center"/>
          </w:tcPr>
          <w:p w14:paraId="1F3ADF76" w14:textId="6B079C8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54.4</w:t>
            </w:r>
            <w:r w:rsidR="003337B0">
              <w:rPr>
                <w:rFonts w:ascii="Times New Roman" w:hAnsi="Times New Roman" w:cs="Times New Roman"/>
                <w:color w:val="000000"/>
                <w:sz w:val="16"/>
                <w:szCs w:val="16"/>
              </w:rPr>
              <w:t>3</w:t>
            </w:r>
          </w:p>
        </w:tc>
        <w:tc>
          <w:tcPr>
            <w:tcW w:w="922" w:type="dxa"/>
            <w:shd w:val="clear" w:color="auto" w:fill="auto"/>
            <w:noWrap/>
            <w:vAlign w:val="center"/>
          </w:tcPr>
          <w:p w14:paraId="309B7FF2" w14:textId="282CEF5D"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1.</w:t>
            </w:r>
            <w:r w:rsidR="003337B0" w:rsidRPr="003846F7">
              <w:rPr>
                <w:rFonts w:ascii="Times New Roman" w:hAnsi="Times New Roman" w:cs="Times New Roman"/>
                <w:b/>
                <w:color w:val="000000"/>
                <w:sz w:val="16"/>
                <w:szCs w:val="16"/>
              </w:rPr>
              <w:t>8 x 10</w:t>
            </w:r>
            <w:r w:rsidR="003337B0" w:rsidRPr="003846F7">
              <w:rPr>
                <w:rFonts w:ascii="Times New Roman" w:hAnsi="Times New Roman" w:cs="Times New Roman"/>
                <w:b/>
                <w:color w:val="000000"/>
                <w:sz w:val="16"/>
                <w:szCs w:val="16"/>
                <w:vertAlign w:val="superscript"/>
              </w:rPr>
              <w:t>-4</w:t>
            </w:r>
          </w:p>
        </w:tc>
      </w:tr>
      <w:tr w:rsidR="00D4175F" w:rsidRPr="00572FFF" w14:paraId="391B9144" w14:textId="77777777" w:rsidTr="003337B0">
        <w:trPr>
          <w:trHeight w:val="300"/>
          <w:jc w:val="center"/>
        </w:trPr>
        <w:tc>
          <w:tcPr>
            <w:tcW w:w="1075" w:type="dxa"/>
            <w:shd w:val="clear" w:color="auto" w:fill="auto"/>
            <w:noWrap/>
            <w:vAlign w:val="center"/>
            <w:hideMark/>
          </w:tcPr>
          <w:p w14:paraId="79F5EE26"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6ABE2E4C" w14:textId="6765488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5.10</w:t>
            </w:r>
            <w:r w:rsidR="003846F7">
              <w:rPr>
                <w:rFonts w:ascii="Times New Roman" w:hAnsi="Times New Roman" w:cs="Times New Roman"/>
                <w:color w:val="000000"/>
                <w:sz w:val="16"/>
                <w:szCs w:val="16"/>
              </w:rPr>
              <w:t xml:space="preserve"> x 10</w:t>
            </w:r>
            <w:r w:rsidR="003846F7" w:rsidRPr="00572FFF">
              <w:rPr>
                <w:rFonts w:ascii="Times New Roman" w:hAnsi="Times New Roman" w:cs="Times New Roman"/>
                <w:color w:val="000000"/>
                <w:sz w:val="16"/>
                <w:szCs w:val="16"/>
                <w:vertAlign w:val="superscript"/>
              </w:rPr>
              <w:t>-</w:t>
            </w:r>
            <w:r w:rsidR="003846F7">
              <w:rPr>
                <w:rFonts w:ascii="Times New Roman" w:hAnsi="Times New Roman" w:cs="Times New Roman"/>
                <w:color w:val="000000"/>
                <w:sz w:val="16"/>
                <w:szCs w:val="16"/>
                <w:vertAlign w:val="superscript"/>
              </w:rPr>
              <w:t>5</w:t>
            </w:r>
          </w:p>
        </w:tc>
        <w:tc>
          <w:tcPr>
            <w:tcW w:w="1335" w:type="dxa"/>
            <w:vAlign w:val="center"/>
          </w:tcPr>
          <w:p w14:paraId="1D031B9D" w14:textId="27B2236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-5.20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1B470F22" w14:textId="6694542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01C4E91" w14:textId="71DE8D4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1.45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8FEC188" w14:textId="0EEEA09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0.25</w:t>
            </w:r>
          </w:p>
        </w:tc>
        <w:tc>
          <w:tcPr>
            <w:tcW w:w="900" w:type="dxa"/>
            <w:shd w:val="clear" w:color="auto" w:fill="auto"/>
            <w:noWrap/>
            <w:vAlign w:val="center"/>
          </w:tcPr>
          <w:p w14:paraId="5053425E" w14:textId="5F32AB43"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80.6</w:t>
            </w:r>
            <w:r w:rsidR="003337B0">
              <w:rPr>
                <w:rFonts w:ascii="Times New Roman" w:hAnsi="Times New Roman" w:cs="Times New Roman"/>
                <w:color w:val="000000"/>
                <w:sz w:val="16"/>
                <w:szCs w:val="16"/>
              </w:rPr>
              <w:t>7</w:t>
            </w:r>
          </w:p>
        </w:tc>
        <w:tc>
          <w:tcPr>
            <w:tcW w:w="922" w:type="dxa"/>
            <w:shd w:val="clear" w:color="auto" w:fill="auto"/>
            <w:noWrap/>
            <w:vAlign w:val="center"/>
          </w:tcPr>
          <w:p w14:paraId="2525E053" w14:textId="366BDA82" w:rsidR="00D4175F" w:rsidRPr="00572FFF" w:rsidRDefault="003337B0"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D4175F" w:rsidRPr="00572FFF" w14:paraId="19B850F9" w14:textId="77777777" w:rsidTr="003337B0">
        <w:trPr>
          <w:trHeight w:val="300"/>
          <w:jc w:val="center"/>
        </w:trPr>
        <w:tc>
          <w:tcPr>
            <w:tcW w:w="1075" w:type="dxa"/>
            <w:shd w:val="clear" w:color="auto" w:fill="auto"/>
            <w:noWrap/>
            <w:vAlign w:val="center"/>
            <w:hideMark/>
          </w:tcPr>
          <w:p w14:paraId="71A0B19F"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3CCB0B63" w14:textId="1563AE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54809AB9" w14:textId="1EEF1FE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w:t>
            </w:r>
            <w:r w:rsidR="003846F7">
              <w:rPr>
                <w:rFonts w:ascii="Times New Roman" w:hAnsi="Times New Roman" w:cs="Times New Roman"/>
                <w:color w:val="000000"/>
                <w:sz w:val="16"/>
                <w:szCs w:val="16"/>
              </w:rPr>
              <w:t>00</w:t>
            </w:r>
          </w:p>
        </w:tc>
        <w:tc>
          <w:tcPr>
            <w:tcW w:w="1453" w:type="dxa"/>
            <w:vAlign w:val="center"/>
          </w:tcPr>
          <w:p w14:paraId="64BC892A" w14:textId="1555FE1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-2.53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2FE707EB" w14:textId="009C943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9.40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w:t>
            </w:r>
            <w:r w:rsidR="00572FFF">
              <w:rPr>
                <w:rFonts w:ascii="Times New Roman" w:hAnsi="Times New Roman" w:cs="Times New Roman"/>
                <w:color w:val="000000"/>
                <w:sz w:val="16"/>
                <w:szCs w:val="16"/>
                <w:vertAlign w:val="superscript"/>
              </w:rPr>
              <w:t>5</w:t>
            </w:r>
          </w:p>
        </w:tc>
        <w:tc>
          <w:tcPr>
            <w:tcW w:w="630" w:type="dxa"/>
            <w:shd w:val="clear" w:color="auto" w:fill="auto"/>
            <w:noWrap/>
            <w:vAlign w:val="center"/>
          </w:tcPr>
          <w:p w14:paraId="4D279F48" w14:textId="059DE313"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4.74</w:t>
            </w:r>
          </w:p>
        </w:tc>
        <w:tc>
          <w:tcPr>
            <w:tcW w:w="900" w:type="dxa"/>
            <w:shd w:val="clear" w:color="auto" w:fill="auto"/>
            <w:noWrap/>
            <w:vAlign w:val="center"/>
          </w:tcPr>
          <w:p w14:paraId="04166FFE" w14:textId="28265D9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50.5</w:t>
            </w:r>
            <w:r w:rsidR="003337B0">
              <w:rPr>
                <w:rFonts w:ascii="Times New Roman" w:hAnsi="Times New Roman" w:cs="Times New Roman"/>
                <w:color w:val="000000"/>
                <w:sz w:val="16"/>
                <w:szCs w:val="16"/>
              </w:rPr>
              <w:t>9</w:t>
            </w:r>
          </w:p>
        </w:tc>
        <w:tc>
          <w:tcPr>
            <w:tcW w:w="922" w:type="dxa"/>
            <w:shd w:val="clear" w:color="auto" w:fill="auto"/>
            <w:noWrap/>
            <w:vAlign w:val="center"/>
          </w:tcPr>
          <w:p w14:paraId="6BD306C9" w14:textId="4E51FA04"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1.</w:t>
            </w:r>
            <w:r w:rsidR="003337B0" w:rsidRPr="003846F7">
              <w:rPr>
                <w:rFonts w:ascii="Times New Roman" w:hAnsi="Times New Roman" w:cs="Times New Roman"/>
                <w:b/>
                <w:color w:val="000000"/>
                <w:sz w:val="16"/>
                <w:szCs w:val="16"/>
              </w:rPr>
              <w:t>7 x 10</w:t>
            </w:r>
            <w:r w:rsidR="003337B0" w:rsidRPr="003846F7">
              <w:rPr>
                <w:rFonts w:ascii="Times New Roman" w:hAnsi="Times New Roman" w:cs="Times New Roman"/>
                <w:b/>
                <w:color w:val="000000"/>
                <w:sz w:val="16"/>
                <w:szCs w:val="16"/>
                <w:vertAlign w:val="superscript"/>
              </w:rPr>
              <w:t>-4</w:t>
            </w:r>
          </w:p>
        </w:tc>
      </w:tr>
      <w:tr w:rsidR="00D4175F" w:rsidRPr="00572FFF" w14:paraId="3173B714" w14:textId="77777777" w:rsidTr="003337B0">
        <w:trPr>
          <w:trHeight w:val="300"/>
          <w:jc w:val="center"/>
        </w:trPr>
        <w:tc>
          <w:tcPr>
            <w:tcW w:w="1075" w:type="dxa"/>
            <w:shd w:val="clear" w:color="auto" w:fill="auto"/>
            <w:noWrap/>
            <w:vAlign w:val="center"/>
            <w:hideMark/>
          </w:tcPr>
          <w:p w14:paraId="4F070EFD"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5CD6D208" w14:textId="2623F17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384459BE" w14:textId="510F5CE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-0.00117</w:t>
            </w:r>
          </w:p>
        </w:tc>
        <w:tc>
          <w:tcPr>
            <w:tcW w:w="1453" w:type="dxa"/>
            <w:vAlign w:val="center"/>
          </w:tcPr>
          <w:p w14:paraId="3133A9E3" w14:textId="7CB7613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-1.90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26093778" w14:textId="539F58D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AA1AD71" w14:textId="486E948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3.91</w:t>
            </w:r>
          </w:p>
        </w:tc>
        <w:tc>
          <w:tcPr>
            <w:tcW w:w="900" w:type="dxa"/>
            <w:shd w:val="clear" w:color="auto" w:fill="auto"/>
            <w:noWrap/>
            <w:vAlign w:val="center"/>
          </w:tcPr>
          <w:p w14:paraId="3787A064" w14:textId="29413DE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57.05</w:t>
            </w:r>
          </w:p>
        </w:tc>
        <w:tc>
          <w:tcPr>
            <w:tcW w:w="922" w:type="dxa"/>
            <w:shd w:val="clear" w:color="auto" w:fill="auto"/>
            <w:noWrap/>
            <w:vAlign w:val="center"/>
          </w:tcPr>
          <w:p w14:paraId="6920FC16" w14:textId="6BC8E52F"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0.0022</w:t>
            </w:r>
          </w:p>
        </w:tc>
      </w:tr>
    </w:tbl>
    <w:p w14:paraId="4A330703" w14:textId="309B3E05" w:rsidR="00D4175F" w:rsidRDefault="00D4175F">
      <w:pPr>
        <w:rPr>
          <w:rFonts w:ascii="Times New Roman" w:hAnsi="Times New Roman" w:cs="Times New Roman"/>
          <w:b/>
          <w:sz w:val="24"/>
          <w:szCs w:val="24"/>
          <w:lang w:val="en-US"/>
        </w:rPr>
      </w:pPr>
    </w:p>
    <w:p w14:paraId="78124CFE" w14:textId="00E772FD"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5m. Silicon.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37E0659A" w14:textId="77777777" w:rsidTr="003337B0">
        <w:trPr>
          <w:trHeight w:val="300"/>
          <w:jc w:val="center"/>
        </w:trPr>
        <w:tc>
          <w:tcPr>
            <w:tcW w:w="9017" w:type="dxa"/>
            <w:gridSpan w:val="4"/>
            <w:shd w:val="clear" w:color="auto" w:fill="auto"/>
            <w:noWrap/>
            <w:vAlign w:val="center"/>
          </w:tcPr>
          <w:p w14:paraId="225527B1" w14:textId="6803C949" w:rsidR="008843FD"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7910CB46" w14:textId="77777777" w:rsidTr="001A2F55">
        <w:trPr>
          <w:trHeight w:val="300"/>
          <w:jc w:val="center"/>
        </w:trPr>
        <w:tc>
          <w:tcPr>
            <w:tcW w:w="6756" w:type="dxa"/>
            <w:vMerge w:val="restart"/>
            <w:shd w:val="clear" w:color="auto" w:fill="auto"/>
            <w:noWrap/>
            <w:vAlign w:val="center"/>
          </w:tcPr>
          <w:p w14:paraId="04C24536"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BE5D17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AA128C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3A5573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846F7" w14:paraId="3E067FAA" w14:textId="77777777" w:rsidTr="001A2F55">
        <w:trPr>
          <w:trHeight w:val="300"/>
          <w:jc w:val="center"/>
        </w:trPr>
        <w:tc>
          <w:tcPr>
            <w:tcW w:w="6756" w:type="dxa"/>
            <w:vMerge/>
            <w:shd w:val="clear" w:color="auto" w:fill="auto"/>
            <w:noWrap/>
            <w:vAlign w:val="center"/>
          </w:tcPr>
          <w:p w14:paraId="676B488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19C95821" w14:textId="63FAD3F4"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4.55</w:t>
            </w:r>
          </w:p>
        </w:tc>
        <w:tc>
          <w:tcPr>
            <w:tcW w:w="865" w:type="dxa"/>
            <w:shd w:val="clear" w:color="auto" w:fill="auto"/>
            <w:noWrap/>
            <w:vAlign w:val="center"/>
          </w:tcPr>
          <w:p w14:paraId="1D726021" w14:textId="7BE0331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47DE80F8" w14:textId="65CC3F6D"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0.0014</w:t>
            </w:r>
          </w:p>
        </w:tc>
      </w:tr>
      <w:tr w:rsidR="008843FD" w:rsidRPr="006D0FD5" w14:paraId="64FD02C2" w14:textId="77777777" w:rsidTr="003337B0">
        <w:trPr>
          <w:trHeight w:val="300"/>
          <w:jc w:val="center"/>
        </w:trPr>
        <w:tc>
          <w:tcPr>
            <w:tcW w:w="9017" w:type="dxa"/>
            <w:gridSpan w:val="4"/>
            <w:shd w:val="clear" w:color="auto" w:fill="auto"/>
            <w:noWrap/>
            <w:vAlign w:val="center"/>
          </w:tcPr>
          <w:p w14:paraId="1A5C60DF" w14:textId="2D7491E4" w:rsidR="008843FD" w:rsidRPr="003337B0" w:rsidRDefault="008843FD"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2F5D2A98" w14:textId="77777777" w:rsidTr="001A2F55">
        <w:trPr>
          <w:trHeight w:val="300"/>
          <w:jc w:val="center"/>
        </w:trPr>
        <w:tc>
          <w:tcPr>
            <w:tcW w:w="6756" w:type="dxa"/>
            <w:vMerge w:val="restart"/>
            <w:shd w:val="clear" w:color="auto" w:fill="auto"/>
            <w:noWrap/>
            <w:vAlign w:val="center"/>
          </w:tcPr>
          <w:p w14:paraId="7B32406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1DD3B4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F37216E"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710A334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5C1B5E21" w14:textId="77777777" w:rsidTr="001A2F55">
        <w:trPr>
          <w:trHeight w:val="300"/>
          <w:jc w:val="center"/>
        </w:trPr>
        <w:tc>
          <w:tcPr>
            <w:tcW w:w="6756" w:type="dxa"/>
            <w:vMerge/>
            <w:shd w:val="clear" w:color="auto" w:fill="auto"/>
            <w:noWrap/>
            <w:vAlign w:val="center"/>
          </w:tcPr>
          <w:p w14:paraId="171D849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2751D80" w14:textId="4A829D1C"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2.3</w:t>
            </w:r>
          </w:p>
        </w:tc>
        <w:tc>
          <w:tcPr>
            <w:tcW w:w="865" w:type="dxa"/>
            <w:shd w:val="clear" w:color="auto" w:fill="auto"/>
            <w:noWrap/>
            <w:vAlign w:val="center"/>
          </w:tcPr>
          <w:p w14:paraId="41F9A69E" w14:textId="0CEE1429"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4, 115.49</w:t>
            </w:r>
          </w:p>
        </w:tc>
        <w:tc>
          <w:tcPr>
            <w:tcW w:w="642" w:type="dxa"/>
            <w:shd w:val="clear" w:color="auto" w:fill="auto"/>
            <w:noWrap/>
            <w:vAlign w:val="center"/>
          </w:tcPr>
          <w:p w14:paraId="2179E38D" w14:textId="3709786C"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0.062</w:t>
            </w:r>
          </w:p>
        </w:tc>
      </w:tr>
    </w:tbl>
    <w:p w14:paraId="12216276" w14:textId="77777777" w:rsidR="008843FD" w:rsidRDefault="008843FD">
      <w:pPr>
        <w:rPr>
          <w:rFonts w:ascii="Times New Roman" w:hAnsi="Times New Roman" w:cs="Times New Roman"/>
          <w:b/>
          <w:sz w:val="24"/>
          <w:szCs w:val="24"/>
          <w:lang w:val="en-US"/>
        </w:rPr>
      </w:pPr>
    </w:p>
    <w:p w14:paraId="34BDF07E" w14:textId="77777777" w:rsidR="003672AF" w:rsidRDefault="00B520F1" w:rsidP="003672AF">
      <w:pPr>
        <w:rPr>
          <w:rFonts w:ascii="Times New Roman" w:hAnsi="Times New Roman" w:cs="Times New Roman"/>
          <w:b/>
          <w:sz w:val="24"/>
          <w:szCs w:val="24"/>
        </w:rPr>
      </w:pPr>
      <w:r w:rsidRPr="00B520F1">
        <w:rPr>
          <w:rFonts w:ascii="Times New Roman" w:hAnsi="Times New Roman" w:cs="Times New Roman"/>
          <w:b/>
          <w:sz w:val="24"/>
          <w:szCs w:val="24"/>
        </w:rPr>
        <w:t>5n. Sodium.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3672AF" w:rsidRPr="006D0FD5" w14:paraId="05BF30CE" w14:textId="77777777" w:rsidTr="003337B0">
        <w:trPr>
          <w:trHeight w:val="300"/>
          <w:jc w:val="center"/>
        </w:trPr>
        <w:tc>
          <w:tcPr>
            <w:tcW w:w="9017" w:type="dxa"/>
            <w:gridSpan w:val="4"/>
            <w:shd w:val="clear" w:color="auto" w:fill="auto"/>
            <w:noWrap/>
            <w:vAlign w:val="center"/>
          </w:tcPr>
          <w:p w14:paraId="430A85E3" w14:textId="5C3B8B6E" w:rsidR="003672AF"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2E94B745" w14:textId="77777777" w:rsidTr="001A2F55">
        <w:trPr>
          <w:trHeight w:val="300"/>
          <w:jc w:val="center"/>
        </w:trPr>
        <w:tc>
          <w:tcPr>
            <w:tcW w:w="6756" w:type="dxa"/>
            <w:vMerge w:val="restart"/>
            <w:shd w:val="clear" w:color="auto" w:fill="auto"/>
            <w:noWrap/>
            <w:vAlign w:val="center"/>
          </w:tcPr>
          <w:p w14:paraId="33194258"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B1309F3"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5471A34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691487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7E1E4185" w14:textId="77777777" w:rsidTr="001A2F55">
        <w:trPr>
          <w:trHeight w:val="300"/>
          <w:jc w:val="center"/>
        </w:trPr>
        <w:tc>
          <w:tcPr>
            <w:tcW w:w="6756" w:type="dxa"/>
            <w:vMerge/>
            <w:shd w:val="clear" w:color="auto" w:fill="auto"/>
            <w:noWrap/>
            <w:vAlign w:val="center"/>
          </w:tcPr>
          <w:p w14:paraId="01EF6D2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93C5779" w14:textId="456FFB3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1.08</w:t>
            </w:r>
          </w:p>
        </w:tc>
        <w:tc>
          <w:tcPr>
            <w:tcW w:w="865" w:type="dxa"/>
            <w:shd w:val="clear" w:color="auto" w:fill="auto"/>
            <w:noWrap/>
            <w:vAlign w:val="center"/>
          </w:tcPr>
          <w:p w14:paraId="7AF4AE06" w14:textId="32CC85B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4, 259</w:t>
            </w:r>
          </w:p>
        </w:tc>
        <w:tc>
          <w:tcPr>
            <w:tcW w:w="642" w:type="dxa"/>
            <w:shd w:val="clear" w:color="auto" w:fill="auto"/>
            <w:noWrap/>
            <w:vAlign w:val="center"/>
          </w:tcPr>
          <w:p w14:paraId="17C510B2" w14:textId="17F1787F"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0.37</w:t>
            </w:r>
          </w:p>
        </w:tc>
      </w:tr>
      <w:tr w:rsidR="003672AF" w:rsidRPr="006D0FD5" w14:paraId="33BEE3ED" w14:textId="77777777" w:rsidTr="003337B0">
        <w:trPr>
          <w:trHeight w:val="300"/>
          <w:jc w:val="center"/>
        </w:trPr>
        <w:tc>
          <w:tcPr>
            <w:tcW w:w="9017" w:type="dxa"/>
            <w:gridSpan w:val="4"/>
            <w:shd w:val="clear" w:color="auto" w:fill="auto"/>
            <w:noWrap/>
            <w:vAlign w:val="center"/>
          </w:tcPr>
          <w:p w14:paraId="69C488BF" w14:textId="5541C060" w:rsidR="003672AF" w:rsidRPr="003337B0" w:rsidRDefault="003672A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t>
            </w:r>
            <w:r w:rsidR="00572FFF" w:rsidRPr="003337B0">
              <w:rPr>
                <w:rFonts w:ascii="Times New Roman" w:eastAsia="Times New Roman" w:hAnsi="Times New Roman" w:cs="Times New Roman"/>
                <w:b/>
                <w:i/>
                <w:color w:val="000000"/>
                <w:sz w:val="16"/>
                <w:szCs w:val="16"/>
                <w:lang w:val="en-US" w:eastAsia="de-DE"/>
              </w:rPr>
              <w:t>assuming equal variances</w:t>
            </w:r>
          </w:p>
        </w:tc>
      </w:tr>
      <w:tr w:rsidR="007B33CE" w:rsidRPr="003337B0" w14:paraId="4439E900" w14:textId="77777777" w:rsidTr="001A2F55">
        <w:trPr>
          <w:trHeight w:val="300"/>
          <w:jc w:val="center"/>
        </w:trPr>
        <w:tc>
          <w:tcPr>
            <w:tcW w:w="6756" w:type="dxa"/>
            <w:vMerge w:val="restart"/>
            <w:shd w:val="clear" w:color="auto" w:fill="auto"/>
            <w:noWrap/>
            <w:vAlign w:val="center"/>
          </w:tcPr>
          <w:p w14:paraId="7046785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832C78"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4DDE78"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75C8A7E"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1329AED" w14:textId="77777777" w:rsidTr="001A2F55">
        <w:trPr>
          <w:trHeight w:val="300"/>
          <w:jc w:val="center"/>
        </w:trPr>
        <w:tc>
          <w:tcPr>
            <w:tcW w:w="6756" w:type="dxa"/>
            <w:vMerge/>
            <w:shd w:val="clear" w:color="auto" w:fill="auto"/>
            <w:noWrap/>
            <w:vAlign w:val="center"/>
          </w:tcPr>
          <w:p w14:paraId="6E61A606"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32B1C8E" w14:textId="29B47C6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0.81</w:t>
            </w:r>
          </w:p>
        </w:tc>
        <w:tc>
          <w:tcPr>
            <w:tcW w:w="865" w:type="dxa"/>
            <w:shd w:val="clear" w:color="auto" w:fill="auto"/>
            <w:noWrap/>
            <w:vAlign w:val="center"/>
          </w:tcPr>
          <w:p w14:paraId="17F34E7A" w14:textId="3A9BEA2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4, 259</w:t>
            </w:r>
          </w:p>
        </w:tc>
        <w:tc>
          <w:tcPr>
            <w:tcW w:w="642" w:type="dxa"/>
            <w:shd w:val="clear" w:color="auto" w:fill="auto"/>
            <w:noWrap/>
            <w:vAlign w:val="center"/>
          </w:tcPr>
          <w:p w14:paraId="6C165E75" w14:textId="0BB7FE7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0.52</w:t>
            </w:r>
          </w:p>
        </w:tc>
      </w:tr>
      <w:tr w:rsidR="003672AF" w:rsidRPr="006D0FD5" w14:paraId="0B0C06BA" w14:textId="77777777" w:rsidTr="003337B0">
        <w:trPr>
          <w:trHeight w:val="300"/>
          <w:jc w:val="center"/>
        </w:trPr>
        <w:tc>
          <w:tcPr>
            <w:tcW w:w="9017" w:type="dxa"/>
            <w:gridSpan w:val="4"/>
            <w:shd w:val="clear" w:color="auto" w:fill="auto"/>
            <w:noWrap/>
            <w:vAlign w:val="center"/>
          </w:tcPr>
          <w:p w14:paraId="7D6E49A4" w14:textId="548DEF97" w:rsidR="003672AF" w:rsidRPr="003337B0" w:rsidRDefault="003672A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3BB04F23" w14:textId="77777777" w:rsidTr="001A2F55">
        <w:trPr>
          <w:trHeight w:val="300"/>
          <w:jc w:val="center"/>
        </w:trPr>
        <w:tc>
          <w:tcPr>
            <w:tcW w:w="6756" w:type="dxa"/>
            <w:vMerge w:val="restart"/>
            <w:shd w:val="clear" w:color="auto" w:fill="auto"/>
            <w:noWrap/>
            <w:vAlign w:val="center"/>
          </w:tcPr>
          <w:p w14:paraId="7EAE787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64F945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35FBA3CE"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1C7DE8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5406D169" w14:textId="77777777" w:rsidTr="001A2F55">
        <w:trPr>
          <w:trHeight w:val="300"/>
          <w:jc w:val="center"/>
        </w:trPr>
        <w:tc>
          <w:tcPr>
            <w:tcW w:w="6756" w:type="dxa"/>
            <w:vMerge/>
            <w:shd w:val="clear" w:color="auto" w:fill="auto"/>
            <w:noWrap/>
            <w:vAlign w:val="center"/>
          </w:tcPr>
          <w:p w14:paraId="10AD86AA"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C13DA68" w14:textId="68100CC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0.87</w:t>
            </w:r>
          </w:p>
        </w:tc>
        <w:tc>
          <w:tcPr>
            <w:tcW w:w="865" w:type="dxa"/>
            <w:shd w:val="clear" w:color="auto" w:fill="auto"/>
            <w:noWrap/>
            <w:vAlign w:val="center"/>
          </w:tcPr>
          <w:p w14:paraId="50AEBFE4" w14:textId="01702DC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4, 112.82</w:t>
            </w:r>
          </w:p>
        </w:tc>
        <w:tc>
          <w:tcPr>
            <w:tcW w:w="642" w:type="dxa"/>
            <w:shd w:val="clear" w:color="auto" w:fill="auto"/>
            <w:noWrap/>
            <w:vAlign w:val="center"/>
          </w:tcPr>
          <w:p w14:paraId="5B046E42" w14:textId="1F612042"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0.49</w:t>
            </w:r>
          </w:p>
        </w:tc>
      </w:tr>
    </w:tbl>
    <w:p w14:paraId="5D51A821" w14:textId="77777777" w:rsidR="003672AF" w:rsidRDefault="003672AF" w:rsidP="003672AF">
      <w:pPr>
        <w:rPr>
          <w:rFonts w:ascii="Times New Roman" w:hAnsi="Times New Roman" w:cs="Times New Roman"/>
          <w:b/>
          <w:sz w:val="24"/>
          <w:szCs w:val="24"/>
        </w:rPr>
      </w:pPr>
    </w:p>
    <w:p w14:paraId="7B34502F" w14:textId="77777777" w:rsidR="003337B0" w:rsidRDefault="003337B0">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14:paraId="2B0F1D25" w14:textId="4EA71743" w:rsidR="00B520F1" w:rsidRDefault="00B520F1">
      <w:pPr>
        <w:rPr>
          <w:rFonts w:ascii="Times New Roman" w:hAnsi="Times New Roman" w:cs="Times New Roman"/>
          <w:b/>
          <w:sz w:val="24"/>
          <w:szCs w:val="24"/>
          <w:lang w:val="es-MX"/>
        </w:rPr>
      </w:pPr>
      <w:r w:rsidRPr="00B520F1">
        <w:rPr>
          <w:rFonts w:ascii="Times New Roman" w:hAnsi="Times New Roman" w:cs="Times New Roman"/>
          <w:b/>
          <w:sz w:val="24"/>
          <w:szCs w:val="24"/>
          <w:lang w:val="es-MX"/>
        </w:rPr>
        <w:lastRenderedPageBreak/>
        <w:t>5o. Titani</w:t>
      </w:r>
      <w:r>
        <w:rPr>
          <w:rFonts w:ascii="Times New Roman" w:hAnsi="Times New Roman" w:cs="Times New Roman"/>
          <w:b/>
          <w:sz w:val="24"/>
          <w:szCs w:val="24"/>
          <w:lang w:val="es-MX"/>
        </w:rPr>
        <w:t>um</w:t>
      </w:r>
      <w:r w:rsidRPr="00B520F1">
        <w:rPr>
          <w:rFonts w:ascii="Times New Roman" w:hAnsi="Times New Roman" w:cs="Times New Roman"/>
          <w:b/>
          <w:sz w:val="24"/>
          <w:szCs w:val="24"/>
          <w:lang w:val="es-MX"/>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336F6A" w:rsidRPr="006D0FD5" w14:paraId="00F75EFB" w14:textId="77777777" w:rsidTr="003337B0">
        <w:trPr>
          <w:trHeight w:val="300"/>
          <w:jc w:val="center"/>
        </w:trPr>
        <w:tc>
          <w:tcPr>
            <w:tcW w:w="9017" w:type="dxa"/>
            <w:gridSpan w:val="4"/>
            <w:shd w:val="clear" w:color="auto" w:fill="auto"/>
            <w:noWrap/>
            <w:vAlign w:val="center"/>
          </w:tcPr>
          <w:p w14:paraId="0F350B18" w14:textId="6C2172EF" w:rsidR="00336F6A"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1EDADD01" w14:textId="77777777" w:rsidTr="001A2F55">
        <w:trPr>
          <w:trHeight w:val="300"/>
          <w:jc w:val="center"/>
        </w:trPr>
        <w:tc>
          <w:tcPr>
            <w:tcW w:w="6756" w:type="dxa"/>
            <w:vMerge w:val="restart"/>
            <w:shd w:val="clear" w:color="auto" w:fill="auto"/>
            <w:noWrap/>
            <w:vAlign w:val="center"/>
          </w:tcPr>
          <w:p w14:paraId="743037BE"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8D7751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CB52543"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C63770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846F7" w14:paraId="51A9785C" w14:textId="77777777" w:rsidTr="001A2F55">
        <w:trPr>
          <w:trHeight w:val="300"/>
          <w:jc w:val="center"/>
        </w:trPr>
        <w:tc>
          <w:tcPr>
            <w:tcW w:w="6756" w:type="dxa"/>
            <w:vMerge/>
            <w:shd w:val="clear" w:color="auto" w:fill="auto"/>
            <w:noWrap/>
            <w:vAlign w:val="center"/>
          </w:tcPr>
          <w:p w14:paraId="58AB427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D216DBA" w14:textId="2AADFFD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2.66</w:t>
            </w:r>
          </w:p>
        </w:tc>
        <w:tc>
          <w:tcPr>
            <w:tcW w:w="865" w:type="dxa"/>
            <w:shd w:val="clear" w:color="auto" w:fill="auto"/>
            <w:noWrap/>
            <w:vAlign w:val="center"/>
          </w:tcPr>
          <w:p w14:paraId="467B4FA3" w14:textId="2D0BA69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03AAFC9B" w14:textId="026AA3F1"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0.033</w:t>
            </w:r>
          </w:p>
        </w:tc>
      </w:tr>
      <w:tr w:rsidR="00336F6A" w:rsidRPr="006D0FD5" w14:paraId="2F5F36C4" w14:textId="77777777" w:rsidTr="003337B0">
        <w:trPr>
          <w:trHeight w:val="300"/>
          <w:jc w:val="center"/>
        </w:trPr>
        <w:tc>
          <w:tcPr>
            <w:tcW w:w="9017" w:type="dxa"/>
            <w:gridSpan w:val="4"/>
            <w:shd w:val="clear" w:color="auto" w:fill="auto"/>
            <w:noWrap/>
            <w:vAlign w:val="center"/>
          </w:tcPr>
          <w:p w14:paraId="691D980E" w14:textId="38F3785F" w:rsidR="00336F6A" w:rsidRPr="003337B0" w:rsidRDefault="00336F6A"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77D640E9" w14:textId="77777777" w:rsidTr="001A2F55">
        <w:trPr>
          <w:trHeight w:val="300"/>
          <w:jc w:val="center"/>
        </w:trPr>
        <w:tc>
          <w:tcPr>
            <w:tcW w:w="6756" w:type="dxa"/>
            <w:vMerge w:val="restart"/>
            <w:shd w:val="clear" w:color="auto" w:fill="auto"/>
            <w:noWrap/>
            <w:vAlign w:val="center"/>
          </w:tcPr>
          <w:p w14:paraId="13767F07"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3F3EE2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005553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7A31E8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89456D6" w14:textId="77777777" w:rsidTr="001A2F55">
        <w:trPr>
          <w:trHeight w:val="300"/>
          <w:jc w:val="center"/>
        </w:trPr>
        <w:tc>
          <w:tcPr>
            <w:tcW w:w="6756" w:type="dxa"/>
            <w:vMerge/>
            <w:shd w:val="clear" w:color="auto" w:fill="auto"/>
            <w:noWrap/>
            <w:vAlign w:val="center"/>
          </w:tcPr>
          <w:p w14:paraId="6395DFCD"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7B7AA39" w14:textId="12EF7678"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1.27</w:t>
            </w:r>
          </w:p>
        </w:tc>
        <w:tc>
          <w:tcPr>
            <w:tcW w:w="865" w:type="dxa"/>
            <w:shd w:val="clear" w:color="auto" w:fill="auto"/>
            <w:noWrap/>
            <w:vAlign w:val="center"/>
          </w:tcPr>
          <w:p w14:paraId="2C09F94A" w14:textId="32881F9F"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4, 114.23</w:t>
            </w:r>
          </w:p>
        </w:tc>
        <w:tc>
          <w:tcPr>
            <w:tcW w:w="642" w:type="dxa"/>
            <w:shd w:val="clear" w:color="auto" w:fill="auto"/>
            <w:noWrap/>
            <w:vAlign w:val="center"/>
          </w:tcPr>
          <w:p w14:paraId="15AD68A6" w14:textId="2AC6C6A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0.28</w:t>
            </w:r>
          </w:p>
        </w:tc>
      </w:tr>
    </w:tbl>
    <w:p w14:paraId="3157649C" w14:textId="77777777" w:rsidR="008843FD" w:rsidRPr="00B520F1" w:rsidRDefault="008843FD">
      <w:pPr>
        <w:rPr>
          <w:rFonts w:ascii="Times New Roman" w:hAnsi="Times New Roman" w:cs="Times New Roman"/>
          <w:b/>
          <w:sz w:val="24"/>
          <w:szCs w:val="24"/>
          <w:lang w:val="es-MX"/>
        </w:rPr>
      </w:pPr>
    </w:p>
    <w:p w14:paraId="1536AE26" w14:textId="630CF67A" w:rsidR="00B520F1" w:rsidRDefault="00B520F1">
      <w:pPr>
        <w:rPr>
          <w:rFonts w:ascii="Times New Roman" w:hAnsi="Times New Roman" w:cs="Times New Roman"/>
          <w:b/>
          <w:sz w:val="24"/>
          <w:szCs w:val="24"/>
          <w:lang w:val="en-US"/>
        </w:rPr>
      </w:pPr>
      <w:r w:rsidRPr="00B520F1">
        <w:rPr>
          <w:rFonts w:ascii="Times New Roman" w:hAnsi="Times New Roman" w:cs="Times New Roman"/>
          <w:b/>
          <w:sz w:val="24"/>
          <w:szCs w:val="24"/>
          <w:lang w:val="en-US"/>
        </w:rPr>
        <w:t>5p. Vanadium.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260"/>
        <w:gridCol w:w="1350"/>
        <w:gridCol w:w="1350"/>
        <w:gridCol w:w="720"/>
        <w:gridCol w:w="900"/>
        <w:gridCol w:w="922"/>
      </w:tblGrid>
      <w:tr w:rsidR="008843FD" w:rsidRPr="006D0FD5" w14:paraId="25175712" w14:textId="77777777" w:rsidTr="003337B0">
        <w:trPr>
          <w:trHeight w:val="300"/>
          <w:jc w:val="center"/>
        </w:trPr>
        <w:tc>
          <w:tcPr>
            <w:tcW w:w="9017" w:type="dxa"/>
            <w:gridSpan w:val="8"/>
            <w:shd w:val="clear" w:color="auto" w:fill="auto"/>
            <w:noWrap/>
            <w:vAlign w:val="center"/>
          </w:tcPr>
          <w:p w14:paraId="5EE57DC8" w14:textId="340DADB4" w:rsidR="008843FD"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1D159003" w14:textId="77777777" w:rsidTr="001A2F55">
        <w:trPr>
          <w:trHeight w:val="300"/>
          <w:jc w:val="center"/>
        </w:trPr>
        <w:tc>
          <w:tcPr>
            <w:tcW w:w="6475" w:type="dxa"/>
            <w:gridSpan w:val="5"/>
            <w:vMerge w:val="restart"/>
            <w:shd w:val="clear" w:color="auto" w:fill="auto"/>
            <w:noWrap/>
            <w:vAlign w:val="center"/>
          </w:tcPr>
          <w:p w14:paraId="05E17B3A"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3641205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7B833D6A"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74D7FD1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8EABEB3" w14:textId="77777777" w:rsidTr="001A2F55">
        <w:trPr>
          <w:trHeight w:val="300"/>
          <w:jc w:val="center"/>
        </w:trPr>
        <w:tc>
          <w:tcPr>
            <w:tcW w:w="6475" w:type="dxa"/>
            <w:gridSpan w:val="5"/>
            <w:vMerge/>
            <w:shd w:val="clear" w:color="auto" w:fill="auto"/>
            <w:noWrap/>
            <w:vAlign w:val="center"/>
          </w:tcPr>
          <w:p w14:paraId="01D08646"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37BBD83D" w14:textId="597E794E"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1.51</w:t>
            </w:r>
          </w:p>
        </w:tc>
        <w:tc>
          <w:tcPr>
            <w:tcW w:w="900" w:type="dxa"/>
            <w:shd w:val="clear" w:color="auto" w:fill="auto"/>
            <w:noWrap/>
            <w:vAlign w:val="center"/>
          </w:tcPr>
          <w:p w14:paraId="4C851FC3" w14:textId="5781CCA8"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2A206C62" w14:textId="028AABB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0.20</w:t>
            </w:r>
          </w:p>
        </w:tc>
      </w:tr>
      <w:tr w:rsidR="002B191F" w:rsidRPr="006D0FD5" w14:paraId="1AEBBDE0" w14:textId="77777777" w:rsidTr="003337B0">
        <w:trPr>
          <w:trHeight w:val="300"/>
          <w:jc w:val="center"/>
        </w:trPr>
        <w:tc>
          <w:tcPr>
            <w:tcW w:w="9017" w:type="dxa"/>
            <w:gridSpan w:val="8"/>
            <w:shd w:val="clear" w:color="auto" w:fill="auto"/>
            <w:noWrap/>
            <w:vAlign w:val="center"/>
          </w:tcPr>
          <w:p w14:paraId="173D04BE" w14:textId="3E9BF8E1" w:rsidR="002B191F" w:rsidRPr="003337B0" w:rsidRDefault="002B191F"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t>
            </w:r>
            <w:r w:rsidR="00572FFF" w:rsidRPr="003337B0">
              <w:rPr>
                <w:rFonts w:ascii="Times New Roman" w:eastAsia="Times New Roman" w:hAnsi="Times New Roman" w:cs="Times New Roman"/>
                <w:b/>
                <w:i/>
                <w:color w:val="000000"/>
                <w:sz w:val="16"/>
                <w:szCs w:val="16"/>
                <w:lang w:val="en-US" w:eastAsia="de-DE"/>
              </w:rPr>
              <w:t>assuming equal variances</w:t>
            </w:r>
          </w:p>
        </w:tc>
      </w:tr>
      <w:tr w:rsidR="007B33CE" w:rsidRPr="003337B0" w14:paraId="6D8B7869" w14:textId="77777777" w:rsidTr="001A2F55">
        <w:trPr>
          <w:trHeight w:val="300"/>
          <w:jc w:val="center"/>
        </w:trPr>
        <w:tc>
          <w:tcPr>
            <w:tcW w:w="6475" w:type="dxa"/>
            <w:gridSpan w:val="5"/>
            <w:vMerge w:val="restart"/>
            <w:shd w:val="clear" w:color="auto" w:fill="auto"/>
            <w:noWrap/>
            <w:vAlign w:val="center"/>
          </w:tcPr>
          <w:p w14:paraId="58AC80F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6CDCBF80" w14:textId="03B3B52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BAB72AE" w14:textId="2039EC9E"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B5B6DAE" w14:textId="6937338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6AC6BA0B" w14:textId="77777777" w:rsidTr="001A2F55">
        <w:trPr>
          <w:trHeight w:val="300"/>
          <w:jc w:val="center"/>
        </w:trPr>
        <w:tc>
          <w:tcPr>
            <w:tcW w:w="6475" w:type="dxa"/>
            <w:gridSpan w:val="5"/>
            <w:vMerge/>
            <w:shd w:val="clear" w:color="auto" w:fill="auto"/>
            <w:noWrap/>
            <w:vAlign w:val="center"/>
          </w:tcPr>
          <w:p w14:paraId="746EBE0B"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577DA035" w14:textId="5A1D655D"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val="en-US" w:eastAsia="de-DE"/>
              </w:rPr>
              <w:t>6.94</w:t>
            </w:r>
          </w:p>
        </w:tc>
        <w:tc>
          <w:tcPr>
            <w:tcW w:w="900" w:type="dxa"/>
            <w:shd w:val="clear" w:color="auto" w:fill="auto"/>
            <w:noWrap/>
            <w:vAlign w:val="center"/>
          </w:tcPr>
          <w:p w14:paraId="097806F8" w14:textId="0DD665F9"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5CB01948" w14:textId="1ADC7261"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2.5 x 10</w:t>
            </w:r>
            <w:r w:rsidRPr="003846F7">
              <w:rPr>
                <w:rFonts w:ascii="Times New Roman" w:eastAsia="Times New Roman" w:hAnsi="Times New Roman" w:cs="Times New Roman"/>
                <w:b/>
                <w:color w:val="000000"/>
                <w:sz w:val="16"/>
                <w:szCs w:val="16"/>
                <w:vertAlign w:val="superscript"/>
                <w:lang w:val="en-US" w:eastAsia="de-DE"/>
              </w:rPr>
              <w:t>-5</w:t>
            </w:r>
          </w:p>
        </w:tc>
      </w:tr>
      <w:tr w:rsidR="002B191F" w:rsidRPr="006D0FD5" w14:paraId="197BC571" w14:textId="77777777" w:rsidTr="003337B0">
        <w:trPr>
          <w:trHeight w:val="300"/>
          <w:jc w:val="center"/>
        </w:trPr>
        <w:tc>
          <w:tcPr>
            <w:tcW w:w="9017" w:type="dxa"/>
            <w:gridSpan w:val="8"/>
            <w:shd w:val="clear" w:color="auto" w:fill="auto"/>
            <w:noWrap/>
            <w:vAlign w:val="center"/>
          </w:tcPr>
          <w:p w14:paraId="20A29D5D" w14:textId="1E25839F"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22669935" w14:textId="77777777" w:rsidTr="001A2F55">
        <w:trPr>
          <w:trHeight w:val="300"/>
          <w:jc w:val="center"/>
        </w:trPr>
        <w:tc>
          <w:tcPr>
            <w:tcW w:w="6475" w:type="dxa"/>
            <w:gridSpan w:val="5"/>
            <w:vMerge w:val="restart"/>
            <w:shd w:val="clear" w:color="auto" w:fill="auto"/>
            <w:noWrap/>
            <w:vAlign w:val="center"/>
          </w:tcPr>
          <w:p w14:paraId="661D7398"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12E87EB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7C50F21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48633EA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C4C756B" w14:textId="77777777" w:rsidTr="001A2F55">
        <w:trPr>
          <w:trHeight w:val="300"/>
          <w:jc w:val="center"/>
        </w:trPr>
        <w:tc>
          <w:tcPr>
            <w:tcW w:w="6475" w:type="dxa"/>
            <w:gridSpan w:val="5"/>
            <w:vMerge/>
            <w:shd w:val="clear" w:color="auto" w:fill="auto"/>
            <w:noWrap/>
            <w:vAlign w:val="center"/>
          </w:tcPr>
          <w:p w14:paraId="6E3537B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0AA703BB" w14:textId="2CBF20E4"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9.18</w:t>
            </w:r>
          </w:p>
        </w:tc>
        <w:tc>
          <w:tcPr>
            <w:tcW w:w="900" w:type="dxa"/>
            <w:shd w:val="clear" w:color="auto" w:fill="auto"/>
            <w:noWrap/>
            <w:vAlign w:val="center"/>
          </w:tcPr>
          <w:p w14:paraId="4446E2D7" w14:textId="4E7B773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4, 115.92</w:t>
            </w:r>
          </w:p>
        </w:tc>
        <w:tc>
          <w:tcPr>
            <w:tcW w:w="922" w:type="dxa"/>
            <w:shd w:val="clear" w:color="auto" w:fill="auto"/>
            <w:noWrap/>
            <w:vAlign w:val="center"/>
          </w:tcPr>
          <w:p w14:paraId="6E793E00" w14:textId="3F1FE004"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1.8</w:t>
            </w:r>
            <w:r w:rsidRPr="003846F7">
              <w:rPr>
                <w:rFonts w:ascii="Times New Roman" w:eastAsia="Times New Roman" w:hAnsi="Times New Roman" w:cs="Times New Roman"/>
                <w:b/>
                <w:color w:val="000000"/>
                <w:sz w:val="16"/>
                <w:szCs w:val="16"/>
                <w:lang w:val="en-US" w:eastAsia="de-DE"/>
              </w:rPr>
              <w:t xml:space="preserve"> x 10</w:t>
            </w:r>
            <w:r w:rsidRPr="003846F7">
              <w:rPr>
                <w:rFonts w:ascii="Times New Roman" w:eastAsia="Times New Roman" w:hAnsi="Times New Roman" w:cs="Times New Roman"/>
                <w:b/>
                <w:color w:val="000000"/>
                <w:sz w:val="16"/>
                <w:szCs w:val="16"/>
                <w:vertAlign w:val="superscript"/>
                <w:lang w:val="en-US" w:eastAsia="de-DE"/>
              </w:rPr>
              <w:t>-6</w:t>
            </w:r>
          </w:p>
        </w:tc>
      </w:tr>
      <w:tr w:rsidR="002B191F" w:rsidRPr="006D0FD5" w14:paraId="54308810" w14:textId="77777777" w:rsidTr="003337B0">
        <w:trPr>
          <w:trHeight w:val="300"/>
          <w:jc w:val="center"/>
        </w:trPr>
        <w:tc>
          <w:tcPr>
            <w:tcW w:w="9017" w:type="dxa"/>
            <w:gridSpan w:val="8"/>
            <w:shd w:val="clear" w:color="auto" w:fill="auto"/>
            <w:noWrap/>
            <w:vAlign w:val="center"/>
          </w:tcPr>
          <w:p w14:paraId="5C41679B"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Games-Howell post-hoc tests for group differences</w:t>
            </w:r>
          </w:p>
        </w:tc>
      </w:tr>
      <w:tr w:rsidR="002B191F" w:rsidRPr="003337B0" w14:paraId="1A2705BF" w14:textId="77777777" w:rsidTr="003337B0">
        <w:trPr>
          <w:trHeight w:val="300"/>
          <w:jc w:val="center"/>
        </w:trPr>
        <w:tc>
          <w:tcPr>
            <w:tcW w:w="1075" w:type="dxa"/>
            <w:shd w:val="clear" w:color="auto" w:fill="auto"/>
            <w:noWrap/>
            <w:vAlign w:val="center"/>
            <w:hideMark/>
          </w:tcPr>
          <w:p w14:paraId="64E0B716" w14:textId="77777777" w:rsidR="002B191F" w:rsidRPr="003337B0" w:rsidRDefault="002B191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1BDCA8B4" w14:textId="63F982E6" w:rsidR="002B191F" w:rsidRPr="003337B0" w:rsidRDefault="0060107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Mean difference</w:t>
            </w:r>
          </w:p>
        </w:tc>
        <w:tc>
          <w:tcPr>
            <w:tcW w:w="1260" w:type="dxa"/>
            <w:vAlign w:val="center"/>
          </w:tcPr>
          <w:p w14:paraId="7B40AF78" w14:textId="4A24E996" w:rsidR="002B191F" w:rsidRPr="003337B0" w:rsidRDefault="00587AA4"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Low</w:t>
            </w:r>
            <w:r w:rsidR="002B191F" w:rsidRPr="003337B0">
              <w:rPr>
                <w:rFonts w:ascii="Times New Roman" w:eastAsia="Times New Roman" w:hAnsi="Times New Roman" w:cs="Times New Roman"/>
                <w:b/>
                <w:color w:val="000000"/>
                <w:sz w:val="16"/>
                <w:szCs w:val="16"/>
                <w:lang w:eastAsia="de-DE"/>
              </w:rPr>
              <w:t>er 95% CI</w:t>
            </w:r>
          </w:p>
        </w:tc>
        <w:tc>
          <w:tcPr>
            <w:tcW w:w="1350" w:type="dxa"/>
            <w:vAlign w:val="center"/>
          </w:tcPr>
          <w:p w14:paraId="7B9883A1" w14:textId="5C362903" w:rsidR="002B191F" w:rsidRPr="003337B0" w:rsidRDefault="00587AA4"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Uppe</w:t>
            </w:r>
            <w:r w:rsidR="002B191F" w:rsidRPr="003337B0">
              <w:rPr>
                <w:rFonts w:ascii="Times New Roman" w:eastAsia="Times New Roman" w:hAnsi="Times New Roman" w:cs="Times New Roman"/>
                <w:b/>
                <w:color w:val="000000"/>
                <w:sz w:val="16"/>
                <w:szCs w:val="16"/>
                <w:lang w:eastAsia="de-DE"/>
              </w:rPr>
              <w:t>r 95% CI</w:t>
            </w:r>
          </w:p>
        </w:tc>
        <w:tc>
          <w:tcPr>
            <w:tcW w:w="1350" w:type="dxa"/>
            <w:shd w:val="clear" w:color="auto" w:fill="auto"/>
            <w:noWrap/>
            <w:vAlign w:val="center"/>
            <w:hideMark/>
          </w:tcPr>
          <w:p w14:paraId="24FEAD34" w14:textId="77777777" w:rsidR="002B191F" w:rsidRPr="003337B0" w:rsidRDefault="002B191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59476527"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23006B07"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6216A78F"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AE2778" w:rsidRPr="003337B0" w14:paraId="03B1E597" w14:textId="77777777" w:rsidTr="003337B0">
        <w:trPr>
          <w:trHeight w:val="300"/>
          <w:jc w:val="center"/>
        </w:trPr>
        <w:tc>
          <w:tcPr>
            <w:tcW w:w="1075" w:type="dxa"/>
            <w:shd w:val="clear" w:color="auto" w:fill="auto"/>
            <w:noWrap/>
            <w:vAlign w:val="center"/>
            <w:hideMark/>
          </w:tcPr>
          <w:p w14:paraId="66144055"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31F4F5D0" w14:textId="4C2FCE2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-2.68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1D870CD9" w14:textId="04C037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-8.59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104A3F7" w14:textId="2D8F4AE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3.24</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0A133158" w14:textId="368F282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D58C50D" w14:textId="6FA20D6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1.26</w:t>
            </w:r>
          </w:p>
        </w:tc>
        <w:tc>
          <w:tcPr>
            <w:tcW w:w="900" w:type="dxa"/>
            <w:shd w:val="clear" w:color="auto" w:fill="auto"/>
            <w:noWrap/>
            <w:vAlign w:val="center"/>
          </w:tcPr>
          <w:p w14:paraId="718C5385" w14:textId="3F49DA5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84.6</w:t>
            </w:r>
            <w:r w:rsidR="003337B0">
              <w:rPr>
                <w:rFonts w:ascii="Times New Roman" w:hAnsi="Times New Roman" w:cs="Times New Roman"/>
                <w:color w:val="000000"/>
                <w:sz w:val="16"/>
                <w:szCs w:val="16"/>
              </w:rPr>
              <w:t>6</w:t>
            </w:r>
          </w:p>
        </w:tc>
        <w:tc>
          <w:tcPr>
            <w:tcW w:w="922" w:type="dxa"/>
            <w:shd w:val="clear" w:color="auto" w:fill="auto"/>
            <w:noWrap/>
            <w:vAlign w:val="center"/>
          </w:tcPr>
          <w:p w14:paraId="2F6D0051" w14:textId="07CE0CD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0.7</w:t>
            </w:r>
            <w:r w:rsidR="003337B0">
              <w:rPr>
                <w:rFonts w:ascii="Times New Roman" w:hAnsi="Times New Roman" w:cs="Times New Roman"/>
                <w:color w:val="000000"/>
                <w:sz w:val="16"/>
                <w:szCs w:val="16"/>
              </w:rPr>
              <w:t>2</w:t>
            </w:r>
          </w:p>
        </w:tc>
      </w:tr>
      <w:tr w:rsidR="00AE2778" w:rsidRPr="003337B0" w14:paraId="6002F8B9" w14:textId="77777777" w:rsidTr="003337B0">
        <w:trPr>
          <w:trHeight w:val="300"/>
          <w:jc w:val="center"/>
        </w:trPr>
        <w:tc>
          <w:tcPr>
            <w:tcW w:w="1075" w:type="dxa"/>
            <w:shd w:val="clear" w:color="auto" w:fill="auto"/>
            <w:noWrap/>
            <w:vAlign w:val="center"/>
            <w:hideMark/>
          </w:tcPr>
          <w:p w14:paraId="5AC1943E"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F60E5D0" w14:textId="2915267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535D4DDA" w14:textId="42BB686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-5.40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3D80969C" w14:textId="33C8725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7.65</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091EC687" w14:textId="5E1D2A8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1.66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7CB2D313" w14:textId="4839B1D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0.48</w:t>
            </w:r>
          </w:p>
        </w:tc>
        <w:tc>
          <w:tcPr>
            <w:tcW w:w="900" w:type="dxa"/>
            <w:shd w:val="clear" w:color="auto" w:fill="auto"/>
            <w:noWrap/>
            <w:vAlign w:val="center"/>
          </w:tcPr>
          <w:p w14:paraId="73587C48" w14:textId="7BE97444"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94.2</w:t>
            </w:r>
            <w:r w:rsidR="003337B0">
              <w:rPr>
                <w:rFonts w:ascii="Times New Roman" w:hAnsi="Times New Roman" w:cs="Times New Roman"/>
                <w:color w:val="000000"/>
                <w:sz w:val="16"/>
                <w:szCs w:val="16"/>
              </w:rPr>
              <w:t>5</w:t>
            </w:r>
          </w:p>
        </w:tc>
        <w:tc>
          <w:tcPr>
            <w:tcW w:w="922" w:type="dxa"/>
            <w:shd w:val="clear" w:color="auto" w:fill="auto"/>
            <w:noWrap/>
            <w:vAlign w:val="center"/>
          </w:tcPr>
          <w:p w14:paraId="24A4C414" w14:textId="3532703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0.9</w:t>
            </w:r>
            <w:r w:rsidR="003337B0">
              <w:rPr>
                <w:rFonts w:ascii="Times New Roman" w:hAnsi="Times New Roman" w:cs="Times New Roman"/>
                <w:color w:val="000000"/>
                <w:sz w:val="16"/>
                <w:szCs w:val="16"/>
              </w:rPr>
              <w:t>9</w:t>
            </w:r>
          </w:p>
        </w:tc>
      </w:tr>
      <w:tr w:rsidR="00AE2778" w:rsidRPr="003337B0" w14:paraId="2BA491E8" w14:textId="77777777" w:rsidTr="003337B0">
        <w:trPr>
          <w:trHeight w:val="300"/>
          <w:jc w:val="center"/>
        </w:trPr>
        <w:tc>
          <w:tcPr>
            <w:tcW w:w="1075" w:type="dxa"/>
            <w:shd w:val="clear" w:color="auto" w:fill="auto"/>
            <w:noWrap/>
            <w:vAlign w:val="center"/>
            <w:hideMark/>
          </w:tcPr>
          <w:p w14:paraId="6D0CB9A8"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C3B43D1" w14:textId="124DD81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-3.26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8A55E0D" w14:textId="501D117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-8.33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B15EA3E" w14:textId="081F121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42C83E57" w14:textId="128B726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70C6627" w14:textId="0090828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1.7</w:t>
            </w:r>
            <w:r w:rsidR="003337B0">
              <w:rPr>
                <w:rFonts w:ascii="Times New Roman" w:hAnsi="Times New Roman" w:cs="Times New Roman"/>
                <w:color w:val="000000"/>
                <w:sz w:val="16"/>
                <w:szCs w:val="16"/>
              </w:rPr>
              <w:t>9</w:t>
            </w:r>
          </w:p>
        </w:tc>
        <w:tc>
          <w:tcPr>
            <w:tcW w:w="900" w:type="dxa"/>
            <w:shd w:val="clear" w:color="auto" w:fill="auto"/>
            <w:noWrap/>
            <w:vAlign w:val="center"/>
          </w:tcPr>
          <w:p w14:paraId="51B791C7" w14:textId="3F35775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115.7</w:t>
            </w:r>
            <w:r w:rsidR="003337B0">
              <w:rPr>
                <w:rFonts w:ascii="Times New Roman" w:hAnsi="Times New Roman" w:cs="Times New Roman"/>
                <w:color w:val="000000"/>
                <w:sz w:val="16"/>
                <w:szCs w:val="16"/>
              </w:rPr>
              <w:t>8</w:t>
            </w:r>
          </w:p>
        </w:tc>
        <w:tc>
          <w:tcPr>
            <w:tcW w:w="922" w:type="dxa"/>
            <w:shd w:val="clear" w:color="auto" w:fill="auto"/>
            <w:noWrap/>
            <w:vAlign w:val="center"/>
          </w:tcPr>
          <w:p w14:paraId="0A604E32" w14:textId="5DE148F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0.3</w:t>
            </w:r>
            <w:r w:rsidR="003337B0">
              <w:rPr>
                <w:rFonts w:ascii="Times New Roman" w:hAnsi="Times New Roman" w:cs="Times New Roman"/>
                <w:color w:val="000000"/>
                <w:sz w:val="16"/>
                <w:szCs w:val="16"/>
              </w:rPr>
              <w:t>9</w:t>
            </w:r>
          </w:p>
        </w:tc>
      </w:tr>
      <w:tr w:rsidR="00AE2778" w:rsidRPr="003337B0" w14:paraId="40B17729" w14:textId="77777777" w:rsidTr="003337B0">
        <w:trPr>
          <w:trHeight w:val="300"/>
          <w:jc w:val="center"/>
        </w:trPr>
        <w:tc>
          <w:tcPr>
            <w:tcW w:w="1075" w:type="dxa"/>
            <w:shd w:val="clear" w:color="auto" w:fill="auto"/>
            <w:noWrap/>
            <w:vAlign w:val="center"/>
            <w:hideMark/>
          </w:tcPr>
          <w:p w14:paraId="637E3E88"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7D31CBA8" w14:textId="71642B0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-7.28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7A5EED94" w14:textId="0942AF1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-0.00116</w:t>
            </w:r>
          </w:p>
        </w:tc>
        <w:tc>
          <w:tcPr>
            <w:tcW w:w="1350" w:type="dxa"/>
            <w:vAlign w:val="center"/>
          </w:tcPr>
          <w:p w14:paraId="26CD4938" w14:textId="3A6911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-2.97</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2C7EA5F6" w14:textId="2747684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1B1A630" w14:textId="27662BC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4.69</w:t>
            </w:r>
          </w:p>
        </w:tc>
        <w:tc>
          <w:tcPr>
            <w:tcW w:w="900" w:type="dxa"/>
            <w:shd w:val="clear" w:color="auto" w:fill="auto"/>
            <w:noWrap/>
            <w:vAlign w:val="center"/>
          </w:tcPr>
          <w:p w14:paraId="67412E6A" w14:textId="36D9E0B4"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102.7</w:t>
            </w:r>
            <w:r w:rsidR="003337B0">
              <w:rPr>
                <w:rFonts w:ascii="Times New Roman" w:hAnsi="Times New Roman" w:cs="Times New Roman"/>
                <w:color w:val="000000"/>
                <w:sz w:val="16"/>
                <w:szCs w:val="16"/>
              </w:rPr>
              <w:t>1</w:t>
            </w:r>
          </w:p>
        </w:tc>
        <w:tc>
          <w:tcPr>
            <w:tcW w:w="922" w:type="dxa"/>
            <w:shd w:val="clear" w:color="auto" w:fill="auto"/>
            <w:noWrap/>
            <w:vAlign w:val="center"/>
          </w:tcPr>
          <w:p w14:paraId="4A9E9470" w14:textId="26B7FD60"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8.2</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-5</w:t>
            </w:r>
          </w:p>
        </w:tc>
      </w:tr>
      <w:tr w:rsidR="00AE2778" w:rsidRPr="003337B0" w14:paraId="095A9E4B" w14:textId="77777777" w:rsidTr="003337B0">
        <w:trPr>
          <w:trHeight w:val="300"/>
          <w:jc w:val="center"/>
        </w:trPr>
        <w:tc>
          <w:tcPr>
            <w:tcW w:w="1075" w:type="dxa"/>
            <w:shd w:val="clear" w:color="auto" w:fill="auto"/>
            <w:noWrap/>
            <w:vAlign w:val="center"/>
            <w:hideMark/>
          </w:tcPr>
          <w:p w14:paraId="73353E00"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C988B99" w14:textId="6A3436C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63304153" w14:textId="23A8DB5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-0.00107</w:t>
            </w:r>
          </w:p>
        </w:tc>
        <w:tc>
          <w:tcPr>
            <w:tcW w:w="1350" w:type="dxa"/>
            <w:vAlign w:val="center"/>
          </w:tcPr>
          <w:p w14:paraId="4D46F7B3" w14:textId="647160F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3.13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3699731B" w14:textId="3C952DE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1.76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37E1ADEC" w14:textId="5F32A0A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w:t>
            </w:r>
            <w:r w:rsidR="003337B0">
              <w:rPr>
                <w:rFonts w:ascii="Times New Roman" w:hAnsi="Times New Roman" w:cs="Times New Roman"/>
                <w:color w:val="000000"/>
                <w:sz w:val="16"/>
                <w:szCs w:val="16"/>
              </w:rPr>
              <w:t>3</w:t>
            </w:r>
          </w:p>
        </w:tc>
        <w:tc>
          <w:tcPr>
            <w:tcW w:w="900" w:type="dxa"/>
            <w:shd w:val="clear" w:color="auto" w:fill="auto"/>
            <w:noWrap/>
            <w:vAlign w:val="center"/>
          </w:tcPr>
          <w:p w14:paraId="67DA0BC7" w14:textId="01C3A27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83.97</w:t>
            </w:r>
          </w:p>
        </w:tc>
        <w:tc>
          <w:tcPr>
            <w:tcW w:w="922" w:type="dxa"/>
            <w:shd w:val="clear" w:color="auto" w:fill="auto"/>
            <w:noWrap/>
            <w:vAlign w:val="center"/>
          </w:tcPr>
          <w:p w14:paraId="3302B15A" w14:textId="37094CF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0.5</w:t>
            </w:r>
            <w:r w:rsidR="003337B0">
              <w:rPr>
                <w:rFonts w:ascii="Times New Roman" w:hAnsi="Times New Roman" w:cs="Times New Roman"/>
                <w:color w:val="000000"/>
                <w:sz w:val="16"/>
                <w:szCs w:val="16"/>
              </w:rPr>
              <w:t>5</w:t>
            </w:r>
          </w:p>
        </w:tc>
      </w:tr>
      <w:tr w:rsidR="00AE2778" w:rsidRPr="003337B0" w14:paraId="6F63ADA5" w14:textId="77777777" w:rsidTr="003337B0">
        <w:trPr>
          <w:trHeight w:val="300"/>
          <w:jc w:val="center"/>
        </w:trPr>
        <w:tc>
          <w:tcPr>
            <w:tcW w:w="1075" w:type="dxa"/>
            <w:shd w:val="clear" w:color="auto" w:fill="auto"/>
            <w:noWrap/>
            <w:vAlign w:val="center"/>
            <w:hideMark/>
          </w:tcPr>
          <w:p w14:paraId="7477597E"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21B12419" w14:textId="36145C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-4.39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3C28729" w14:textId="138A575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-0.00106</w:t>
            </w:r>
          </w:p>
        </w:tc>
        <w:tc>
          <w:tcPr>
            <w:tcW w:w="1350" w:type="dxa"/>
            <w:vAlign w:val="center"/>
          </w:tcPr>
          <w:p w14:paraId="78C7EC95" w14:textId="643E3D3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1.86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28CC1547" w14:textId="5A3364B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38591617" w14:textId="50465B0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1.96</w:t>
            </w:r>
          </w:p>
        </w:tc>
        <w:tc>
          <w:tcPr>
            <w:tcW w:w="900" w:type="dxa"/>
            <w:shd w:val="clear" w:color="auto" w:fill="auto"/>
            <w:noWrap/>
            <w:vAlign w:val="center"/>
          </w:tcPr>
          <w:p w14:paraId="4CB14D44" w14:textId="73701E3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80.7</w:t>
            </w:r>
            <w:r w:rsidR="003337B0">
              <w:rPr>
                <w:rFonts w:ascii="Times New Roman" w:hAnsi="Times New Roman" w:cs="Times New Roman"/>
                <w:color w:val="000000"/>
                <w:sz w:val="16"/>
                <w:szCs w:val="16"/>
              </w:rPr>
              <w:t>2</w:t>
            </w:r>
          </w:p>
        </w:tc>
        <w:tc>
          <w:tcPr>
            <w:tcW w:w="922" w:type="dxa"/>
            <w:shd w:val="clear" w:color="auto" w:fill="auto"/>
            <w:noWrap/>
            <w:vAlign w:val="center"/>
          </w:tcPr>
          <w:p w14:paraId="48EE0C89" w14:textId="646B8B0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0.29</w:t>
            </w:r>
          </w:p>
        </w:tc>
      </w:tr>
      <w:tr w:rsidR="00AE2778" w:rsidRPr="003846F7" w14:paraId="448F7F66" w14:textId="77777777" w:rsidTr="003337B0">
        <w:trPr>
          <w:trHeight w:val="300"/>
          <w:jc w:val="center"/>
        </w:trPr>
        <w:tc>
          <w:tcPr>
            <w:tcW w:w="1075" w:type="dxa"/>
            <w:shd w:val="clear" w:color="auto" w:fill="auto"/>
            <w:noWrap/>
            <w:vAlign w:val="center"/>
            <w:hideMark/>
          </w:tcPr>
          <w:p w14:paraId="5E0996E3"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30EE7DB9" w14:textId="31112AD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-8.41</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4859F454" w14:textId="4896AF2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-0.00141</w:t>
            </w:r>
          </w:p>
        </w:tc>
        <w:tc>
          <w:tcPr>
            <w:tcW w:w="1350" w:type="dxa"/>
            <w:vAlign w:val="center"/>
          </w:tcPr>
          <w:p w14:paraId="3DFF175A" w14:textId="7B2AC1B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-2.73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7E2FB38E" w14:textId="3A24877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1.43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070842F4" w14:textId="699751D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4.16</w:t>
            </w:r>
          </w:p>
        </w:tc>
        <w:tc>
          <w:tcPr>
            <w:tcW w:w="900" w:type="dxa"/>
            <w:shd w:val="clear" w:color="auto" w:fill="auto"/>
            <w:noWrap/>
            <w:vAlign w:val="center"/>
          </w:tcPr>
          <w:p w14:paraId="62FD4190" w14:textId="4176F90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61.41</w:t>
            </w:r>
          </w:p>
        </w:tc>
        <w:tc>
          <w:tcPr>
            <w:tcW w:w="922" w:type="dxa"/>
            <w:shd w:val="clear" w:color="auto" w:fill="auto"/>
            <w:noWrap/>
            <w:vAlign w:val="center"/>
          </w:tcPr>
          <w:p w14:paraId="28C9109F" w14:textId="4CC9D015"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9.22</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-4</w:t>
            </w:r>
          </w:p>
        </w:tc>
      </w:tr>
      <w:tr w:rsidR="00AE2778" w:rsidRPr="003337B0" w14:paraId="08C48E0C" w14:textId="77777777" w:rsidTr="003337B0">
        <w:trPr>
          <w:trHeight w:val="300"/>
          <w:jc w:val="center"/>
        </w:trPr>
        <w:tc>
          <w:tcPr>
            <w:tcW w:w="1075" w:type="dxa"/>
            <w:shd w:val="clear" w:color="auto" w:fill="auto"/>
            <w:noWrap/>
            <w:vAlign w:val="center"/>
            <w:hideMark/>
          </w:tcPr>
          <w:p w14:paraId="50174B83"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28B8CA2A" w14:textId="4BFF49C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-5.90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260" w:type="dxa"/>
            <w:vAlign w:val="center"/>
          </w:tcPr>
          <w:p w14:paraId="54308479" w14:textId="79E2464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-6.20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4570047" w14:textId="13FD5B1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5.03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78B29A54" w14:textId="04B125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1.42</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76D76FFD" w14:textId="3BEB46A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0.29</w:t>
            </w:r>
          </w:p>
        </w:tc>
        <w:tc>
          <w:tcPr>
            <w:tcW w:w="900" w:type="dxa"/>
            <w:shd w:val="clear" w:color="auto" w:fill="auto"/>
            <w:noWrap/>
            <w:vAlign w:val="center"/>
          </w:tcPr>
          <w:p w14:paraId="41F03745" w14:textId="7A212B9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70.18</w:t>
            </w:r>
          </w:p>
        </w:tc>
        <w:tc>
          <w:tcPr>
            <w:tcW w:w="922" w:type="dxa"/>
            <w:shd w:val="clear" w:color="auto" w:fill="auto"/>
            <w:noWrap/>
            <w:vAlign w:val="center"/>
          </w:tcPr>
          <w:p w14:paraId="37851D5F" w14:textId="5BD6B79B" w:rsidR="00AE2778" w:rsidRPr="003337B0" w:rsidRDefault="003337B0" w:rsidP="003337B0">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AE2778" w:rsidRPr="003337B0" w14:paraId="393BE250" w14:textId="77777777" w:rsidTr="003337B0">
        <w:trPr>
          <w:trHeight w:val="300"/>
          <w:jc w:val="center"/>
        </w:trPr>
        <w:tc>
          <w:tcPr>
            <w:tcW w:w="1075" w:type="dxa"/>
            <w:shd w:val="clear" w:color="auto" w:fill="auto"/>
            <w:noWrap/>
            <w:vAlign w:val="center"/>
            <w:hideMark/>
          </w:tcPr>
          <w:p w14:paraId="778A0F3D"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6778FCC" w14:textId="15D99D6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-4.60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33D449AB" w14:textId="4084875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-9.58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721B06AD" w14:textId="23A4E67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3.70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350" w:type="dxa"/>
            <w:shd w:val="clear" w:color="auto" w:fill="auto"/>
            <w:noWrap/>
            <w:vAlign w:val="center"/>
          </w:tcPr>
          <w:p w14:paraId="11DC07B9" w14:textId="4329AAD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1.24</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4120F4D6" w14:textId="75E9C60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2.6</w:t>
            </w:r>
            <w:r w:rsidR="003337B0">
              <w:rPr>
                <w:rFonts w:ascii="Times New Roman" w:hAnsi="Times New Roman" w:cs="Times New Roman"/>
                <w:color w:val="000000"/>
                <w:sz w:val="16"/>
                <w:szCs w:val="16"/>
              </w:rPr>
              <w:t>2</w:t>
            </w:r>
          </w:p>
        </w:tc>
        <w:tc>
          <w:tcPr>
            <w:tcW w:w="900" w:type="dxa"/>
            <w:shd w:val="clear" w:color="auto" w:fill="auto"/>
            <w:noWrap/>
            <w:vAlign w:val="center"/>
          </w:tcPr>
          <w:p w14:paraId="285D8B2A" w14:textId="276B011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50.15</w:t>
            </w:r>
          </w:p>
        </w:tc>
        <w:tc>
          <w:tcPr>
            <w:tcW w:w="922" w:type="dxa"/>
            <w:shd w:val="clear" w:color="auto" w:fill="auto"/>
            <w:noWrap/>
            <w:vAlign w:val="center"/>
          </w:tcPr>
          <w:p w14:paraId="27B0806F" w14:textId="6941C32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0.082</w:t>
            </w:r>
          </w:p>
        </w:tc>
      </w:tr>
      <w:tr w:rsidR="00AE2778" w:rsidRPr="003846F7" w14:paraId="3A38D52B" w14:textId="77777777" w:rsidTr="003337B0">
        <w:trPr>
          <w:trHeight w:val="300"/>
          <w:jc w:val="center"/>
        </w:trPr>
        <w:tc>
          <w:tcPr>
            <w:tcW w:w="1075" w:type="dxa"/>
            <w:shd w:val="clear" w:color="auto" w:fill="auto"/>
            <w:noWrap/>
            <w:vAlign w:val="center"/>
            <w:hideMark/>
          </w:tcPr>
          <w:p w14:paraId="4965F58C"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6789D792" w14:textId="6D0C89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-4.02</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E1FE278" w14:textId="0EB21D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-7.89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183FD4B0" w14:textId="2CAA68D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350" w:type="dxa"/>
            <w:shd w:val="clear" w:color="auto" w:fill="auto"/>
            <w:noWrap/>
            <w:vAlign w:val="center"/>
          </w:tcPr>
          <w:p w14:paraId="63CF152A" w14:textId="3486329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720" w:type="dxa"/>
            <w:shd w:val="clear" w:color="auto" w:fill="auto"/>
            <w:noWrap/>
            <w:vAlign w:val="center"/>
          </w:tcPr>
          <w:p w14:paraId="1A6BD310" w14:textId="6538A6B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w:t>
            </w:r>
            <w:r w:rsidR="003337B0">
              <w:rPr>
                <w:rFonts w:ascii="Times New Roman" w:hAnsi="Times New Roman" w:cs="Times New Roman"/>
                <w:color w:val="000000"/>
                <w:sz w:val="16"/>
                <w:szCs w:val="16"/>
              </w:rPr>
              <w:t>90</w:t>
            </w:r>
          </w:p>
        </w:tc>
        <w:tc>
          <w:tcPr>
            <w:tcW w:w="900" w:type="dxa"/>
            <w:shd w:val="clear" w:color="auto" w:fill="auto"/>
            <w:noWrap/>
            <w:vAlign w:val="center"/>
          </w:tcPr>
          <w:p w14:paraId="358CC862" w14:textId="111BEA8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79.0</w:t>
            </w:r>
            <w:r w:rsidR="003337B0">
              <w:rPr>
                <w:rFonts w:ascii="Times New Roman" w:hAnsi="Times New Roman" w:cs="Times New Roman"/>
                <w:color w:val="000000"/>
                <w:sz w:val="16"/>
                <w:szCs w:val="16"/>
              </w:rPr>
              <w:t>9</w:t>
            </w:r>
          </w:p>
        </w:tc>
        <w:tc>
          <w:tcPr>
            <w:tcW w:w="922" w:type="dxa"/>
            <w:shd w:val="clear" w:color="auto" w:fill="auto"/>
            <w:noWrap/>
            <w:vAlign w:val="center"/>
          </w:tcPr>
          <w:p w14:paraId="74F01A96" w14:textId="14155033"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0.03</w:t>
            </w:r>
            <w:r w:rsidR="003337B0" w:rsidRPr="003846F7">
              <w:rPr>
                <w:rFonts w:ascii="Times New Roman" w:hAnsi="Times New Roman" w:cs="Times New Roman"/>
                <w:b/>
                <w:color w:val="000000"/>
                <w:sz w:val="16"/>
                <w:szCs w:val="16"/>
              </w:rPr>
              <w:t>8</w:t>
            </w:r>
          </w:p>
        </w:tc>
      </w:tr>
    </w:tbl>
    <w:p w14:paraId="72A112CC" w14:textId="77777777" w:rsidR="008843FD" w:rsidRPr="00B520F1" w:rsidRDefault="008843FD">
      <w:pPr>
        <w:rPr>
          <w:rFonts w:ascii="Times New Roman" w:hAnsi="Times New Roman" w:cs="Times New Roman"/>
          <w:b/>
          <w:sz w:val="24"/>
          <w:szCs w:val="24"/>
          <w:lang w:val="en-US"/>
        </w:rPr>
      </w:pPr>
    </w:p>
    <w:p w14:paraId="5C237B2E" w14:textId="77777777" w:rsidR="006853A2" w:rsidRDefault="006853A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DDBAD88" w14:textId="2667187F" w:rsidR="00B520F1" w:rsidRDefault="00B520F1">
      <w:pPr>
        <w:rPr>
          <w:rFonts w:ascii="Times New Roman" w:hAnsi="Times New Roman" w:cs="Times New Roman"/>
          <w:b/>
          <w:sz w:val="24"/>
          <w:szCs w:val="24"/>
          <w:lang w:val="en-US"/>
        </w:rPr>
      </w:pPr>
      <w:r w:rsidRPr="00B520F1">
        <w:rPr>
          <w:rFonts w:ascii="Times New Roman" w:hAnsi="Times New Roman" w:cs="Times New Roman"/>
          <w:b/>
          <w:sz w:val="24"/>
          <w:szCs w:val="24"/>
          <w:lang w:val="en-US"/>
        </w:rPr>
        <w:lastRenderedPageBreak/>
        <w:t xml:space="preserve">5q. </w:t>
      </w:r>
      <w:r>
        <w:rPr>
          <w:rFonts w:ascii="Times New Roman" w:hAnsi="Times New Roman" w:cs="Times New Roman"/>
          <w:b/>
          <w:sz w:val="24"/>
          <w:szCs w:val="24"/>
          <w:lang w:val="en-US"/>
        </w:rPr>
        <w:t>Zinc.</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900"/>
        <w:gridCol w:w="922"/>
      </w:tblGrid>
      <w:tr w:rsidR="008843FD" w:rsidRPr="006D0FD5" w14:paraId="3F24ED4B" w14:textId="77777777" w:rsidTr="00B97D45">
        <w:trPr>
          <w:trHeight w:val="300"/>
          <w:jc w:val="center"/>
        </w:trPr>
        <w:tc>
          <w:tcPr>
            <w:tcW w:w="9017" w:type="dxa"/>
            <w:gridSpan w:val="8"/>
            <w:shd w:val="clear" w:color="auto" w:fill="auto"/>
            <w:noWrap/>
            <w:vAlign w:val="center"/>
          </w:tcPr>
          <w:p w14:paraId="2EEFC352" w14:textId="6212A87A" w:rsidR="008843FD" w:rsidRPr="004A34A2" w:rsidRDefault="004A34A2" w:rsidP="00B97D45">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B97D45" w14:paraId="1FD320AB" w14:textId="77777777" w:rsidTr="001A2F55">
        <w:trPr>
          <w:trHeight w:val="300"/>
          <w:jc w:val="center"/>
        </w:trPr>
        <w:tc>
          <w:tcPr>
            <w:tcW w:w="6565" w:type="dxa"/>
            <w:gridSpan w:val="5"/>
            <w:vMerge w:val="restart"/>
            <w:shd w:val="clear" w:color="auto" w:fill="auto"/>
            <w:noWrap/>
            <w:vAlign w:val="center"/>
          </w:tcPr>
          <w:p w14:paraId="5DF9B2B5" w14:textId="77777777" w:rsidR="007B33CE" w:rsidRPr="004A34A2"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F49B67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59EA2F4D"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82573AB"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7B33CE" w:rsidRPr="00B97D45" w14:paraId="6CF66FB8" w14:textId="77777777" w:rsidTr="001A2F55">
        <w:trPr>
          <w:trHeight w:val="300"/>
          <w:jc w:val="center"/>
        </w:trPr>
        <w:tc>
          <w:tcPr>
            <w:tcW w:w="6565" w:type="dxa"/>
            <w:gridSpan w:val="5"/>
            <w:vMerge/>
            <w:shd w:val="clear" w:color="auto" w:fill="auto"/>
            <w:noWrap/>
            <w:vAlign w:val="center"/>
          </w:tcPr>
          <w:p w14:paraId="3264E84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43006F8" w14:textId="7697DB54"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1.93</w:t>
            </w:r>
          </w:p>
        </w:tc>
        <w:tc>
          <w:tcPr>
            <w:tcW w:w="900" w:type="dxa"/>
            <w:shd w:val="clear" w:color="auto" w:fill="auto"/>
            <w:noWrap/>
            <w:vAlign w:val="center"/>
          </w:tcPr>
          <w:p w14:paraId="01F603BB" w14:textId="666F89E3"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55F9D893" w14:textId="334421D2"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0.11</w:t>
            </w:r>
          </w:p>
        </w:tc>
      </w:tr>
      <w:tr w:rsidR="00AE2778" w:rsidRPr="006D0FD5" w14:paraId="375372FD" w14:textId="77777777" w:rsidTr="00B97D45">
        <w:trPr>
          <w:trHeight w:val="300"/>
          <w:jc w:val="center"/>
        </w:trPr>
        <w:tc>
          <w:tcPr>
            <w:tcW w:w="9017" w:type="dxa"/>
            <w:gridSpan w:val="8"/>
            <w:shd w:val="clear" w:color="auto" w:fill="auto"/>
            <w:noWrap/>
            <w:vAlign w:val="center"/>
          </w:tcPr>
          <w:p w14:paraId="2F1442CD" w14:textId="3B7A806E" w:rsidR="00AE2778" w:rsidRPr="00B97D45" w:rsidRDefault="00AE2778"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 xml:space="preserve">One-way </w:t>
            </w:r>
            <w:r w:rsidR="00411B7C" w:rsidRPr="00B97D45">
              <w:rPr>
                <w:rFonts w:ascii="Times New Roman" w:eastAsia="Times New Roman" w:hAnsi="Times New Roman" w:cs="Times New Roman"/>
                <w:b/>
                <w:i/>
                <w:color w:val="000000"/>
                <w:sz w:val="16"/>
                <w:szCs w:val="16"/>
                <w:lang w:val="en-US" w:eastAsia="de-DE"/>
              </w:rPr>
              <w:t>analysis of variance</w:t>
            </w:r>
            <w:r w:rsidRPr="00B97D45">
              <w:rPr>
                <w:rFonts w:ascii="Times New Roman" w:eastAsia="Times New Roman" w:hAnsi="Times New Roman" w:cs="Times New Roman"/>
                <w:b/>
                <w:i/>
                <w:color w:val="000000"/>
                <w:sz w:val="16"/>
                <w:szCs w:val="16"/>
                <w:lang w:val="en-US" w:eastAsia="de-DE"/>
              </w:rPr>
              <w:t xml:space="preserve"> </w:t>
            </w:r>
            <w:r w:rsidR="00572FFF" w:rsidRPr="00B97D45">
              <w:rPr>
                <w:rFonts w:ascii="Times New Roman" w:eastAsia="Times New Roman" w:hAnsi="Times New Roman" w:cs="Times New Roman"/>
                <w:b/>
                <w:i/>
                <w:color w:val="000000"/>
                <w:sz w:val="16"/>
                <w:szCs w:val="16"/>
                <w:lang w:val="en-US" w:eastAsia="de-DE"/>
              </w:rPr>
              <w:t>assuming equal variances</w:t>
            </w:r>
          </w:p>
        </w:tc>
      </w:tr>
      <w:tr w:rsidR="007B33CE" w:rsidRPr="00B97D45" w14:paraId="7279D043" w14:textId="77777777" w:rsidTr="001A2F55">
        <w:trPr>
          <w:trHeight w:val="300"/>
          <w:jc w:val="center"/>
        </w:trPr>
        <w:tc>
          <w:tcPr>
            <w:tcW w:w="6565" w:type="dxa"/>
            <w:gridSpan w:val="5"/>
            <w:vMerge w:val="restart"/>
            <w:shd w:val="clear" w:color="auto" w:fill="auto"/>
            <w:noWrap/>
            <w:vAlign w:val="center"/>
          </w:tcPr>
          <w:p w14:paraId="395128F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799D9838" w14:textId="604DCC8A"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2DE58C4A" w14:textId="23ACAEB0"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5A43B4BE" w14:textId="32B666A3"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p</w:t>
            </w:r>
          </w:p>
        </w:tc>
      </w:tr>
      <w:tr w:rsidR="007B33CE" w:rsidRPr="00B97D45" w14:paraId="402E2BBA" w14:textId="77777777" w:rsidTr="001A2F55">
        <w:trPr>
          <w:trHeight w:val="300"/>
          <w:jc w:val="center"/>
        </w:trPr>
        <w:tc>
          <w:tcPr>
            <w:tcW w:w="6565" w:type="dxa"/>
            <w:gridSpan w:val="5"/>
            <w:vMerge/>
            <w:shd w:val="clear" w:color="auto" w:fill="auto"/>
            <w:noWrap/>
            <w:vAlign w:val="center"/>
          </w:tcPr>
          <w:p w14:paraId="6C878080"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2559A1AB" w14:textId="111CAF9F"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color w:val="000000"/>
                <w:sz w:val="16"/>
                <w:szCs w:val="16"/>
                <w:lang w:val="en-US" w:eastAsia="de-DE"/>
              </w:rPr>
              <w:t>5.67</w:t>
            </w:r>
          </w:p>
        </w:tc>
        <w:tc>
          <w:tcPr>
            <w:tcW w:w="900" w:type="dxa"/>
            <w:shd w:val="clear" w:color="auto" w:fill="auto"/>
            <w:noWrap/>
            <w:vAlign w:val="center"/>
          </w:tcPr>
          <w:p w14:paraId="7A9BD7A3" w14:textId="5285A9DB"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47AC8319" w14:textId="4C6D591C" w:rsidR="007B33CE" w:rsidRPr="003846F7" w:rsidRDefault="007B33CE" w:rsidP="00B97D45">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0.00022</w:t>
            </w:r>
          </w:p>
        </w:tc>
      </w:tr>
      <w:tr w:rsidR="008843FD" w:rsidRPr="006D0FD5" w14:paraId="4C5BF420" w14:textId="77777777" w:rsidTr="00B97D45">
        <w:trPr>
          <w:trHeight w:val="300"/>
          <w:jc w:val="center"/>
        </w:trPr>
        <w:tc>
          <w:tcPr>
            <w:tcW w:w="9017" w:type="dxa"/>
            <w:gridSpan w:val="8"/>
            <w:shd w:val="clear" w:color="auto" w:fill="auto"/>
            <w:noWrap/>
            <w:vAlign w:val="center"/>
          </w:tcPr>
          <w:p w14:paraId="4528E167" w14:textId="24476828"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 xml:space="preserve">One-way </w:t>
            </w:r>
            <w:r w:rsidR="00411B7C" w:rsidRPr="00B97D45">
              <w:rPr>
                <w:rFonts w:ascii="Times New Roman" w:eastAsia="Times New Roman" w:hAnsi="Times New Roman" w:cs="Times New Roman"/>
                <w:b/>
                <w:i/>
                <w:color w:val="000000"/>
                <w:sz w:val="16"/>
                <w:szCs w:val="16"/>
                <w:lang w:val="en-US" w:eastAsia="de-DE"/>
              </w:rPr>
              <w:t>analysis of variance</w:t>
            </w:r>
            <w:r w:rsidRPr="00B97D45">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B97D45" w14:paraId="20CE4AEB" w14:textId="77777777" w:rsidTr="001A2F55">
        <w:trPr>
          <w:trHeight w:val="300"/>
          <w:jc w:val="center"/>
        </w:trPr>
        <w:tc>
          <w:tcPr>
            <w:tcW w:w="6565" w:type="dxa"/>
            <w:gridSpan w:val="5"/>
            <w:vMerge w:val="restart"/>
            <w:shd w:val="clear" w:color="auto" w:fill="auto"/>
            <w:noWrap/>
            <w:vAlign w:val="center"/>
          </w:tcPr>
          <w:p w14:paraId="23A04283"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56245968"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4B86BF00"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B5A4323"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7B33CE" w:rsidRPr="003846F7" w14:paraId="59E78889" w14:textId="77777777" w:rsidTr="001A2F55">
        <w:trPr>
          <w:trHeight w:val="300"/>
          <w:jc w:val="center"/>
        </w:trPr>
        <w:tc>
          <w:tcPr>
            <w:tcW w:w="6565" w:type="dxa"/>
            <w:gridSpan w:val="5"/>
            <w:vMerge/>
            <w:shd w:val="clear" w:color="auto" w:fill="auto"/>
            <w:noWrap/>
            <w:vAlign w:val="center"/>
          </w:tcPr>
          <w:p w14:paraId="6B93B637"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1CC24196" w14:textId="5D3037D2"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5.94</w:t>
            </w:r>
          </w:p>
        </w:tc>
        <w:tc>
          <w:tcPr>
            <w:tcW w:w="900" w:type="dxa"/>
            <w:shd w:val="clear" w:color="auto" w:fill="auto"/>
            <w:noWrap/>
            <w:vAlign w:val="center"/>
          </w:tcPr>
          <w:p w14:paraId="635AD6A8" w14:textId="174F99D0"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4, 124.16</w:t>
            </w:r>
          </w:p>
        </w:tc>
        <w:tc>
          <w:tcPr>
            <w:tcW w:w="922" w:type="dxa"/>
            <w:shd w:val="clear" w:color="auto" w:fill="auto"/>
            <w:noWrap/>
            <w:vAlign w:val="center"/>
          </w:tcPr>
          <w:p w14:paraId="2EE9C998" w14:textId="419CA9B5" w:rsidR="007B33CE" w:rsidRPr="003846F7" w:rsidRDefault="007B33CE"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0.00021</w:t>
            </w:r>
          </w:p>
        </w:tc>
      </w:tr>
      <w:tr w:rsidR="008843FD" w:rsidRPr="006D0FD5" w14:paraId="6A2108BA" w14:textId="77777777" w:rsidTr="00B97D45">
        <w:trPr>
          <w:trHeight w:val="300"/>
          <w:jc w:val="center"/>
        </w:trPr>
        <w:tc>
          <w:tcPr>
            <w:tcW w:w="9017" w:type="dxa"/>
            <w:gridSpan w:val="8"/>
            <w:shd w:val="clear" w:color="auto" w:fill="auto"/>
            <w:noWrap/>
            <w:vAlign w:val="center"/>
          </w:tcPr>
          <w:p w14:paraId="226DD214"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Games-Howell post-hoc tests for group differences</w:t>
            </w:r>
          </w:p>
        </w:tc>
      </w:tr>
      <w:tr w:rsidR="008843FD" w:rsidRPr="00B97D45" w14:paraId="424740D4" w14:textId="77777777" w:rsidTr="002375B5">
        <w:trPr>
          <w:trHeight w:val="300"/>
          <w:jc w:val="center"/>
        </w:trPr>
        <w:tc>
          <w:tcPr>
            <w:tcW w:w="1075" w:type="dxa"/>
            <w:shd w:val="clear" w:color="auto" w:fill="auto"/>
            <w:noWrap/>
            <w:vAlign w:val="center"/>
            <w:hideMark/>
          </w:tcPr>
          <w:p w14:paraId="1058C202" w14:textId="77777777" w:rsidR="008843FD" w:rsidRPr="00B97D45" w:rsidRDefault="008843FD"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3817728F" w14:textId="3744048C" w:rsidR="008843FD" w:rsidRPr="00B97D45" w:rsidRDefault="0060107F"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Mean difference</w:t>
            </w:r>
          </w:p>
        </w:tc>
        <w:tc>
          <w:tcPr>
            <w:tcW w:w="1335" w:type="dxa"/>
            <w:vAlign w:val="center"/>
          </w:tcPr>
          <w:p w14:paraId="7692BBC0" w14:textId="4343FF86" w:rsidR="008843FD" w:rsidRPr="00B97D45"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 xml:space="preserve">Lower </w:t>
            </w:r>
            <w:r w:rsidR="008843FD" w:rsidRPr="00B97D45">
              <w:rPr>
                <w:rFonts w:ascii="Times New Roman" w:eastAsia="Times New Roman" w:hAnsi="Times New Roman" w:cs="Times New Roman"/>
                <w:b/>
                <w:color w:val="000000"/>
                <w:sz w:val="16"/>
                <w:szCs w:val="16"/>
                <w:lang w:eastAsia="de-DE"/>
              </w:rPr>
              <w:t>95% CI</w:t>
            </w:r>
          </w:p>
        </w:tc>
        <w:tc>
          <w:tcPr>
            <w:tcW w:w="1453" w:type="dxa"/>
            <w:vAlign w:val="center"/>
          </w:tcPr>
          <w:p w14:paraId="7639B2DA" w14:textId="7DE131E4" w:rsidR="008843FD" w:rsidRPr="00B97D45"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Upp</w:t>
            </w:r>
            <w:r w:rsidR="008843FD" w:rsidRPr="00B97D45">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1E8F4A03" w14:textId="77777777" w:rsidR="008843FD" w:rsidRPr="00B97D45" w:rsidRDefault="008843FD"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A170F75"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61B8E873" w14:textId="7EEFA6DA" w:rsidR="008843FD" w:rsidRPr="00B97D45" w:rsidRDefault="002375B5" w:rsidP="00B97D45">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d</w:t>
            </w:r>
            <w:r w:rsidR="008843FD" w:rsidRPr="00B97D45">
              <w:rPr>
                <w:rFonts w:ascii="Times New Roman" w:eastAsia="Times New Roman" w:hAnsi="Times New Roman" w:cs="Times New Roman"/>
                <w:b/>
                <w:i/>
                <w:color w:val="000000"/>
                <w:sz w:val="16"/>
                <w:szCs w:val="16"/>
                <w:lang w:eastAsia="de-DE"/>
              </w:rPr>
              <w:t>f</w:t>
            </w:r>
          </w:p>
        </w:tc>
        <w:tc>
          <w:tcPr>
            <w:tcW w:w="922" w:type="dxa"/>
            <w:shd w:val="clear" w:color="auto" w:fill="auto"/>
            <w:noWrap/>
            <w:vAlign w:val="center"/>
            <w:hideMark/>
          </w:tcPr>
          <w:p w14:paraId="0DBA61D1"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2334F9" w:rsidRPr="00B97D45" w14:paraId="486265E4" w14:textId="77777777" w:rsidTr="002375B5">
        <w:trPr>
          <w:trHeight w:val="300"/>
          <w:jc w:val="center"/>
        </w:trPr>
        <w:tc>
          <w:tcPr>
            <w:tcW w:w="1075" w:type="dxa"/>
            <w:shd w:val="clear" w:color="auto" w:fill="auto"/>
            <w:noWrap/>
            <w:vAlign w:val="center"/>
            <w:hideMark/>
          </w:tcPr>
          <w:p w14:paraId="428EDDCE"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7DE00B0A" w14:textId="15C8932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4</w:t>
            </w:r>
          </w:p>
        </w:tc>
        <w:tc>
          <w:tcPr>
            <w:tcW w:w="1335" w:type="dxa"/>
            <w:vAlign w:val="center"/>
          </w:tcPr>
          <w:p w14:paraId="17146B5B" w14:textId="360C260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-0.008</w:t>
            </w:r>
            <w:r w:rsidR="003846F7">
              <w:rPr>
                <w:rFonts w:ascii="Times New Roman" w:hAnsi="Times New Roman" w:cs="Times New Roman"/>
                <w:color w:val="000000"/>
                <w:sz w:val="16"/>
                <w:szCs w:val="16"/>
              </w:rPr>
              <w:t>5</w:t>
            </w:r>
          </w:p>
        </w:tc>
        <w:tc>
          <w:tcPr>
            <w:tcW w:w="1453" w:type="dxa"/>
            <w:vAlign w:val="center"/>
          </w:tcPr>
          <w:p w14:paraId="05674B1E" w14:textId="0B48108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0.0017</w:t>
            </w:r>
          </w:p>
        </w:tc>
        <w:tc>
          <w:tcPr>
            <w:tcW w:w="1262" w:type="dxa"/>
            <w:shd w:val="clear" w:color="auto" w:fill="auto"/>
            <w:noWrap/>
            <w:vAlign w:val="center"/>
          </w:tcPr>
          <w:p w14:paraId="66B97532" w14:textId="399E161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0.0013</w:t>
            </w:r>
          </w:p>
        </w:tc>
        <w:tc>
          <w:tcPr>
            <w:tcW w:w="630" w:type="dxa"/>
            <w:shd w:val="clear" w:color="auto" w:fill="auto"/>
            <w:noWrap/>
            <w:vAlign w:val="center"/>
          </w:tcPr>
          <w:p w14:paraId="73D1DAF3" w14:textId="3FD36A2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1.8</w:t>
            </w:r>
            <w:r w:rsidR="00B97D45">
              <w:rPr>
                <w:rFonts w:ascii="Times New Roman" w:hAnsi="Times New Roman" w:cs="Times New Roman"/>
                <w:color w:val="000000"/>
                <w:sz w:val="16"/>
                <w:szCs w:val="16"/>
              </w:rPr>
              <w:t>3</w:t>
            </w:r>
          </w:p>
        </w:tc>
        <w:tc>
          <w:tcPr>
            <w:tcW w:w="900" w:type="dxa"/>
            <w:shd w:val="clear" w:color="auto" w:fill="auto"/>
            <w:noWrap/>
            <w:vAlign w:val="center"/>
          </w:tcPr>
          <w:p w14:paraId="54C989AC" w14:textId="30BFA7A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103.3</w:t>
            </w:r>
            <w:r w:rsidR="00B97D45">
              <w:rPr>
                <w:rFonts w:ascii="Times New Roman" w:hAnsi="Times New Roman" w:cs="Times New Roman"/>
                <w:color w:val="000000"/>
                <w:sz w:val="16"/>
                <w:szCs w:val="16"/>
              </w:rPr>
              <w:t>3</w:t>
            </w:r>
          </w:p>
        </w:tc>
        <w:tc>
          <w:tcPr>
            <w:tcW w:w="922" w:type="dxa"/>
            <w:shd w:val="clear" w:color="auto" w:fill="auto"/>
            <w:noWrap/>
            <w:vAlign w:val="center"/>
          </w:tcPr>
          <w:p w14:paraId="52B36CD1" w14:textId="7CA06C4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0.36</w:t>
            </w:r>
          </w:p>
        </w:tc>
      </w:tr>
      <w:tr w:rsidR="002334F9" w:rsidRPr="00B97D45" w14:paraId="325EA3C6" w14:textId="77777777" w:rsidTr="002375B5">
        <w:trPr>
          <w:trHeight w:val="300"/>
          <w:jc w:val="center"/>
        </w:trPr>
        <w:tc>
          <w:tcPr>
            <w:tcW w:w="1075" w:type="dxa"/>
            <w:shd w:val="clear" w:color="auto" w:fill="auto"/>
            <w:noWrap/>
            <w:vAlign w:val="center"/>
            <w:hideMark/>
          </w:tcPr>
          <w:p w14:paraId="01EBBF1D"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C0F627F" w14:textId="014B7EE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1</w:t>
            </w:r>
          </w:p>
        </w:tc>
        <w:tc>
          <w:tcPr>
            <w:tcW w:w="1335" w:type="dxa"/>
            <w:vAlign w:val="center"/>
          </w:tcPr>
          <w:p w14:paraId="05428D5E" w14:textId="0B1BE2F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-0.0055</w:t>
            </w:r>
          </w:p>
        </w:tc>
        <w:tc>
          <w:tcPr>
            <w:tcW w:w="1453" w:type="dxa"/>
            <w:vAlign w:val="center"/>
          </w:tcPr>
          <w:p w14:paraId="6535F07D" w14:textId="3AACA11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0.0117</w:t>
            </w:r>
          </w:p>
        </w:tc>
        <w:tc>
          <w:tcPr>
            <w:tcW w:w="1262" w:type="dxa"/>
            <w:shd w:val="clear" w:color="auto" w:fill="auto"/>
            <w:noWrap/>
            <w:vAlign w:val="center"/>
          </w:tcPr>
          <w:p w14:paraId="6157E518" w14:textId="05A9A33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2</w:t>
            </w:r>
          </w:p>
        </w:tc>
        <w:tc>
          <w:tcPr>
            <w:tcW w:w="630" w:type="dxa"/>
            <w:shd w:val="clear" w:color="auto" w:fill="auto"/>
            <w:noWrap/>
            <w:vAlign w:val="center"/>
          </w:tcPr>
          <w:p w14:paraId="03FCA2F6" w14:textId="11EAC45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1.0</w:t>
            </w:r>
            <w:r w:rsidR="00B97D45">
              <w:rPr>
                <w:rFonts w:ascii="Times New Roman" w:hAnsi="Times New Roman" w:cs="Times New Roman"/>
                <w:color w:val="000000"/>
                <w:sz w:val="16"/>
                <w:szCs w:val="16"/>
              </w:rPr>
              <w:t>1</w:t>
            </w:r>
          </w:p>
        </w:tc>
        <w:tc>
          <w:tcPr>
            <w:tcW w:w="900" w:type="dxa"/>
            <w:shd w:val="clear" w:color="auto" w:fill="auto"/>
            <w:noWrap/>
            <w:vAlign w:val="center"/>
          </w:tcPr>
          <w:p w14:paraId="0E0477A9" w14:textId="15C3FDC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73.7</w:t>
            </w:r>
            <w:r w:rsidR="00B97D45">
              <w:rPr>
                <w:rFonts w:ascii="Times New Roman" w:hAnsi="Times New Roman" w:cs="Times New Roman"/>
                <w:color w:val="000000"/>
                <w:sz w:val="16"/>
                <w:szCs w:val="16"/>
              </w:rPr>
              <w:t>7</w:t>
            </w:r>
          </w:p>
        </w:tc>
        <w:tc>
          <w:tcPr>
            <w:tcW w:w="922" w:type="dxa"/>
            <w:shd w:val="clear" w:color="auto" w:fill="auto"/>
            <w:noWrap/>
            <w:vAlign w:val="center"/>
          </w:tcPr>
          <w:p w14:paraId="5C6F3C06" w14:textId="112730B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0.85</w:t>
            </w:r>
          </w:p>
        </w:tc>
      </w:tr>
      <w:tr w:rsidR="002334F9" w:rsidRPr="00B97D45" w14:paraId="6F04AE68" w14:textId="77777777" w:rsidTr="002375B5">
        <w:trPr>
          <w:trHeight w:val="300"/>
          <w:jc w:val="center"/>
        </w:trPr>
        <w:tc>
          <w:tcPr>
            <w:tcW w:w="1075" w:type="dxa"/>
            <w:shd w:val="clear" w:color="auto" w:fill="auto"/>
            <w:noWrap/>
            <w:vAlign w:val="center"/>
            <w:hideMark/>
          </w:tcPr>
          <w:p w14:paraId="73BDA47D"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4D5C4D24" w14:textId="484FAF7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-0.0023</w:t>
            </w:r>
          </w:p>
        </w:tc>
        <w:tc>
          <w:tcPr>
            <w:tcW w:w="1335" w:type="dxa"/>
            <w:vAlign w:val="center"/>
          </w:tcPr>
          <w:p w14:paraId="6908301F" w14:textId="0FE866F6"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-0.0091</w:t>
            </w:r>
          </w:p>
        </w:tc>
        <w:tc>
          <w:tcPr>
            <w:tcW w:w="1453" w:type="dxa"/>
            <w:vAlign w:val="center"/>
          </w:tcPr>
          <w:p w14:paraId="7A2B117D" w14:textId="744C893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0.004</w:t>
            </w:r>
            <w:r w:rsidR="003846F7">
              <w:rPr>
                <w:rFonts w:ascii="Times New Roman" w:hAnsi="Times New Roman" w:cs="Times New Roman"/>
                <w:color w:val="000000"/>
                <w:sz w:val="16"/>
                <w:szCs w:val="16"/>
              </w:rPr>
              <w:t>5</w:t>
            </w:r>
          </w:p>
        </w:tc>
        <w:tc>
          <w:tcPr>
            <w:tcW w:w="1262" w:type="dxa"/>
            <w:shd w:val="clear" w:color="auto" w:fill="auto"/>
            <w:noWrap/>
            <w:vAlign w:val="center"/>
          </w:tcPr>
          <w:p w14:paraId="614AEEC1" w14:textId="7D177E5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0.0017</w:t>
            </w:r>
          </w:p>
        </w:tc>
        <w:tc>
          <w:tcPr>
            <w:tcW w:w="630" w:type="dxa"/>
            <w:shd w:val="clear" w:color="auto" w:fill="auto"/>
            <w:noWrap/>
            <w:vAlign w:val="center"/>
          </w:tcPr>
          <w:p w14:paraId="12B6562E" w14:textId="44452C7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0.9</w:t>
            </w:r>
            <w:r w:rsidR="00B97D45">
              <w:rPr>
                <w:rFonts w:ascii="Times New Roman" w:hAnsi="Times New Roman" w:cs="Times New Roman"/>
                <w:color w:val="000000"/>
                <w:sz w:val="16"/>
                <w:szCs w:val="16"/>
              </w:rPr>
              <w:t>5</w:t>
            </w:r>
          </w:p>
        </w:tc>
        <w:tc>
          <w:tcPr>
            <w:tcW w:w="900" w:type="dxa"/>
            <w:shd w:val="clear" w:color="auto" w:fill="auto"/>
            <w:noWrap/>
            <w:vAlign w:val="center"/>
          </w:tcPr>
          <w:p w14:paraId="7814E40C" w14:textId="7FB341A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91.25</w:t>
            </w:r>
          </w:p>
        </w:tc>
        <w:tc>
          <w:tcPr>
            <w:tcW w:w="922" w:type="dxa"/>
            <w:shd w:val="clear" w:color="auto" w:fill="auto"/>
            <w:noWrap/>
            <w:vAlign w:val="center"/>
          </w:tcPr>
          <w:p w14:paraId="547D892F" w14:textId="7FDDD55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0.8</w:t>
            </w:r>
            <w:r w:rsidR="00B97D45">
              <w:rPr>
                <w:rFonts w:ascii="Times New Roman" w:hAnsi="Times New Roman" w:cs="Times New Roman"/>
                <w:color w:val="000000"/>
                <w:sz w:val="16"/>
                <w:szCs w:val="16"/>
              </w:rPr>
              <w:t>8</w:t>
            </w:r>
          </w:p>
        </w:tc>
      </w:tr>
      <w:tr w:rsidR="002334F9" w:rsidRPr="00B97D45" w14:paraId="031D39A0" w14:textId="77777777" w:rsidTr="002375B5">
        <w:trPr>
          <w:trHeight w:val="300"/>
          <w:jc w:val="center"/>
        </w:trPr>
        <w:tc>
          <w:tcPr>
            <w:tcW w:w="1075" w:type="dxa"/>
            <w:shd w:val="clear" w:color="auto" w:fill="auto"/>
            <w:noWrap/>
            <w:vAlign w:val="center"/>
            <w:hideMark/>
          </w:tcPr>
          <w:p w14:paraId="21A3BFEC"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22068931" w14:textId="340B62B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-0.0074</w:t>
            </w:r>
          </w:p>
        </w:tc>
        <w:tc>
          <w:tcPr>
            <w:tcW w:w="1335" w:type="dxa"/>
            <w:vAlign w:val="center"/>
          </w:tcPr>
          <w:p w14:paraId="6FC9E913" w14:textId="7AD52FA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-0.012</w:t>
            </w:r>
            <w:r w:rsidR="003846F7">
              <w:rPr>
                <w:rFonts w:ascii="Times New Roman" w:hAnsi="Times New Roman" w:cs="Times New Roman"/>
                <w:color w:val="000000"/>
                <w:sz w:val="16"/>
                <w:szCs w:val="16"/>
              </w:rPr>
              <w:t>5</w:t>
            </w:r>
          </w:p>
        </w:tc>
        <w:tc>
          <w:tcPr>
            <w:tcW w:w="1453" w:type="dxa"/>
            <w:vAlign w:val="center"/>
          </w:tcPr>
          <w:p w14:paraId="2FFF7AA9" w14:textId="5BF7649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4</w:t>
            </w:r>
          </w:p>
        </w:tc>
        <w:tc>
          <w:tcPr>
            <w:tcW w:w="1262" w:type="dxa"/>
            <w:shd w:val="clear" w:color="auto" w:fill="auto"/>
            <w:noWrap/>
            <w:vAlign w:val="center"/>
          </w:tcPr>
          <w:p w14:paraId="77116980" w14:textId="098D90F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3</w:t>
            </w:r>
          </w:p>
        </w:tc>
        <w:tc>
          <w:tcPr>
            <w:tcW w:w="630" w:type="dxa"/>
            <w:shd w:val="clear" w:color="auto" w:fill="auto"/>
            <w:noWrap/>
            <w:vAlign w:val="center"/>
          </w:tcPr>
          <w:p w14:paraId="720957F8" w14:textId="62D49EE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4.0</w:t>
            </w:r>
            <w:r w:rsidR="00B97D45">
              <w:rPr>
                <w:rFonts w:ascii="Times New Roman" w:hAnsi="Times New Roman" w:cs="Times New Roman"/>
                <w:color w:val="000000"/>
                <w:sz w:val="16"/>
                <w:szCs w:val="16"/>
              </w:rPr>
              <w:t>8</w:t>
            </w:r>
          </w:p>
        </w:tc>
        <w:tc>
          <w:tcPr>
            <w:tcW w:w="900" w:type="dxa"/>
            <w:shd w:val="clear" w:color="auto" w:fill="auto"/>
            <w:noWrap/>
            <w:vAlign w:val="center"/>
          </w:tcPr>
          <w:p w14:paraId="6B80CAB0" w14:textId="715E79D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132.9</w:t>
            </w:r>
            <w:r w:rsidR="00B97D45">
              <w:rPr>
                <w:rFonts w:ascii="Times New Roman" w:hAnsi="Times New Roman" w:cs="Times New Roman"/>
                <w:color w:val="000000"/>
                <w:sz w:val="16"/>
                <w:szCs w:val="16"/>
              </w:rPr>
              <w:t>6</w:t>
            </w:r>
          </w:p>
        </w:tc>
        <w:tc>
          <w:tcPr>
            <w:tcW w:w="922" w:type="dxa"/>
            <w:shd w:val="clear" w:color="auto" w:fill="auto"/>
            <w:noWrap/>
            <w:vAlign w:val="center"/>
          </w:tcPr>
          <w:p w14:paraId="46ECBD0B" w14:textId="1843156D" w:rsidR="002334F9" w:rsidRPr="003846F7"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7.37</w:t>
            </w:r>
            <w:r w:rsidR="00B97D45" w:rsidRPr="003846F7">
              <w:rPr>
                <w:rFonts w:ascii="Times New Roman" w:hAnsi="Times New Roman" w:cs="Times New Roman"/>
                <w:b/>
                <w:color w:val="000000"/>
                <w:sz w:val="16"/>
                <w:szCs w:val="16"/>
              </w:rPr>
              <w:t xml:space="preserve"> x 10</w:t>
            </w:r>
            <w:r w:rsidR="00B97D45" w:rsidRPr="003846F7">
              <w:rPr>
                <w:rFonts w:ascii="Times New Roman" w:hAnsi="Times New Roman" w:cs="Times New Roman"/>
                <w:b/>
                <w:color w:val="000000"/>
                <w:sz w:val="16"/>
                <w:szCs w:val="16"/>
                <w:vertAlign w:val="superscript"/>
              </w:rPr>
              <w:t>-4</w:t>
            </w:r>
          </w:p>
        </w:tc>
      </w:tr>
      <w:tr w:rsidR="002334F9" w:rsidRPr="00B97D45" w14:paraId="4DE7F20F" w14:textId="77777777" w:rsidTr="002375B5">
        <w:trPr>
          <w:trHeight w:val="300"/>
          <w:jc w:val="center"/>
        </w:trPr>
        <w:tc>
          <w:tcPr>
            <w:tcW w:w="1075" w:type="dxa"/>
            <w:shd w:val="clear" w:color="auto" w:fill="auto"/>
            <w:noWrap/>
            <w:vAlign w:val="center"/>
            <w:hideMark/>
          </w:tcPr>
          <w:p w14:paraId="13384E73"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72264268" w14:textId="78E777A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-0.006</w:t>
            </w:r>
            <w:r w:rsidR="003846F7">
              <w:rPr>
                <w:rFonts w:ascii="Times New Roman" w:hAnsi="Times New Roman" w:cs="Times New Roman"/>
                <w:color w:val="000000"/>
                <w:sz w:val="16"/>
                <w:szCs w:val="16"/>
              </w:rPr>
              <w:t>5</w:t>
            </w:r>
          </w:p>
        </w:tc>
        <w:tc>
          <w:tcPr>
            <w:tcW w:w="1335" w:type="dxa"/>
            <w:vAlign w:val="center"/>
          </w:tcPr>
          <w:p w14:paraId="40CE7C34" w14:textId="7BFBD98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-0.014</w:t>
            </w:r>
            <w:r w:rsidR="003846F7">
              <w:rPr>
                <w:rFonts w:ascii="Times New Roman" w:hAnsi="Times New Roman" w:cs="Times New Roman"/>
                <w:color w:val="000000"/>
                <w:sz w:val="16"/>
                <w:szCs w:val="16"/>
              </w:rPr>
              <w:t>8</w:t>
            </w:r>
          </w:p>
        </w:tc>
        <w:tc>
          <w:tcPr>
            <w:tcW w:w="1453" w:type="dxa"/>
            <w:vAlign w:val="center"/>
          </w:tcPr>
          <w:p w14:paraId="4C7FAA6F" w14:textId="24A77E8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9</w:t>
            </w:r>
          </w:p>
        </w:tc>
        <w:tc>
          <w:tcPr>
            <w:tcW w:w="1262" w:type="dxa"/>
            <w:shd w:val="clear" w:color="auto" w:fill="auto"/>
            <w:noWrap/>
            <w:vAlign w:val="center"/>
          </w:tcPr>
          <w:p w14:paraId="58BA5278" w14:textId="7ABE84E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0.0021</w:t>
            </w:r>
          </w:p>
        </w:tc>
        <w:tc>
          <w:tcPr>
            <w:tcW w:w="630" w:type="dxa"/>
            <w:shd w:val="clear" w:color="auto" w:fill="auto"/>
            <w:noWrap/>
            <w:vAlign w:val="center"/>
          </w:tcPr>
          <w:p w14:paraId="7EFA9FE1" w14:textId="5717BD9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2.17</w:t>
            </w:r>
          </w:p>
        </w:tc>
        <w:tc>
          <w:tcPr>
            <w:tcW w:w="900" w:type="dxa"/>
            <w:shd w:val="clear" w:color="auto" w:fill="auto"/>
            <w:noWrap/>
            <w:vAlign w:val="center"/>
          </w:tcPr>
          <w:p w14:paraId="6FD47638" w14:textId="2EF21DE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64.30</w:t>
            </w:r>
          </w:p>
        </w:tc>
        <w:tc>
          <w:tcPr>
            <w:tcW w:w="922" w:type="dxa"/>
            <w:shd w:val="clear" w:color="auto" w:fill="auto"/>
            <w:noWrap/>
            <w:vAlign w:val="center"/>
          </w:tcPr>
          <w:p w14:paraId="44C8295F" w14:textId="3F077E8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0.20</w:t>
            </w:r>
          </w:p>
        </w:tc>
      </w:tr>
      <w:tr w:rsidR="002334F9" w:rsidRPr="00B97D45" w14:paraId="5FD1BE6E" w14:textId="77777777" w:rsidTr="002375B5">
        <w:trPr>
          <w:trHeight w:val="300"/>
          <w:jc w:val="center"/>
        </w:trPr>
        <w:tc>
          <w:tcPr>
            <w:tcW w:w="1075" w:type="dxa"/>
            <w:shd w:val="clear" w:color="auto" w:fill="auto"/>
            <w:noWrap/>
            <w:vAlign w:val="center"/>
            <w:hideMark/>
          </w:tcPr>
          <w:p w14:paraId="563E0D67"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25950E19" w14:textId="62E5395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-0.0054</w:t>
            </w:r>
          </w:p>
        </w:tc>
        <w:tc>
          <w:tcPr>
            <w:tcW w:w="1335" w:type="dxa"/>
            <w:vAlign w:val="center"/>
          </w:tcPr>
          <w:p w14:paraId="624A9B37" w14:textId="07D567E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-0.0148</w:t>
            </w:r>
          </w:p>
        </w:tc>
        <w:tc>
          <w:tcPr>
            <w:tcW w:w="1453" w:type="dxa"/>
            <w:vAlign w:val="center"/>
          </w:tcPr>
          <w:p w14:paraId="6331676B" w14:textId="5A47162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w:t>
            </w:r>
            <w:r w:rsidR="003846F7">
              <w:rPr>
                <w:rFonts w:ascii="Times New Roman" w:hAnsi="Times New Roman" w:cs="Times New Roman"/>
                <w:color w:val="000000"/>
                <w:sz w:val="16"/>
                <w:szCs w:val="16"/>
              </w:rPr>
              <w:t>40</w:t>
            </w:r>
          </w:p>
        </w:tc>
        <w:tc>
          <w:tcPr>
            <w:tcW w:w="1262" w:type="dxa"/>
            <w:shd w:val="clear" w:color="auto" w:fill="auto"/>
            <w:noWrap/>
            <w:vAlign w:val="center"/>
          </w:tcPr>
          <w:p w14:paraId="795956EC" w14:textId="0F049D7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4</w:t>
            </w:r>
          </w:p>
        </w:tc>
        <w:tc>
          <w:tcPr>
            <w:tcW w:w="630" w:type="dxa"/>
            <w:shd w:val="clear" w:color="auto" w:fill="auto"/>
            <w:noWrap/>
            <w:vAlign w:val="center"/>
          </w:tcPr>
          <w:p w14:paraId="7368A0E1" w14:textId="3332DF4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1.60</w:t>
            </w:r>
          </w:p>
        </w:tc>
        <w:tc>
          <w:tcPr>
            <w:tcW w:w="900" w:type="dxa"/>
            <w:shd w:val="clear" w:color="auto" w:fill="auto"/>
            <w:noWrap/>
            <w:vAlign w:val="center"/>
          </w:tcPr>
          <w:p w14:paraId="0FF0CF67" w14:textId="6F5135F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87.2</w:t>
            </w:r>
            <w:r w:rsidR="00B97D45">
              <w:rPr>
                <w:rFonts w:ascii="Times New Roman" w:hAnsi="Times New Roman" w:cs="Times New Roman"/>
                <w:color w:val="000000"/>
                <w:sz w:val="16"/>
                <w:szCs w:val="16"/>
              </w:rPr>
              <w:t>3</w:t>
            </w:r>
          </w:p>
        </w:tc>
        <w:tc>
          <w:tcPr>
            <w:tcW w:w="922" w:type="dxa"/>
            <w:shd w:val="clear" w:color="auto" w:fill="auto"/>
            <w:noWrap/>
            <w:vAlign w:val="center"/>
          </w:tcPr>
          <w:p w14:paraId="2451590B" w14:textId="4802C8A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0.50</w:t>
            </w:r>
          </w:p>
        </w:tc>
      </w:tr>
      <w:tr w:rsidR="002334F9" w:rsidRPr="00B97D45" w14:paraId="17EC7F06" w14:textId="77777777" w:rsidTr="002375B5">
        <w:trPr>
          <w:trHeight w:val="300"/>
          <w:jc w:val="center"/>
        </w:trPr>
        <w:tc>
          <w:tcPr>
            <w:tcW w:w="1075" w:type="dxa"/>
            <w:shd w:val="clear" w:color="auto" w:fill="auto"/>
            <w:noWrap/>
            <w:vAlign w:val="center"/>
            <w:hideMark/>
          </w:tcPr>
          <w:p w14:paraId="0C836E16"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922F997" w14:textId="0ED6E24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-0.0105</w:t>
            </w:r>
          </w:p>
        </w:tc>
        <w:tc>
          <w:tcPr>
            <w:tcW w:w="1335" w:type="dxa"/>
            <w:vAlign w:val="center"/>
          </w:tcPr>
          <w:p w14:paraId="3DCDE727" w14:textId="21003B5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-0.0188</w:t>
            </w:r>
          </w:p>
        </w:tc>
        <w:tc>
          <w:tcPr>
            <w:tcW w:w="1453" w:type="dxa"/>
            <w:vAlign w:val="center"/>
          </w:tcPr>
          <w:p w14:paraId="1F29A015" w14:textId="742AADB6"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-0.0022</w:t>
            </w:r>
          </w:p>
        </w:tc>
        <w:tc>
          <w:tcPr>
            <w:tcW w:w="1262" w:type="dxa"/>
            <w:shd w:val="clear" w:color="auto" w:fill="auto"/>
            <w:noWrap/>
            <w:vAlign w:val="center"/>
          </w:tcPr>
          <w:p w14:paraId="1AEF0219" w14:textId="3015B7A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1</w:t>
            </w:r>
          </w:p>
        </w:tc>
        <w:tc>
          <w:tcPr>
            <w:tcW w:w="630" w:type="dxa"/>
            <w:shd w:val="clear" w:color="auto" w:fill="auto"/>
            <w:noWrap/>
            <w:vAlign w:val="center"/>
          </w:tcPr>
          <w:p w14:paraId="5E3042F6" w14:textId="453F324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3.5</w:t>
            </w:r>
            <w:r w:rsidR="00B97D45">
              <w:rPr>
                <w:rFonts w:ascii="Times New Roman" w:hAnsi="Times New Roman" w:cs="Times New Roman"/>
                <w:color w:val="000000"/>
                <w:sz w:val="16"/>
                <w:szCs w:val="16"/>
              </w:rPr>
              <w:t>6</w:t>
            </w:r>
          </w:p>
        </w:tc>
        <w:tc>
          <w:tcPr>
            <w:tcW w:w="900" w:type="dxa"/>
            <w:shd w:val="clear" w:color="auto" w:fill="auto"/>
            <w:noWrap/>
            <w:vAlign w:val="center"/>
          </w:tcPr>
          <w:p w14:paraId="7C85B4F3" w14:textId="6C0AF15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64.90</w:t>
            </w:r>
          </w:p>
        </w:tc>
        <w:tc>
          <w:tcPr>
            <w:tcW w:w="922" w:type="dxa"/>
            <w:shd w:val="clear" w:color="auto" w:fill="auto"/>
            <w:noWrap/>
            <w:vAlign w:val="center"/>
          </w:tcPr>
          <w:p w14:paraId="307BC976" w14:textId="2DD9C3A8" w:rsidR="002334F9" w:rsidRPr="003846F7"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0.0061</w:t>
            </w:r>
          </w:p>
        </w:tc>
      </w:tr>
      <w:tr w:rsidR="002334F9" w:rsidRPr="00B97D45" w14:paraId="080170E1" w14:textId="77777777" w:rsidTr="002375B5">
        <w:trPr>
          <w:trHeight w:val="300"/>
          <w:jc w:val="center"/>
        </w:trPr>
        <w:tc>
          <w:tcPr>
            <w:tcW w:w="1075" w:type="dxa"/>
            <w:shd w:val="clear" w:color="auto" w:fill="auto"/>
            <w:noWrap/>
            <w:vAlign w:val="center"/>
            <w:hideMark/>
          </w:tcPr>
          <w:p w14:paraId="66D1C3C6"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8505E6B" w14:textId="64B3A5C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0.00105</w:t>
            </w:r>
          </w:p>
        </w:tc>
        <w:tc>
          <w:tcPr>
            <w:tcW w:w="1335" w:type="dxa"/>
            <w:vAlign w:val="center"/>
          </w:tcPr>
          <w:p w14:paraId="5E430064" w14:textId="1C94891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w:t>
            </w:r>
            <w:r w:rsidR="003846F7">
              <w:rPr>
                <w:rFonts w:ascii="Times New Roman" w:hAnsi="Times New Roman" w:cs="Times New Roman"/>
                <w:color w:val="000000"/>
                <w:sz w:val="16"/>
                <w:szCs w:val="16"/>
              </w:rPr>
              <w:t>4</w:t>
            </w:r>
          </w:p>
        </w:tc>
        <w:tc>
          <w:tcPr>
            <w:tcW w:w="1453" w:type="dxa"/>
            <w:vAlign w:val="center"/>
          </w:tcPr>
          <w:p w14:paraId="4B72EE25" w14:textId="18CE65C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0.007</w:t>
            </w:r>
            <w:r w:rsidR="003846F7">
              <w:rPr>
                <w:rFonts w:ascii="Times New Roman" w:hAnsi="Times New Roman" w:cs="Times New Roman"/>
                <w:color w:val="000000"/>
                <w:sz w:val="16"/>
                <w:szCs w:val="16"/>
              </w:rPr>
              <w:t>5</w:t>
            </w:r>
          </w:p>
        </w:tc>
        <w:tc>
          <w:tcPr>
            <w:tcW w:w="1262" w:type="dxa"/>
            <w:shd w:val="clear" w:color="auto" w:fill="auto"/>
            <w:noWrap/>
            <w:vAlign w:val="center"/>
          </w:tcPr>
          <w:p w14:paraId="1326D7E9" w14:textId="722C159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0.0016</w:t>
            </w:r>
          </w:p>
        </w:tc>
        <w:tc>
          <w:tcPr>
            <w:tcW w:w="630" w:type="dxa"/>
            <w:shd w:val="clear" w:color="auto" w:fill="auto"/>
            <w:noWrap/>
            <w:vAlign w:val="center"/>
          </w:tcPr>
          <w:p w14:paraId="5435D0A6" w14:textId="7DF2EDD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0.4</w:t>
            </w:r>
            <w:r w:rsidR="00B97D45">
              <w:rPr>
                <w:rFonts w:ascii="Times New Roman" w:hAnsi="Times New Roman" w:cs="Times New Roman"/>
                <w:color w:val="000000"/>
                <w:sz w:val="16"/>
                <w:szCs w:val="16"/>
              </w:rPr>
              <w:t>6</w:t>
            </w:r>
          </w:p>
        </w:tc>
        <w:tc>
          <w:tcPr>
            <w:tcW w:w="900" w:type="dxa"/>
            <w:shd w:val="clear" w:color="auto" w:fill="auto"/>
            <w:noWrap/>
            <w:vAlign w:val="center"/>
          </w:tcPr>
          <w:p w14:paraId="2F924354" w14:textId="75A3F505"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73.67</w:t>
            </w:r>
          </w:p>
        </w:tc>
        <w:tc>
          <w:tcPr>
            <w:tcW w:w="922" w:type="dxa"/>
            <w:shd w:val="clear" w:color="auto" w:fill="auto"/>
            <w:noWrap/>
            <w:vAlign w:val="center"/>
          </w:tcPr>
          <w:p w14:paraId="192DAAE2" w14:textId="14DA80D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0.99</w:t>
            </w:r>
          </w:p>
        </w:tc>
      </w:tr>
      <w:tr w:rsidR="002334F9" w:rsidRPr="00B97D45" w14:paraId="62C1A207" w14:textId="77777777" w:rsidTr="002375B5">
        <w:trPr>
          <w:trHeight w:val="300"/>
          <w:jc w:val="center"/>
        </w:trPr>
        <w:tc>
          <w:tcPr>
            <w:tcW w:w="1075" w:type="dxa"/>
            <w:shd w:val="clear" w:color="auto" w:fill="auto"/>
            <w:noWrap/>
            <w:vAlign w:val="center"/>
            <w:hideMark/>
          </w:tcPr>
          <w:p w14:paraId="3A5413DF"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468B2B53" w14:textId="1E02F81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-0.004</w:t>
            </w:r>
            <w:r w:rsidR="003846F7">
              <w:rPr>
                <w:rFonts w:ascii="Times New Roman" w:hAnsi="Times New Roman" w:cs="Times New Roman"/>
                <w:color w:val="000000"/>
                <w:sz w:val="16"/>
                <w:szCs w:val="16"/>
              </w:rPr>
              <w:t>1</w:t>
            </w:r>
          </w:p>
        </w:tc>
        <w:tc>
          <w:tcPr>
            <w:tcW w:w="1335" w:type="dxa"/>
            <w:vAlign w:val="center"/>
          </w:tcPr>
          <w:p w14:paraId="6409FCC5" w14:textId="095AE33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-0.0086</w:t>
            </w:r>
          </w:p>
        </w:tc>
        <w:tc>
          <w:tcPr>
            <w:tcW w:w="1453" w:type="dxa"/>
            <w:vAlign w:val="center"/>
          </w:tcPr>
          <w:p w14:paraId="6E3307CD" w14:textId="4122502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4.7</w:t>
            </w:r>
            <w:r w:rsidR="00B97D45">
              <w:rPr>
                <w:rFonts w:ascii="Times New Roman" w:hAnsi="Times New Roman" w:cs="Times New Roman"/>
                <w:color w:val="000000"/>
                <w:sz w:val="16"/>
                <w:szCs w:val="16"/>
              </w:rPr>
              <w:t xml:space="preserve"> x 10</w:t>
            </w:r>
            <w:r w:rsidR="00B97D45" w:rsidRPr="00572FFF">
              <w:rPr>
                <w:rFonts w:ascii="Times New Roman" w:hAnsi="Times New Roman" w:cs="Times New Roman"/>
                <w:color w:val="000000"/>
                <w:sz w:val="16"/>
                <w:szCs w:val="16"/>
                <w:vertAlign w:val="superscript"/>
              </w:rPr>
              <w:t>-</w:t>
            </w:r>
            <w:r w:rsidR="00B97D45">
              <w:rPr>
                <w:rFonts w:ascii="Times New Roman" w:hAnsi="Times New Roman" w:cs="Times New Roman"/>
                <w:color w:val="000000"/>
                <w:sz w:val="16"/>
                <w:szCs w:val="16"/>
                <w:vertAlign w:val="superscript"/>
              </w:rPr>
              <w:t>4</w:t>
            </w:r>
          </w:p>
        </w:tc>
        <w:tc>
          <w:tcPr>
            <w:tcW w:w="1262" w:type="dxa"/>
            <w:shd w:val="clear" w:color="auto" w:fill="auto"/>
            <w:noWrap/>
            <w:vAlign w:val="center"/>
          </w:tcPr>
          <w:p w14:paraId="36BF3571" w14:textId="086FDF5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2</w:t>
            </w:r>
          </w:p>
        </w:tc>
        <w:tc>
          <w:tcPr>
            <w:tcW w:w="630" w:type="dxa"/>
            <w:shd w:val="clear" w:color="auto" w:fill="auto"/>
            <w:noWrap/>
            <w:vAlign w:val="center"/>
          </w:tcPr>
          <w:p w14:paraId="6071EE2A" w14:textId="200F863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2.49</w:t>
            </w:r>
          </w:p>
        </w:tc>
        <w:tc>
          <w:tcPr>
            <w:tcW w:w="900" w:type="dxa"/>
            <w:shd w:val="clear" w:color="auto" w:fill="auto"/>
            <w:noWrap/>
            <w:vAlign w:val="center"/>
          </w:tcPr>
          <w:p w14:paraId="0DCAB15B" w14:textId="2C82218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94.08</w:t>
            </w:r>
          </w:p>
        </w:tc>
        <w:tc>
          <w:tcPr>
            <w:tcW w:w="922" w:type="dxa"/>
            <w:shd w:val="clear" w:color="auto" w:fill="auto"/>
            <w:noWrap/>
            <w:vAlign w:val="center"/>
          </w:tcPr>
          <w:p w14:paraId="34029958" w14:textId="6FDFCFD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0.10</w:t>
            </w:r>
          </w:p>
        </w:tc>
      </w:tr>
      <w:tr w:rsidR="002334F9" w:rsidRPr="00B97D45" w14:paraId="6B507065" w14:textId="77777777" w:rsidTr="002375B5">
        <w:trPr>
          <w:trHeight w:val="300"/>
          <w:jc w:val="center"/>
        </w:trPr>
        <w:tc>
          <w:tcPr>
            <w:tcW w:w="1075" w:type="dxa"/>
            <w:shd w:val="clear" w:color="auto" w:fill="auto"/>
            <w:noWrap/>
            <w:vAlign w:val="center"/>
            <w:hideMark/>
          </w:tcPr>
          <w:p w14:paraId="3971D750"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5F5DD9B3" w14:textId="72F448B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-0.0051</w:t>
            </w:r>
          </w:p>
        </w:tc>
        <w:tc>
          <w:tcPr>
            <w:tcW w:w="1335" w:type="dxa"/>
            <w:vAlign w:val="center"/>
          </w:tcPr>
          <w:p w14:paraId="2E75865D" w14:textId="7ECC460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-0.0115</w:t>
            </w:r>
          </w:p>
        </w:tc>
        <w:tc>
          <w:tcPr>
            <w:tcW w:w="1453" w:type="dxa"/>
            <w:vAlign w:val="center"/>
          </w:tcPr>
          <w:p w14:paraId="6DB06B8F" w14:textId="7A5FCEC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3</w:t>
            </w:r>
          </w:p>
        </w:tc>
        <w:tc>
          <w:tcPr>
            <w:tcW w:w="1262" w:type="dxa"/>
            <w:shd w:val="clear" w:color="auto" w:fill="auto"/>
            <w:noWrap/>
            <w:vAlign w:val="center"/>
          </w:tcPr>
          <w:p w14:paraId="241B3B9F" w14:textId="73D31B3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0.0016</w:t>
            </w:r>
          </w:p>
        </w:tc>
        <w:tc>
          <w:tcPr>
            <w:tcW w:w="630" w:type="dxa"/>
            <w:shd w:val="clear" w:color="auto" w:fill="auto"/>
            <w:noWrap/>
            <w:vAlign w:val="center"/>
          </w:tcPr>
          <w:p w14:paraId="43CB012D" w14:textId="223B98E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2.2</w:t>
            </w:r>
            <w:r w:rsidR="00B97D45">
              <w:rPr>
                <w:rFonts w:ascii="Times New Roman" w:hAnsi="Times New Roman" w:cs="Times New Roman"/>
                <w:color w:val="000000"/>
                <w:sz w:val="16"/>
                <w:szCs w:val="16"/>
              </w:rPr>
              <w:t>4</w:t>
            </w:r>
          </w:p>
        </w:tc>
        <w:tc>
          <w:tcPr>
            <w:tcW w:w="900" w:type="dxa"/>
            <w:shd w:val="clear" w:color="auto" w:fill="auto"/>
            <w:noWrap/>
            <w:vAlign w:val="center"/>
          </w:tcPr>
          <w:p w14:paraId="5DF900F3" w14:textId="424A3B8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77.63</w:t>
            </w:r>
          </w:p>
        </w:tc>
        <w:tc>
          <w:tcPr>
            <w:tcW w:w="922" w:type="dxa"/>
            <w:shd w:val="clear" w:color="auto" w:fill="auto"/>
            <w:noWrap/>
            <w:vAlign w:val="center"/>
          </w:tcPr>
          <w:p w14:paraId="34A64FCE" w14:textId="58676DE5"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0.1</w:t>
            </w:r>
            <w:r w:rsidR="00B97D45">
              <w:rPr>
                <w:rFonts w:ascii="Times New Roman" w:hAnsi="Times New Roman" w:cs="Times New Roman"/>
                <w:color w:val="000000"/>
                <w:sz w:val="16"/>
                <w:szCs w:val="16"/>
              </w:rPr>
              <w:t>8</w:t>
            </w:r>
          </w:p>
        </w:tc>
      </w:tr>
    </w:tbl>
    <w:p w14:paraId="63B8CCD5" w14:textId="77777777" w:rsidR="008843FD" w:rsidRPr="00B520F1" w:rsidRDefault="008843FD">
      <w:pPr>
        <w:rPr>
          <w:rFonts w:ascii="Times New Roman" w:hAnsi="Times New Roman" w:cs="Times New Roman"/>
          <w:b/>
          <w:sz w:val="24"/>
          <w:szCs w:val="24"/>
          <w:lang w:val="en-US"/>
        </w:rPr>
      </w:pPr>
    </w:p>
    <w:p w14:paraId="3A115068" w14:textId="77777777" w:rsidR="002334F9" w:rsidRDefault="002334F9">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B7E7F9" w14:textId="4D75C4F2"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5r. Ammonium.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453"/>
        <w:gridCol w:w="754"/>
        <w:gridCol w:w="865"/>
        <w:gridCol w:w="642"/>
      </w:tblGrid>
      <w:tr w:rsidR="008843FD" w:rsidRPr="006D0FD5" w14:paraId="5C047F2B" w14:textId="77777777" w:rsidTr="00494F10">
        <w:trPr>
          <w:trHeight w:val="288"/>
          <w:jc w:val="center"/>
        </w:trPr>
        <w:tc>
          <w:tcPr>
            <w:tcW w:w="9017" w:type="dxa"/>
            <w:gridSpan w:val="8"/>
            <w:shd w:val="clear" w:color="auto" w:fill="auto"/>
            <w:noWrap/>
            <w:vAlign w:val="center"/>
          </w:tcPr>
          <w:p w14:paraId="215F31C1" w14:textId="5362152C" w:rsidR="008843FD" w:rsidRPr="004A34A2" w:rsidRDefault="004A34A2" w:rsidP="005950D1">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950D1" w14:paraId="3B04B8CA" w14:textId="77777777" w:rsidTr="001A2F55">
        <w:trPr>
          <w:trHeight w:val="288"/>
          <w:jc w:val="center"/>
        </w:trPr>
        <w:tc>
          <w:tcPr>
            <w:tcW w:w="6756" w:type="dxa"/>
            <w:gridSpan w:val="5"/>
            <w:vMerge w:val="restart"/>
            <w:shd w:val="clear" w:color="auto" w:fill="auto"/>
            <w:noWrap/>
            <w:vAlign w:val="center"/>
          </w:tcPr>
          <w:p w14:paraId="15E63199" w14:textId="77777777" w:rsidR="007B33CE" w:rsidRPr="004A34A2" w:rsidRDefault="007B33CE"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B097973"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84F376"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87CE909"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7B33CE" w:rsidRPr="005950D1" w14:paraId="73B4AE36" w14:textId="77777777" w:rsidTr="001A2F55">
        <w:trPr>
          <w:trHeight w:val="288"/>
          <w:jc w:val="center"/>
        </w:trPr>
        <w:tc>
          <w:tcPr>
            <w:tcW w:w="6756" w:type="dxa"/>
            <w:gridSpan w:val="5"/>
            <w:vMerge/>
            <w:shd w:val="clear" w:color="auto" w:fill="auto"/>
            <w:noWrap/>
            <w:vAlign w:val="center"/>
          </w:tcPr>
          <w:p w14:paraId="57A117C6"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A19F632" w14:textId="39AD8F9F" w:rsidR="007B33CE" w:rsidRPr="005950D1" w:rsidRDefault="007B33CE"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1.61</w:t>
            </w:r>
          </w:p>
        </w:tc>
        <w:tc>
          <w:tcPr>
            <w:tcW w:w="865" w:type="dxa"/>
            <w:shd w:val="clear" w:color="auto" w:fill="auto"/>
            <w:noWrap/>
            <w:vAlign w:val="center"/>
          </w:tcPr>
          <w:p w14:paraId="6DBCC547" w14:textId="5E56A3C1" w:rsidR="007B33CE" w:rsidRPr="005950D1" w:rsidRDefault="007B33CE"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7DE92170" w14:textId="29D8E854" w:rsidR="007B33CE" w:rsidRPr="00595EEA" w:rsidRDefault="007B33CE"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0.017</w:t>
            </w:r>
          </w:p>
        </w:tc>
      </w:tr>
      <w:tr w:rsidR="002334F9" w:rsidRPr="006D0FD5" w14:paraId="54C0D6A4" w14:textId="77777777" w:rsidTr="00494F10">
        <w:trPr>
          <w:trHeight w:val="288"/>
          <w:jc w:val="center"/>
        </w:trPr>
        <w:tc>
          <w:tcPr>
            <w:tcW w:w="9017" w:type="dxa"/>
            <w:gridSpan w:val="8"/>
            <w:shd w:val="clear" w:color="auto" w:fill="auto"/>
            <w:noWrap/>
            <w:vAlign w:val="center"/>
          </w:tcPr>
          <w:p w14:paraId="00DA60D1" w14:textId="07DF399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 xml:space="preserve">One-way </w:t>
            </w:r>
            <w:r w:rsidR="00411B7C" w:rsidRPr="005950D1">
              <w:rPr>
                <w:rFonts w:ascii="Times New Roman" w:eastAsia="Times New Roman" w:hAnsi="Times New Roman" w:cs="Times New Roman"/>
                <w:b/>
                <w:i/>
                <w:color w:val="000000"/>
                <w:sz w:val="16"/>
                <w:szCs w:val="16"/>
                <w:lang w:val="en-US" w:eastAsia="de-DE"/>
              </w:rPr>
              <w:t>analysis of variance</w:t>
            </w:r>
            <w:r w:rsidRPr="005950D1">
              <w:rPr>
                <w:rFonts w:ascii="Times New Roman" w:eastAsia="Times New Roman" w:hAnsi="Times New Roman" w:cs="Times New Roman"/>
                <w:b/>
                <w:i/>
                <w:color w:val="000000"/>
                <w:sz w:val="16"/>
                <w:szCs w:val="16"/>
                <w:lang w:val="en-US" w:eastAsia="de-DE"/>
              </w:rPr>
              <w:t xml:space="preserve"> assuming equal variances</w:t>
            </w:r>
          </w:p>
        </w:tc>
      </w:tr>
      <w:tr w:rsidR="005462EA" w:rsidRPr="005950D1" w14:paraId="30FE8A87" w14:textId="77777777" w:rsidTr="001A2F55">
        <w:trPr>
          <w:trHeight w:val="288"/>
          <w:jc w:val="center"/>
        </w:trPr>
        <w:tc>
          <w:tcPr>
            <w:tcW w:w="6756" w:type="dxa"/>
            <w:gridSpan w:val="5"/>
            <w:vMerge w:val="restart"/>
            <w:shd w:val="clear" w:color="auto" w:fill="auto"/>
            <w:noWrap/>
            <w:vAlign w:val="center"/>
          </w:tcPr>
          <w:p w14:paraId="6E606066"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25F176E" w14:textId="3D40A960"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15127981" w14:textId="74AE9E1D"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0CC1998" w14:textId="4DA2EE5B"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5462EA" w:rsidRPr="005950D1" w14:paraId="709D716B" w14:textId="77777777" w:rsidTr="001A2F55">
        <w:trPr>
          <w:trHeight w:val="288"/>
          <w:jc w:val="center"/>
        </w:trPr>
        <w:tc>
          <w:tcPr>
            <w:tcW w:w="6756" w:type="dxa"/>
            <w:gridSpan w:val="5"/>
            <w:vMerge/>
            <w:shd w:val="clear" w:color="auto" w:fill="auto"/>
            <w:noWrap/>
            <w:vAlign w:val="center"/>
          </w:tcPr>
          <w:p w14:paraId="2C305677"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571D864" w14:textId="1C32DFA9"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0.0083</w:t>
            </w:r>
          </w:p>
        </w:tc>
        <w:tc>
          <w:tcPr>
            <w:tcW w:w="865" w:type="dxa"/>
            <w:shd w:val="clear" w:color="auto" w:fill="auto"/>
            <w:noWrap/>
            <w:vAlign w:val="center"/>
          </w:tcPr>
          <w:p w14:paraId="0B8757E9" w14:textId="2D8386D8"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6244487B" w14:textId="67DDC985" w:rsidR="005462EA" w:rsidRPr="00595EEA"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0.0083</w:t>
            </w:r>
          </w:p>
        </w:tc>
      </w:tr>
      <w:tr w:rsidR="002334F9" w:rsidRPr="006D0FD5" w14:paraId="1F116B63" w14:textId="77777777" w:rsidTr="00494F10">
        <w:trPr>
          <w:trHeight w:val="288"/>
          <w:jc w:val="center"/>
        </w:trPr>
        <w:tc>
          <w:tcPr>
            <w:tcW w:w="9017" w:type="dxa"/>
            <w:gridSpan w:val="8"/>
            <w:shd w:val="clear" w:color="auto" w:fill="auto"/>
            <w:noWrap/>
            <w:vAlign w:val="center"/>
          </w:tcPr>
          <w:p w14:paraId="758C3670" w14:textId="17CB039D"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 xml:space="preserve">One-way </w:t>
            </w:r>
            <w:r w:rsidR="00411B7C" w:rsidRPr="005950D1">
              <w:rPr>
                <w:rFonts w:ascii="Times New Roman" w:eastAsia="Times New Roman" w:hAnsi="Times New Roman" w:cs="Times New Roman"/>
                <w:b/>
                <w:i/>
                <w:color w:val="000000"/>
                <w:sz w:val="16"/>
                <w:szCs w:val="16"/>
                <w:lang w:val="en-US" w:eastAsia="de-DE"/>
              </w:rPr>
              <w:t>analysis of variance</w:t>
            </w:r>
            <w:r w:rsidRPr="005950D1">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0D1" w14:paraId="7F8B44A2" w14:textId="77777777" w:rsidTr="001A2F55">
        <w:trPr>
          <w:trHeight w:val="288"/>
          <w:jc w:val="center"/>
        </w:trPr>
        <w:tc>
          <w:tcPr>
            <w:tcW w:w="6756" w:type="dxa"/>
            <w:gridSpan w:val="5"/>
            <w:vMerge w:val="restart"/>
            <w:shd w:val="clear" w:color="auto" w:fill="auto"/>
            <w:noWrap/>
            <w:vAlign w:val="center"/>
          </w:tcPr>
          <w:p w14:paraId="1624FF9F"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46F4118"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5B20F063"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9B2E86C"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5462EA" w:rsidRPr="005950D1" w14:paraId="71D29C08" w14:textId="77777777" w:rsidTr="001A2F55">
        <w:trPr>
          <w:trHeight w:val="288"/>
          <w:jc w:val="center"/>
        </w:trPr>
        <w:tc>
          <w:tcPr>
            <w:tcW w:w="6756" w:type="dxa"/>
            <w:gridSpan w:val="5"/>
            <w:vMerge/>
            <w:shd w:val="clear" w:color="auto" w:fill="auto"/>
            <w:noWrap/>
            <w:vAlign w:val="center"/>
          </w:tcPr>
          <w:p w14:paraId="3C7A9520"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5B7C976" w14:textId="1EF30C50"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3.99</w:t>
            </w:r>
          </w:p>
        </w:tc>
        <w:tc>
          <w:tcPr>
            <w:tcW w:w="865" w:type="dxa"/>
            <w:shd w:val="clear" w:color="auto" w:fill="auto"/>
            <w:noWrap/>
            <w:vAlign w:val="center"/>
          </w:tcPr>
          <w:p w14:paraId="36B88FBB" w14:textId="6D2C2111" w:rsidR="005462EA" w:rsidRPr="005950D1"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0D1">
              <w:rPr>
                <w:rFonts w:ascii="Times New Roman" w:eastAsia="Times New Roman" w:hAnsi="Times New Roman" w:cs="Times New Roman"/>
                <w:color w:val="000000"/>
                <w:sz w:val="16"/>
                <w:szCs w:val="16"/>
                <w:lang w:eastAsia="de-DE"/>
              </w:rPr>
              <w:t>4, 87.66</w:t>
            </w:r>
          </w:p>
        </w:tc>
        <w:tc>
          <w:tcPr>
            <w:tcW w:w="642" w:type="dxa"/>
            <w:shd w:val="clear" w:color="auto" w:fill="auto"/>
            <w:noWrap/>
            <w:vAlign w:val="center"/>
          </w:tcPr>
          <w:p w14:paraId="616EC6EF" w14:textId="50FD785E" w:rsidR="005462EA" w:rsidRPr="00595EEA"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0.0050</w:t>
            </w:r>
          </w:p>
        </w:tc>
      </w:tr>
      <w:tr w:rsidR="002334F9" w:rsidRPr="006D0FD5" w14:paraId="4A1A8981" w14:textId="77777777" w:rsidTr="00494F10">
        <w:trPr>
          <w:trHeight w:val="288"/>
          <w:jc w:val="center"/>
        </w:trPr>
        <w:tc>
          <w:tcPr>
            <w:tcW w:w="9017" w:type="dxa"/>
            <w:gridSpan w:val="8"/>
            <w:shd w:val="clear" w:color="auto" w:fill="auto"/>
            <w:noWrap/>
            <w:vAlign w:val="center"/>
          </w:tcPr>
          <w:p w14:paraId="37B8DD9C"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Games-Howell post-hoc tests for group differences</w:t>
            </w:r>
          </w:p>
        </w:tc>
      </w:tr>
      <w:tr w:rsidR="002334F9" w:rsidRPr="005950D1" w14:paraId="3ECBF9D4" w14:textId="77777777" w:rsidTr="00494F10">
        <w:trPr>
          <w:trHeight w:val="288"/>
          <w:jc w:val="center"/>
        </w:trPr>
        <w:tc>
          <w:tcPr>
            <w:tcW w:w="1075" w:type="dxa"/>
            <w:shd w:val="clear" w:color="auto" w:fill="auto"/>
            <w:noWrap/>
            <w:vAlign w:val="center"/>
            <w:hideMark/>
          </w:tcPr>
          <w:p w14:paraId="7719FFEA" w14:textId="77777777"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3B7B9CFC" w14:textId="13DA45FA" w:rsidR="002334F9" w:rsidRPr="00595EEA" w:rsidRDefault="0060107F"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Mean difference</w:t>
            </w:r>
          </w:p>
        </w:tc>
        <w:tc>
          <w:tcPr>
            <w:tcW w:w="1335" w:type="dxa"/>
            <w:vAlign w:val="center"/>
          </w:tcPr>
          <w:p w14:paraId="10423575" w14:textId="1C4EECE3"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Lower 95% CI</w:t>
            </w:r>
          </w:p>
        </w:tc>
        <w:tc>
          <w:tcPr>
            <w:tcW w:w="1453" w:type="dxa"/>
            <w:vAlign w:val="center"/>
          </w:tcPr>
          <w:p w14:paraId="57098F09" w14:textId="025C136F"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Upper 95% CI</w:t>
            </w:r>
          </w:p>
        </w:tc>
        <w:tc>
          <w:tcPr>
            <w:tcW w:w="1453" w:type="dxa"/>
            <w:shd w:val="clear" w:color="auto" w:fill="auto"/>
            <w:noWrap/>
            <w:vAlign w:val="center"/>
            <w:hideMark/>
          </w:tcPr>
          <w:p w14:paraId="24C13BB1" w14:textId="77777777"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241BAC9A"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t</w:t>
            </w:r>
          </w:p>
        </w:tc>
        <w:tc>
          <w:tcPr>
            <w:tcW w:w="865" w:type="dxa"/>
            <w:shd w:val="clear" w:color="auto" w:fill="auto"/>
            <w:noWrap/>
            <w:vAlign w:val="center"/>
            <w:hideMark/>
          </w:tcPr>
          <w:p w14:paraId="54B9455E"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hideMark/>
          </w:tcPr>
          <w:p w14:paraId="62A7148B"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2334F9" w:rsidRPr="005950D1" w14:paraId="48456F94" w14:textId="77777777" w:rsidTr="00494F10">
        <w:trPr>
          <w:trHeight w:val="288"/>
          <w:jc w:val="center"/>
        </w:trPr>
        <w:tc>
          <w:tcPr>
            <w:tcW w:w="1075" w:type="dxa"/>
            <w:shd w:val="clear" w:color="auto" w:fill="auto"/>
            <w:noWrap/>
            <w:vAlign w:val="center"/>
            <w:hideMark/>
          </w:tcPr>
          <w:p w14:paraId="323C11FC"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458AAD77" w14:textId="7548AA0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-0.022</w:t>
            </w:r>
            <w:r w:rsidR="007B33CE">
              <w:rPr>
                <w:rFonts w:ascii="Times New Roman" w:hAnsi="Times New Roman" w:cs="Times New Roman"/>
                <w:color w:val="000000"/>
                <w:sz w:val="16"/>
                <w:szCs w:val="16"/>
              </w:rPr>
              <w:t>7</w:t>
            </w:r>
          </w:p>
        </w:tc>
        <w:tc>
          <w:tcPr>
            <w:tcW w:w="1335" w:type="dxa"/>
            <w:vAlign w:val="center"/>
          </w:tcPr>
          <w:p w14:paraId="742D7B8E" w14:textId="54C746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-0.247</w:t>
            </w:r>
            <w:r w:rsidR="007B33CE">
              <w:rPr>
                <w:rFonts w:ascii="Times New Roman" w:hAnsi="Times New Roman" w:cs="Times New Roman"/>
                <w:color w:val="000000"/>
                <w:sz w:val="16"/>
                <w:szCs w:val="16"/>
              </w:rPr>
              <w:t>9</w:t>
            </w:r>
          </w:p>
        </w:tc>
        <w:tc>
          <w:tcPr>
            <w:tcW w:w="1453" w:type="dxa"/>
            <w:vAlign w:val="center"/>
          </w:tcPr>
          <w:p w14:paraId="0FE9E1D0" w14:textId="37552AF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0.202</w:t>
            </w:r>
            <w:r w:rsidR="007B33CE">
              <w:rPr>
                <w:rFonts w:ascii="Times New Roman" w:hAnsi="Times New Roman" w:cs="Times New Roman"/>
                <w:color w:val="000000"/>
                <w:sz w:val="16"/>
                <w:szCs w:val="16"/>
              </w:rPr>
              <w:t>6</w:t>
            </w:r>
          </w:p>
        </w:tc>
        <w:tc>
          <w:tcPr>
            <w:tcW w:w="1453" w:type="dxa"/>
            <w:shd w:val="clear" w:color="auto" w:fill="auto"/>
            <w:noWrap/>
            <w:vAlign w:val="center"/>
          </w:tcPr>
          <w:p w14:paraId="1A889958" w14:textId="0B9D6BA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0.0571</w:t>
            </w:r>
          </w:p>
        </w:tc>
        <w:tc>
          <w:tcPr>
            <w:tcW w:w="754" w:type="dxa"/>
            <w:shd w:val="clear" w:color="auto" w:fill="auto"/>
            <w:noWrap/>
            <w:vAlign w:val="center"/>
          </w:tcPr>
          <w:p w14:paraId="056F81F7" w14:textId="45A3CC3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0.28</w:t>
            </w:r>
          </w:p>
        </w:tc>
        <w:tc>
          <w:tcPr>
            <w:tcW w:w="865" w:type="dxa"/>
            <w:shd w:val="clear" w:color="auto" w:fill="auto"/>
            <w:noWrap/>
            <w:vAlign w:val="center"/>
          </w:tcPr>
          <w:p w14:paraId="21D98EAA" w14:textId="3EDA936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85.7</w:t>
            </w:r>
            <w:r w:rsidR="00494F10">
              <w:rPr>
                <w:rFonts w:ascii="Times New Roman" w:hAnsi="Times New Roman" w:cs="Times New Roman"/>
                <w:color w:val="000000"/>
                <w:sz w:val="16"/>
                <w:szCs w:val="16"/>
              </w:rPr>
              <w:t>5</w:t>
            </w:r>
          </w:p>
        </w:tc>
        <w:tc>
          <w:tcPr>
            <w:tcW w:w="642" w:type="dxa"/>
            <w:shd w:val="clear" w:color="auto" w:fill="auto"/>
            <w:noWrap/>
            <w:vAlign w:val="center"/>
          </w:tcPr>
          <w:p w14:paraId="3242D07F" w14:textId="3E74EA64" w:rsidR="002334F9" w:rsidRPr="005950D1" w:rsidRDefault="00494F10" w:rsidP="005950D1">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2334F9" w:rsidRPr="005950D1" w14:paraId="4377DC88" w14:textId="77777777" w:rsidTr="00494F10">
        <w:trPr>
          <w:trHeight w:val="288"/>
          <w:jc w:val="center"/>
        </w:trPr>
        <w:tc>
          <w:tcPr>
            <w:tcW w:w="1075" w:type="dxa"/>
            <w:shd w:val="clear" w:color="auto" w:fill="auto"/>
            <w:noWrap/>
            <w:vAlign w:val="center"/>
            <w:hideMark/>
          </w:tcPr>
          <w:p w14:paraId="2AD659A2"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7C395FA9" w14:textId="45BCB5B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-0.139</w:t>
            </w:r>
            <w:r w:rsidR="007B33CE">
              <w:rPr>
                <w:rFonts w:ascii="Times New Roman" w:hAnsi="Times New Roman" w:cs="Times New Roman"/>
                <w:color w:val="000000"/>
                <w:sz w:val="16"/>
                <w:szCs w:val="16"/>
              </w:rPr>
              <w:t>7</w:t>
            </w:r>
          </w:p>
        </w:tc>
        <w:tc>
          <w:tcPr>
            <w:tcW w:w="1335" w:type="dxa"/>
            <w:vAlign w:val="center"/>
          </w:tcPr>
          <w:p w14:paraId="4017BEFF" w14:textId="6ADAD49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-0.417</w:t>
            </w:r>
            <w:r w:rsidR="007B33CE">
              <w:rPr>
                <w:rFonts w:ascii="Times New Roman" w:hAnsi="Times New Roman" w:cs="Times New Roman"/>
                <w:color w:val="000000"/>
                <w:sz w:val="16"/>
                <w:szCs w:val="16"/>
              </w:rPr>
              <w:t>6</w:t>
            </w:r>
          </w:p>
        </w:tc>
        <w:tc>
          <w:tcPr>
            <w:tcW w:w="1453" w:type="dxa"/>
            <w:vAlign w:val="center"/>
          </w:tcPr>
          <w:p w14:paraId="6A0705FD" w14:textId="1ADD299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0.138</w:t>
            </w:r>
            <w:r w:rsidR="007B33CE">
              <w:rPr>
                <w:rFonts w:ascii="Times New Roman" w:hAnsi="Times New Roman" w:cs="Times New Roman"/>
                <w:color w:val="000000"/>
                <w:sz w:val="16"/>
                <w:szCs w:val="16"/>
              </w:rPr>
              <w:t>2</w:t>
            </w:r>
          </w:p>
        </w:tc>
        <w:tc>
          <w:tcPr>
            <w:tcW w:w="1453" w:type="dxa"/>
            <w:shd w:val="clear" w:color="auto" w:fill="auto"/>
            <w:noWrap/>
            <w:vAlign w:val="center"/>
          </w:tcPr>
          <w:p w14:paraId="2A7DB472" w14:textId="5B9C915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0.0695</w:t>
            </w:r>
          </w:p>
        </w:tc>
        <w:tc>
          <w:tcPr>
            <w:tcW w:w="754" w:type="dxa"/>
            <w:shd w:val="clear" w:color="auto" w:fill="auto"/>
            <w:noWrap/>
            <w:vAlign w:val="center"/>
          </w:tcPr>
          <w:p w14:paraId="338044B8" w14:textId="57F272F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1.42</w:t>
            </w:r>
          </w:p>
        </w:tc>
        <w:tc>
          <w:tcPr>
            <w:tcW w:w="865" w:type="dxa"/>
            <w:shd w:val="clear" w:color="auto" w:fill="auto"/>
            <w:noWrap/>
            <w:vAlign w:val="center"/>
          </w:tcPr>
          <w:p w14:paraId="5AD90F5F" w14:textId="6199D20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51.60</w:t>
            </w:r>
          </w:p>
        </w:tc>
        <w:tc>
          <w:tcPr>
            <w:tcW w:w="642" w:type="dxa"/>
            <w:shd w:val="clear" w:color="auto" w:fill="auto"/>
            <w:noWrap/>
            <w:vAlign w:val="center"/>
          </w:tcPr>
          <w:p w14:paraId="542FA91F" w14:textId="23EA3CD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w:t>
            </w:r>
            <w:r w:rsidR="00494F10">
              <w:rPr>
                <w:rFonts w:ascii="Times New Roman" w:hAnsi="Times New Roman" w:cs="Times New Roman"/>
                <w:color w:val="000000"/>
                <w:sz w:val="16"/>
                <w:szCs w:val="16"/>
              </w:rPr>
              <w:t>2</w:t>
            </w:r>
          </w:p>
        </w:tc>
      </w:tr>
      <w:tr w:rsidR="002334F9" w:rsidRPr="005950D1" w14:paraId="35272987" w14:textId="77777777" w:rsidTr="00494F10">
        <w:trPr>
          <w:trHeight w:val="288"/>
          <w:jc w:val="center"/>
        </w:trPr>
        <w:tc>
          <w:tcPr>
            <w:tcW w:w="1075" w:type="dxa"/>
            <w:shd w:val="clear" w:color="auto" w:fill="auto"/>
            <w:noWrap/>
            <w:vAlign w:val="center"/>
            <w:hideMark/>
          </w:tcPr>
          <w:p w14:paraId="6854382D"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1FC1056" w14:textId="7C40EA4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-0.1698</w:t>
            </w:r>
          </w:p>
        </w:tc>
        <w:tc>
          <w:tcPr>
            <w:tcW w:w="1335" w:type="dxa"/>
            <w:vAlign w:val="center"/>
          </w:tcPr>
          <w:p w14:paraId="3E0B5BA1" w14:textId="0D0CAD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-0.450</w:t>
            </w:r>
            <w:r w:rsidR="007B33CE">
              <w:rPr>
                <w:rFonts w:ascii="Times New Roman" w:hAnsi="Times New Roman" w:cs="Times New Roman"/>
                <w:color w:val="000000"/>
                <w:sz w:val="16"/>
                <w:szCs w:val="16"/>
              </w:rPr>
              <w:t>9</w:t>
            </w:r>
          </w:p>
        </w:tc>
        <w:tc>
          <w:tcPr>
            <w:tcW w:w="1453" w:type="dxa"/>
            <w:vAlign w:val="center"/>
          </w:tcPr>
          <w:p w14:paraId="54C705A8" w14:textId="7E57D2E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0.111</w:t>
            </w:r>
            <w:r w:rsidR="007B33CE">
              <w:rPr>
                <w:rFonts w:ascii="Times New Roman" w:hAnsi="Times New Roman" w:cs="Times New Roman"/>
                <w:color w:val="000000"/>
                <w:sz w:val="16"/>
                <w:szCs w:val="16"/>
              </w:rPr>
              <w:t>1</w:t>
            </w:r>
          </w:p>
        </w:tc>
        <w:tc>
          <w:tcPr>
            <w:tcW w:w="1453" w:type="dxa"/>
            <w:shd w:val="clear" w:color="auto" w:fill="auto"/>
            <w:noWrap/>
            <w:vAlign w:val="center"/>
          </w:tcPr>
          <w:p w14:paraId="7230EA86" w14:textId="402AE10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0.070</w:t>
            </w:r>
            <w:r w:rsidR="007B33CE">
              <w:rPr>
                <w:rFonts w:ascii="Times New Roman" w:hAnsi="Times New Roman" w:cs="Times New Roman"/>
                <w:color w:val="000000"/>
                <w:sz w:val="16"/>
                <w:szCs w:val="16"/>
              </w:rPr>
              <w:t>7</w:t>
            </w:r>
          </w:p>
        </w:tc>
        <w:tc>
          <w:tcPr>
            <w:tcW w:w="754" w:type="dxa"/>
            <w:shd w:val="clear" w:color="auto" w:fill="auto"/>
            <w:noWrap/>
            <w:vAlign w:val="center"/>
          </w:tcPr>
          <w:p w14:paraId="59A2177B" w14:textId="3C64362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w:t>
            </w:r>
            <w:r w:rsidR="00494F10">
              <w:rPr>
                <w:rFonts w:ascii="Times New Roman" w:hAnsi="Times New Roman" w:cs="Times New Roman"/>
                <w:color w:val="000000"/>
                <w:sz w:val="16"/>
                <w:szCs w:val="16"/>
              </w:rPr>
              <w:t>70</w:t>
            </w:r>
          </w:p>
        </w:tc>
        <w:tc>
          <w:tcPr>
            <w:tcW w:w="865" w:type="dxa"/>
            <w:shd w:val="clear" w:color="auto" w:fill="auto"/>
            <w:noWrap/>
            <w:vAlign w:val="center"/>
          </w:tcPr>
          <w:p w14:paraId="3A6BACD0" w14:textId="62A2B155"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59.9</w:t>
            </w:r>
            <w:r w:rsidR="00494F10">
              <w:rPr>
                <w:rFonts w:ascii="Times New Roman" w:hAnsi="Times New Roman" w:cs="Times New Roman"/>
                <w:color w:val="000000"/>
                <w:sz w:val="16"/>
                <w:szCs w:val="16"/>
              </w:rPr>
              <w:t>2</w:t>
            </w:r>
          </w:p>
        </w:tc>
        <w:tc>
          <w:tcPr>
            <w:tcW w:w="642" w:type="dxa"/>
            <w:shd w:val="clear" w:color="auto" w:fill="auto"/>
            <w:noWrap/>
            <w:vAlign w:val="center"/>
          </w:tcPr>
          <w:p w14:paraId="4FD18D51" w14:textId="4481BD2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0.44</w:t>
            </w:r>
          </w:p>
        </w:tc>
      </w:tr>
      <w:tr w:rsidR="002334F9" w:rsidRPr="005950D1" w14:paraId="34B8D51A" w14:textId="77777777" w:rsidTr="00494F10">
        <w:trPr>
          <w:trHeight w:val="288"/>
          <w:jc w:val="center"/>
        </w:trPr>
        <w:tc>
          <w:tcPr>
            <w:tcW w:w="1075" w:type="dxa"/>
            <w:shd w:val="clear" w:color="auto" w:fill="auto"/>
            <w:noWrap/>
            <w:vAlign w:val="center"/>
            <w:hideMark/>
          </w:tcPr>
          <w:p w14:paraId="3A70F65C"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1AA80ADB" w14:textId="4347B2A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-0.347</w:t>
            </w:r>
            <w:r w:rsidR="007B33CE">
              <w:rPr>
                <w:rFonts w:ascii="Times New Roman" w:hAnsi="Times New Roman" w:cs="Times New Roman"/>
                <w:color w:val="000000"/>
                <w:sz w:val="16"/>
                <w:szCs w:val="16"/>
              </w:rPr>
              <w:t>2</w:t>
            </w:r>
          </w:p>
        </w:tc>
        <w:tc>
          <w:tcPr>
            <w:tcW w:w="1335" w:type="dxa"/>
            <w:vAlign w:val="center"/>
          </w:tcPr>
          <w:p w14:paraId="3BB52875" w14:textId="67E46EE4"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-0.608</w:t>
            </w:r>
            <w:r w:rsidR="007B33CE">
              <w:rPr>
                <w:rFonts w:ascii="Times New Roman" w:hAnsi="Times New Roman" w:cs="Times New Roman"/>
                <w:color w:val="000000"/>
                <w:sz w:val="16"/>
                <w:szCs w:val="16"/>
              </w:rPr>
              <w:t>9</w:t>
            </w:r>
          </w:p>
        </w:tc>
        <w:tc>
          <w:tcPr>
            <w:tcW w:w="1453" w:type="dxa"/>
            <w:vAlign w:val="center"/>
          </w:tcPr>
          <w:p w14:paraId="2FDDF37C" w14:textId="0A435CD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-0.0854</w:t>
            </w:r>
          </w:p>
        </w:tc>
        <w:tc>
          <w:tcPr>
            <w:tcW w:w="1453" w:type="dxa"/>
            <w:shd w:val="clear" w:color="auto" w:fill="auto"/>
            <w:noWrap/>
            <w:vAlign w:val="center"/>
          </w:tcPr>
          <w:p w14:paraId="70D2B3DC" w14:textId="6A529E6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0.0652</w:t>
            </w:r>
          </w:p>
        </w:tc>
        <w:tc>
          <w:tcPr>
            <w:tcW w:w="754" w:type="dxa"/>
            <w:shd w:val="clear" w:color="auto" w:fill="auto"/>
            <w:noWrap/>
            <w:vAlign w:val="center"/>
          </w:tcPr>
          <w:p w14:paraId="5E4AFAA1" w14:textId="24F2B22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3.76</w:t>
            </w:r>
          </w:p>
        </w:tc>
        <w:tc>
          <w:tcPr>
            <w:tcW w:w="865" w:type="dxa"/>
            <w:shd w:val="clear" w:color="auto" w:fill="auto"/>
            <w:noWrap/>
            <w:vAlign w:val="center"/>
          </w:tcPr>
          <w:p w14:paraId="7D7DC821" w14:textId="60AD237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46.91</w:t>
            </w:r>
          </w:p>
        </w:tc>
        <w:tc>
          <w:tcPr>
            <w:tcW w:w="642" w:type="dxa"/>
            <w:shd w:val="clear" w:color="auto" w:fill="auto"/>
            <w:noWrap/>
            <w:vAlign w:val="center"/>
          </w:tcPr>
          <w:p w14:paraId="5D738B6E" w14:textId="66B872A4" w:rsidR="002334F9" w:rsidRPr="00494F10"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494F10">
              <w:rPr>
                <w:rFonts w:ascii="Times New Roman" w:hAnsi="Times New Roman" w:cs="Times New Roman"/>
                <w:b/>
                <w:color w:val="000000"/>
                <w:sz w:val="16"/>
                <w:szCs w:val="16"/>
              </w:rPr>
              <w:t>0.004</w:t>
            </w:r>
            <w:r w:rsidR="00494F10" w:rsidRPr="00494F10">
              <w:rPr>
                <w:rFonts w:ascii="Times New Roman" w:hAnsi="Times New Roman" w:cs="Times New Roman"/>
                <w:b/>
                <w:color w:val="000000"/>
                <w:sz w:val="16"/>
                <w:szCs w:val="16"/>
              </w:rPr>
              <w:t>1</w:t>
            </w:r>
          </w:p>
        </w:tc>
      </w:tr>
      <w:tr w:rsidR="002334F9" w:rsidRPr="005950D1" w14:paraId="1DB626AD" w14:textId="77777777" w:rsidTr="00494F10">
        <w:trPr>
          <w:trHeight w:val="288"/>
          <w:jc w:val="center"/>
        </w:trPr>
        <w:tc>
          <w:tcPr>
            <w:tcW w:w="1075" w:type="dxa"/>
            <w:shd w:val="clear" w:color="auto" w:fill="auto"/>
            <w:noWrap/>
            <w:vAlign w:val="center"/>
            <w:hideMark/>
          </w:tcPr>
          <w:p w14:paraId="31D40DA1"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2F1BA265" w14:textId="0733FEE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-0.117</w:t>
            </w:r>
            <w:r w:rsidR="007B33CE">
              <w:rPr>
                <w:rFonts w:ascii="Times New Roman" w:hAnsi="Times New Roman" w:cs="Times New Roman"/>
                <w:color w:val="000000"/>
                <w:sz w:val="16"/>
                <w:szCs w:val="16"/>
              </w:rPr>
              <w:t>1</w:t>
            </w:r>
          </w:p>
        </w:tc>
        <w:tc>
          <w:tcPr>
            <w:tcW w:w="1335" w:type="dxa"/>
            <w:vAlign w:val="center"/>
          </w:tcPr>
          <w:p w14:paraId="5231CC6A" w14:textId="5A017CB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-0.421</w:t>
            </w:r>
            <w:r w:rsidR="007B33CE">
              <w:rPr>
                <w:rFonts w:ascii="Times New Roman" w:hAnsi="Times New Roman" w:cs="Times New Roman"/>
                <w:color w:val="000000"/>
                <w:sz w:val="16"/>
                <w:szCs w:val="16"/>
              </w:rPr>
              <w:t>7</w:t>
            </w:r>
          </w:p>
        </w:tc>
        <w:tc>
          <w:tcPr>
            <w:tcW w:w="1453" w:type="dxa"/>
            <w:vAlign w:val="center"/>
          </w:tcPr>
          <w:p w14:paraId="5B7BE289" w14:textId="2DBF96D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0.187</w:t>
            </w:r>
            <w:r w:rsidR="007B33CE">
              <w:rPr>
                <w:rFonts w:ascii="Times New Roman" w:hAnsi="Times New Roman" w:cs="Times New Roman"/>
                <w:color w:val="000000"/>
                <w:sz w:val="16"/>
                <w:szCs w:val="16"/>
              </w:rPr>
              <w:t>6</w:t>
            </w:r>
          </w:p>
        </w:tc>
        <w:tc>
          <w:tcPr>
            <w:tcW w:w="1453" w:type="dxa"/>
            <w:shd w:val="clear" w:color="auto" w:fill="auto"/>
            <w:noWrap/>
            <w:vAlign w:val="center"/>
          </w:tcPr>
          <w:p w14:paraId="3AAE8E6B" w14:textId="0B5CA51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0.0767</w:t>
            </w:r>
          </w:p>
        </w:tc>
        <w:tc>
          <w:tcPr>
            <w:tcW w:w="754" w:type="dxa"/>
            <w:shd w:val="clear" w:color="auto" w:fill="auto"/>
            <w:noWrap/>
            <w:vAlign w:val="center"/>
          </w:tcPr>
          <w:p w14:paraId="559A60E2" w14:textId="7D56E50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1.0</w:t>
            </w:r>
            <w:r w:rsidR="00494F10">
              <w:rPr>
                <w:rFonts w:ascii="Times New Roman" w:hAnsi="Times New Roman" w:cs="Times New Roman"/>
                <w:color w:val="000000"/>
                <w:sz w:val="16"/>
                <w:szCs w:val="16"/>
              </w:rPr>
              <w:t>8</w:t>
            </w:r>
          </w:p>
        </w:tc>
        <w:tc>
          <w:tcPr>
            <w:tcW w:w="865" w:type="dxa"/>
            <w:shd w:val="clear" w:color="auto" w:fill="auto"/>
            <w:noWrap/>
            <w:vAlign w:val="center"/>
          </w:tcPr>
          <w:p w14:paraId="1E8398EB" w14:textId="65EC45A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64.17</w:t>
            </w:r>
          </w:p>
        </w:tc>
        <w:tc>
          <w:tcPr>
            <w:tcW w:w="642" w:type="dxa"/>
            <w:shd w:val="clear" w:color="auto" w:fill="auto"/>
            <w:noWrap/>
            <w:vAlign w:val="center"/>
          </w:tcPr>
          <w:p w14:paraId="398E288B" w14:textId="3BA68E0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0.8</w:t>
            </w:r>
            <w:r w:rsidR="00494F10">
              <w:rPr>
                <w:rFonts w:ascii="Times New Roman" w:hAnsi="Times New Roman" w:cs="Times New Roman"/>
                <w:color w:val="000000"/>
                <w:sz w:val="16"/>
                <w:szCs w:val="16"/>
              </w:rPr>
              <w:t>2</w:t>
            </w:r>
          </w:p>
        </w:tc>
      </w:tr>
      <w:tr w:rsidR="002334F9" w:rsidRPr="005950D1" w14:paraId="5619FD4E" w14:textId="77777777" w:rsidTr="00494F10">
        <w:trPr>
          <w:trHeight w:val="288"/>
          <w:jc w:val="center"/>
        </w:trPr>
        <w:tc>
          <w:tcPr>
            <w:tcW w:w="1075" w:type="dxa"/>
            <w:shd w:val="clear" w:color="auto" w:fill="auto"/>
            <w:noWrap/>
            <w:vAlign w:val="center"/>
            <w:hideMark/>
          </w:tcPr>
          <w:p w14:paraId="6FF68DF1"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60B0413F" w14:textId="06B3970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-0.147</w:t>
            </w:r>
            <w:r w:rsidR="007B33CE">
              <w:rPr>
                <w:rFonts w:ascii="Times New Roman" w:hAnsi="Times New Roman" w:cs="Times New Roman"/>
                <w:color w:val="000000"/>
                <w:sz w:val="16"/>
                <w:szCs w:val="16"/>
              </w:rPr>
              <w:t>2</w:t>
            </w:r>
          </w:p>
        </w:tc>
        <w:tc>
          <w:tcPr>
            <w:tcW w:w="1335" w:type="dxa"/>
            <w:vAlign w:val="center"/>
          </w:tcPr>
          <w:p w14:paraId="64C400E6" w14:textId="545BBEC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-0.454</w:t>
            </w:r>
            <w:r w:rsidR="007B33CE">
              <w:rPr>
                <w:rFonts w:ascii="Times New Roman" w:hAnsi="Times New Roman" w:cs="Times New Roman"/>
                <w:color w:val="000000"/>
                <w:sz w:val="16"/>
                <w:szCs w:val="16"/>
              </w:rPr>
              <w:t>9</w:t>
            </w:r>
          </w:p>
        </w:tc>
        <w:tc>
          <w:tcPr>
            <w:tcW w:w="1453" w:type="dxa"/>
            <w:vAlign w:val="center"/>
          </w:tcPr>
          <w:p w14:paraId="4E6370CA" w14:textId="5A2E1DD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0.1605</w:t>
            </w:r>
          </w:p>
        </w:tc>
        <w:tc>
          <w:tcPr>
            <w:tcW w:w="1453" w:type="dxa"/>
            <w:shd w:val="clear" w:color="auto" w:fill="auto"/>
            <w:noWrap/>
            <w:vAlign w:val="center"/>
          </w:tcPr>
          <w:p w14:paraId="57EACB2D" w14:textId="3CE0844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0.077</w:t>
            </w:r>
            <w:r w:rsidR="007B33CE">
              <w:rPr>
                <w:rFonts w:ascii="Times New Roman" w:hAnsi="Times New Roman" w:cs="Times New Roman"/>
                <w:color w:val="000000"/>
                <w:sz w:val="16"/>
                <w:szCs w:val="16"/>
              </w:rPr>
              <w:t>8</w:t>
            </w:r>
          </w:p>
        </w:tc>
        <w:tc>
          <w:tcPr>
            <w:tcW w:w="754" w:type="dxa"/>
            <w:shd w:val="clear" w:color="auto" w:fill="auto"/>
            <w:noWrap/>
            <w:vAlign w:val="center"/>
          </w:tcPr>
          <w:p w14:paraId="6581565C" w14:textId="13BBC8E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1.3</w:t>
            </w:r>
            <w:r w:rsidR="00494F10">
              <w:rPr>
                <w:rFonts w:ascii="Times New Roman" w:hAnsi="Times New Roman" w:cs="Times New Roman"/>
                <w:color w:val="000000"/>
                <w:sz w:val="16"/>
                <w:szCs w:val="16"/>
              </w:rPr>
              <w:t>4</w:t>
            </w:r>
          </w:p>
        </w:tc>
        <w:tc>
          <w:tcPr>
            <w:tcW w:w="865" w:type="dxa"/>
            <w:shd w:val="clear" w:color="auto" w:fill="auto"/>
            <w:noWrap/>
            <w:vAlign w:val="center"/>
          </w:tcPr>
          <w:p w14:paraId="2DDAFF89" w14:textId="6ED1C81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72.6</w:t>
            </w:r>
            <w:r w:rsidR="00494F10">
              <w:rPr>
                <w:rFonts w:ascii="Times New Roman" w:hAnsi="Times New Roman" w:cs="Times New Roman"/>
                <w:color w:val="000000"/>
                <w:sz w:val="16"/>
                <w:szCs w:val="16"/>
              </w:rPr>
              <w:t>2</w:t>
            </w:r>
          </w:p>
        </w:tc>
        <w:tc>
          <w:tcPr>
            <w:tcW w:w="642" w:type="dxa"/>
            <w:shd w:val="clear" w:color="auto" w:fill="auto"/>
            <w:noWrap/>
            <w:vAlign w:val="center"/>
          </w:tcPr>
          <w:p w14:paraId="4589E4C4" w14:textId="595F52B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w:t>
            </w:r>
            <w:r w:rsidR="00494F10">
              <w:rPr>
                <w:rFonts w:ascii="Times New Roman" w:hAnsi="Times New Roman" w:cs="Times New Roman"/>
                <w:color w:val="000000"/>
                <w:sz w:val="16"/>
                <w:szCs w:val="16"/>
              </w:rPr>
              <w:t>7</w:t>
            </w:r>
          </w:p>
        </w:tc>
      </w:tr>
      <w:tr w:rsidR="002334F9" w:rsidRPr="005950D1" w14:paraId="17A15695" w14:textId="77777777" w:rsidTr="00494F10">
        <w:trPr>
          <w:trHeight w:val="288"/>
          <w:jc w:val="center"/>
        </w:trPr>
        <w:tc>
          <w:tcPr>
            <w:tcW w:w="1075" w:type="dxa"/>
            <w:shd w:val="clear" w:color="auto" w:fill="auto"/>
            <w:noWrap/>
            <w:vAlign w:val="center"/>
            <w:hideMark/>
          </w:tcPr>
          <w:p w14:paraId="3E178BD4"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85C0C79" w14:textId="32B650B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-0.3245</w:t>
            </w:r>
          </w:p>
        </w:tc>
        <w:tc>
          <w:tcPr>
            <w:tcW w:w="1335" w:type="dxa"/>
            <w:vAlign w:val="center"/>
          </w:tcPr>
          <w:p w14:paraId="6E574A3B" w14:textId="5EB3C5F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-0.6145</w:t>
            </w:r>
          </w:p>
        </w:tc>
        <w:tc>
          <w:tcPr>
            <w:tcW w:w="1453" w:type="dxa"/>
            <w:vAlign w:val="center"/>
          </w:tcPr>
          <w:p w14:paraId="25C7B631" w14:textId="363C66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-0.0345</w:t>
            </w:r>
          </w:p>
        </w:tc>
        <w:tc>
          <w:tcPr>
            <w:tcW w:w="1453" w:type="dxa"/>
            <w:shd w:val="clear" w:color="auto" w:fill="auto"/>
            <w:noWrap/>
            <w:vAlign w:val="center"/>
          </w:tcPr>
          <w:p w14:paraId="79A539E8" w14:textId="6A5E335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0.072</w:t>
            </w:r>
            <w:r w:rsidR="007B33CE">
              <w:rPr>
                <w:rFonts w:ascii="Times New Roman" w:hAnsi="Times New Roman" w:cs="Times New Roman"/>
                <w:color w:val="000000"/>
                <w:sz w:val="16"/>
                <w:szCs w:val="16"/>
              </w:rPr>
              <w:t>9</w:t>
            </w:r>
          </w:p>
        </w:tc>
        <w:tc>
          <w:tcPr>
            <w:tcW w:w="754" w:type="dxa"/>
            <w:shd w:val="clear" w:color="auto" w:fill="auto"/>
            <w:noWrap/>
            <w:vAlign w:val="center"/>
          </w:tcPr>
          <w:p w14:paraId="52AB7DC1" w14:textId="25ADC534"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3.1</w:t>
            </w:r>
            <w:r w:rsidR="00494F10">
              <w:rPr>
                <w:rFonts w:ascii="Times New Roman" w:hAnsi="Times New Roman" w:cs="Times New Roman"/>
                <w:color w:val="000000"/>
                <w:sz w:val="16"/>
                <w:szCs w:val="16"/>
              </w:rPr>
              <w:t>5</w:t>
            </w:r>
          </w:p>
        </w:tc>
        <w:tc>
          <w:tcPr>
            <w:tcW w:w="865" w:type="dxa"/>
            <w:shd w:val="clear" w:color="auto" w:fill="auto"/>
            <w:noWrap/>
            <w:vAlign w:val="center"/>
          </w:tcPr>
          <w:p w14:paraId="1804345A" w14:textId="4101891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59.54</w:t>
            </w:r>
          </w:p>
        </w:tc>
        <w:tc>
          <w:tcPr>
            <w:tcW w:w="642" w:type="dxa"/>
            <w:shd w:val="clear" w:color="auto" w:fill="auto"/>
            <w:noWrap/>
            <w:vAlign w:val="center"/>
          </w:tcPr>
          <w:p w14:paraId="74590F00" w14:textId="1F9E52B4" w:rsidR="002334F9" w:rsidRPr="00494F10"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494F10">
              <w:rPr>
                <w:rFonts w:ascii="Times New Roman" w:hAnsi="Times New Roman" w:cs="Times New Roman"/>
                <w:b/>
                <w:color w:val="000000"/>
                <w:sz w:val="16"/>
                <w:szCs w:val="16"/>
              </w:rPr>
              <w:t>0.02</w:t>
            </w:r>
            <w:r w:rsidR="00494F10" w:rsidRPr="00494F10">
              <w:rPr>
                <w:rFonts w:ascii="Times New Roman" w:hAnsi="Times New Roman" w:cs="Times New Roman"/>
                <w:b/>
                <w:color w:val="000000"/>
                <w:sz w:val="16"/>
                <w:szCs w:val="16"/>
              </w:rPr>
              <w:t>1</w:t>
            </w:r>
          </w:p>
        </w:tc>
      </w:tr>
      <w:tr w:rsidR="002334F9" w:rsidRPr="005950D1" w14:paraId="1199C41C" w14:textId="77777777" w:rsidTr="00494F10">
        <w:trPr>
          <w:trHeight w:val="288"/>
          <w:jc w:val="center"/>
        </w:trPr>
        <w:tc>
          <w:tcPr>
            <w:tcW w:w="1075" w:type="dxa"/>
            <w:shd w:val="clear" w:color="auto" w:fill="auto"/>
            <w:noWrap/>
            <w:vAlign w:val="center"/>
            <w:hideMark/>
          </w:tcPr>
          <w:p w14:paraId="2383550B"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00624258" w14:textId="174386E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-0.0301</w:t>
            </w:r>
          </w:p>
        </w:tc>
        <w:tc>
          <w:tcPr>
            <w:tcW w:w="1335" w:type="dxa"/>
            <w:vAlign w:val="center"/>
          </w:tcPr>
          <w:p w14:paraId="5497D80C" w14:textId="212880A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-0.375</w:t>
            </w:r>
            <w:r w:rsidR="007B33CE">
              <w:rPr>
                <w:rFonts w:ascii="Times New Roman" w:hAnsi="Times New Roman" w:cs="Times New Roman"/>
                <w:color w:val="000000"/>
                <w:sz w:val="16"/>
                <w:szCs w:val="16"/>
              </w:rPr>
              <w:t>8</w:t>
            </w:r>
          </w:p>
        </w:tc>
        <w:tc>
          <w:tcPr>
            <w:tcW w:w="1453" w:type="dxa"/>
            <w:vAlign w:val="center"/>
          </w:tcPr>
          <w:p w14:paraId="60483966" w14:textId="2EC06BB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0.315</w:t>
            </w:r>
            <w:r w:rsidR="007B33CE">
              <w:rPr>
                <w:rFonts w:ascii="Times New Roman" w:hAnsi="Times New Roman" w:cs="Times New Roman"/>
                <w:color w:val="000000"/>
                <w:sz w:val="16"/>
                <w:szCs w:val="16"/>
              </w:rPr>
              <w:t>5</w:t>
            </w:r>
          </w:p>
        </w:tc>
        <w:tc>
          <w:tcPr>
            <w:tcW w:w="1453" w:type="dxa"/>
            <w:shd w:val="clear" w:color="auto" w:fill="auto"/>
            <w:noWrap/>
            <w:vAlign w:val="center"/>
          </w:tcPr>
          <w:p w14:paraId="4DCEDBA4" w14:textId="1F89179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0.087</w:t>
            </w:r>
            <w:r w:rsidR="007B33CE">
              <w:rPr>
                <w:rFonts w:ascii="Times New Roman" w:hAnsi="Times New Roman" w:cs="Times New Roman"/>
                <w:color w:val="000000"/>
                <w:sz w:val="16"/>
                <w:szCs w:val="16"/>
              </w:rPr>
              <w:t>3</w:t>
            </w:r>
          </w:p>
        </w:tc>
        <w:tc>
          <w:tcPr>
            <w:tcW w:w="754" w:type="dxa"/>
            <w:shd w:val="clear" w:color="auto" w:fill="auto"/>
            <w:noWrap/>
            <w:vAlign w:val="center"/>
          </w:tcPr>
          <w:p w14:paraId="13CCF766" w14:textId="34183EF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0.24</w:t>
            </w:r>
          </w:p>
        </w:tc>
        <w:tc>
          <w:tcPr>
            <w:tcW w:w="865" w:type="dxa"/>
            <w:shd w:val="clear" w:color="auto" w:fill="auto"/>
            <w:noWrap/>
            <w:vAlign w:val="center"/>
          </w:tcPr>
          <w:p w14:paraId="393BCF35" w14:textId="3CC5C74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69.70</w:t>
            </w:r>
          </w:p>
        </w:tc>
        <w:tc>
          <w:tcPr>
            <w:tcW w:w="642" w:type="dxa"/>
            <w:shd w:val="clear" w:color="auto" w:fill="auto"/>
            <w:noWrap/>
            <w:vAlign w:val="center"/>
          </w:tcPr>
          <w:p w14:paraId="46890536" w14:textId="716C204C" w:rsidR="002334F9" w:rsidRPr="005950D1" w:rsidRDefault="00494F10" w:rsidP="005950D1">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2334F9" w:rsidRPr="005950D1" w14:paraId="66525243" w14:textId="77777777" w:rsidTr="00494F10">
        <w:trPr>
          <w:trHeight w:val="288"/>
          <w:jc w:val="center"/>
        </w:trPr>
        <w:tc>
          <w:tcPr>
            <w:tcW w:w="1075" w:type="dxa"/>
            <w:shd w:val="clear" w:color="auto" w:fill="auto"/>
            <w:noWrap/>
            <w:vAlign w:val="center"/>
            <w:hideMark/>
          </w:tcPr>
          <w:p w14:paraId="53051154"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476B556" w14:textId="3CAEFE9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-0.207</w:t>
            </w:r>
            <w:r w:rsidR="007B33CE">
              <w:rPr>
                <w:rFonts w:ascii="Times New Roman" w:hAnsi="Times New Roman" w:cs="Times New Roman"/>
                <w:color w:val="000000"/>
                <w:sz w:val="16"/>
                <w:szCs w:val="16"/>
              </w:rPr>
              <w:t>5</w:t>
            </w:r>
          </w:p>
        </w:tc>
        <w:tc>
          <w:tcPr>
            <w:tcW w:w="1335" w:type="dxa"/>
            <w:vAlign w:val="center"/>
          </w:tcPr>
          <w:p w14:paraId="59175458" w14:textId="050B062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-0.537</w:t>
            </w:r>
            <w:r w:rsidR="007B33CE">
              <w:rPr>
                <w:rFonts w:ascii="Times New Roman" w:hAnsi="Times New Roman" w:cs="Times New Roman"/>
                <w:color w:val="000000"/>
                <w:sz w:val="16"/>
                <w:szCs w:val="16"/>
              </w:rPr>
              <w:t>6</w:t>
            </w:r>
          </w:p>
        </w:tc>
        <w:tc>
          <w:tcPr>
            <w:tcW w:w="1453" w:type="dxa"/>
            <w:vAlign w:val="center"/>
          </w:tcPr>
          <w:p w14:paraId="6F0BA555" w14:textId="1743CCF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0.1226</w:t>
            </w:r>
          </w:p>
        </w:tc>
        <w:tc>
          <w:tcPr>
            <w:tcW w:w="1453" w:type="dxa"/>
            <w:shd w:val="clear" w:color="auto" w:fill="auto"/>
            <w:noWrap/>
            <w:vAlign w:val="center"/>
          </w:tcPr>
          <w:p w14:paraId="2CD2A744" w14:textId="7A134DC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0.0829</w:t>
            </w:r>
          </w:p>
        </w:tc>
        <w:tc>
          <w:tcPr>
            <w:tcW w:w="754" w:type="dxa"/>
            <w:shd w:val="clear" w:color="auto" w:fill="auto"/>
            <w:noWrap/>
            <w:vAlign w:val="center"/>
          </w:tcPr>
          <w:p w14:paraId="28679912" w14:textId="40EC817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1.7</w:t>
            </w:r>
            <w:r w:rsidR="00494F10">
              <w:rPr>
                <w:rFonts w:ascii="Times New Roman" w:hAnsi="Times New Roman" w:cs="Times New Roman"/>
                <w:color w:val="000000"/>
                <w:sz w:val="16"/>
                <w:szCs w:val="16"/>
              </w:rPr>
              <w:t>7</w:t>
            </w:r>
          </w:p>
        </w:tc>
        <w:tc>
          <w:tcPr>
            <w:tcW w:w="865" w:type="dxa"/>
            <w:shd w:val="clear" w:color="auto" w:fill="auto"/>
            <w:noWrap/>
            <w:vAlign w:val="center"/>
          </w:tcPr>
          <w:p w14:paraId="29681850" w14:textId="6E4123A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w:t>
            </w:r>
            <w:r w:rsidR="00494F10">
              <w:rPr>
                <w:rFonts w:ascii="Times New Roman" w:hAnsi="Times New Roman" w:cs="Times New Roman"/>
                <w:color w:val="000000"/>
                <w:sz w:val="16"/>
                <w:szCs w:val="16"/>
              </w:rPr>
              <w:t>9.00</w:t>
            </w:r>
          </w:p>
        </w:tc>
        <w:tc>
          <w:tcPr>
            <w:tcW w:w="642" w:type="dxa"/>
            <w:shd w:val="clear" w:color="auto" w:fill="auto"/>
            <w:noWrap/>
            <w:vAlign w:val="center"/>
          </w:tcPr>
          <w:p w14:paraId="19798790" w14:textId="356E52A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0.40</w:t>
            </w:r>
          </w:p>
        </w:tc>
      </w:tr>
      <w:tr w:rsidR="002334F9" w:rsidRPr="005950D1" w14:paraId="20CD9A4B" w14:textId="77777777" w:rsidTr="00494F10">
        <w:trPr>
          <w:trHeight w:val="288"/>
          <w:jc w:val="center"/>
        </w:trPr>
        <w:tc>
          <w:tcPr>
            <w:tcW w:w="1075" w:type="dxa"/>
            <w:shd w:val="clear" w:color="auto" w:fill="auto"/>
            <w:noWrap/>
            <w:vAlign w:val="center"/>
            <w:hideMark/>
          </w:tcPr>
          <w:p w14:paraId="7F2AC1F5"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265FCA3E" w14:textId="2069ECC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-0.1773</w:t>
            </w:r>
          </w:p>
        </w:tc>
        <w:tc>
          <w:tcPr>
            <w:tcW w:w="1335" w:type="dxa"/>
            <w:vAlign w:val="center"/>
          </w:tcPr>
          <w:p w14:paraId="43DE7847" w14:textId="501D750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-0.510</w:t>
            </w:r>
            <w:r w:rsidR="007B33CE">
              <w:rPr>
                <w:rFonts w:ascii="Times New Roman" w:hAnsi="Times New Roman" w:cs="Times New Roman"/>
                <w:color w:val="000000"/>
                <w:sz w:val="16"/>
                <w:szCs w:val="16"/>
              </w:rPr>
              <w:t>3</w:t>
            </w:r>
          </w:p>
        </w:tc>
        <w:tc>
          <w:tcPr>
            <w:tcW w:w="1453" w:type="dxa"/>
            <w:vAlign w:val="center"/>
          </w:tcPr>
          <w:p w14:paraId="48B907C5" w14:textId="4C8DEE2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0.1556</w:t>
            </w:r>
          </w:p>
        </w:tc>
        <w:tc>
          <w:tcPr>
            <w:tcW w:w="1453" w:type="dxa"/>
            <w:shd w:val="clear" w:color="auto" w:fill="auto"/>
            <w:noWrap/>
            <w:vAlign w:val="center"/>
          </w:tcPr>
          <w:p w14:paraId="7D6BF172" w14:textId="75A6295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0.0839</w:t>
            </w:r>
          </w:p>
        </w:tc>
        <w:tc>
          <w:tcPr>
            <w:tcW w:w="754" w:type="dxa"/>
            <w:shd w:val="clear" w:color="auto" w:fill="auto"/>
            <w:noWrap/>
            <w:vAlign w:val="center"/>
          </w:tcPr>
          <w:p w14:paraId="311A9D4C" w14:textId="00A9FE1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1.49</w:t>
            </w:r>
          </w:p>
        </w:tc>
        <w:tc>
          <w:tcPr>
            <w:tcW w:w="865" w:type="dxa"/>
            <w:shd w:val="clear" w:color="auto" w:fill="auto"/>
            <w:noWrap/>
            <w:vAlign w:val="center"/>
          </w:tcPr>
          <w:p w14:paraId="65114240" w14:textId="459C531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64.72</w:t>
            </w:r>
          </w:p>
        </w:tc>
        <w:tc>
          <w:tcPr>
            <w:tcW w:w="642" w:type="dxa"/>
            <w:shd w:val="clear" w:color="auto" w:fill="auto"/>
            <w:noWrap/>
            <w:vAlign w:val="center"/>
          </w:tcPr>
          <w:p w14:paraId="622782B1" w14:textId="7AFB2AF5"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w:t>
            </w:r>
            <w:r w:rsidR="00494F10">
              <w:rPr>
                <w:rFonts w:ascii="Times New Roman" w:hAnsi="Times New Roman" w:cs="Times New Roman"/>
                <w:color w:val="000000"/>
                <w:sz w:val="16"/>
                <w:szCs w:val="16"/>
              </w:rPr>
              <w:t>7</w:t>
            </w:r>
          </w:p>
        </w:tc>
      </w:tr>
    </w:tbl>
    <w:p w14:paraId="51DEDFE4" w14:textId="77777777" w:rsidR="008843FD" w:rsidRDefault="008843FD">
      <w:pPr>
        <w:rPr>
          <w:rFonts w:ascii="Times New Roman" w:hAnsi="Times New Roman" w:cs="Times New Roman"/>
          <w:b/>
          <w:sz w:val="24"/>
          <w:szCs w:val="24"/>
          <w:lang w:val="en-US"/>
        </w:rPr>
      </w:pPr>
    </w:p>
    <w:p w14:paraId="06A51B35" w14:textId="4EB33E54"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5s. Sodium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6D0FD5" w14:paraId="19EC93FB" w14:textId="77777777" w:rsidTr="00595EEA">
        <w:trPr>
          <w:trHeight w:val="300"/>
          <w:jc w:val="center"/>
        </w:trPr>
        <w:tc>
          <w:tcPr>
            <w:tcW w:w="9017" w:type="dxa"/>
            <w:gridSpan w:val="4"/>
            <w:shd w:val="clear" w:color="auto" w:fill="auto"/>
            <w:noWrap/>
            <w:vAlign w:val="center"/>
          </w:tcPr>
          <w:p w14:paraId="4BC68517" w14:textId="0ED0D6CA" w:rsidR="008843FD" w:rsidRPr="004A34A2" w:rsidRDefault="004A34A2" w:rsidP="00595EEA">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595EEA" w14:paraId="6207879D" w14:textId="77777777" w:rsidTr="001A2F55">
        <w:trPr>
          <w:trHeight w:val="300"/>
          <w:jc w:val="center"/>
        </w:trPr>
        <w:tc>
          <w:tcPr>
            <w:tcW w:w="6756" w:type="dxa"/>
            <w:vMerge w:val="restart"/>
            <w:shd w:val="clear" w:color="auto" w:fill="auto"/>
            <w:noWrap/>
            <w:vAlign w:val="center"/>
          </w:tcPr>
          <w:p w14:paraId="61B40ECD" w14:textId="77777777" w:rsidR="005462EA" w:rsidRPr="004A34A2"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3A8AF2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9536AF8"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03B67BC"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4409392F" w14:textId="77777777" w:rsidTr="001A2F55">
        <w:trPr>
          <w:trHeight w:val="300"/>
          <w:jc w:val="center"/>
        </w:trPr>
        <w:tc>
          <w:tcPr>
            <w:tcW w:w="6756" w:type="dxa"/>
            <w:vMerge/>
            <w:shd w:val="clear" w:color="auto" w:fill="auto"/>
            <w:noWrap/>
            <w:vAlign w:val="center"/>
          </w:tcPr>
          <w:p w14:paraId="35F5CE57"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1F9B300" w14:textId="49E1EF14"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1.75</w:t>
            </w:r>
          </w:p>
        </w:tc>
        <w:tc>
          <w:tcPr>
            <w:tcW w:w="865" w:type="dxa"/>
            <w:shd w:val="clear" w:color="auto" w:fill="auto"/>
            <w:noWrap/>
            <w:vAlign w:val="center"/>
          </w:tcPr>
          <w:p w14:paraId="7B36BEC8" w14:textId="346361BA"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7E41F963" w14:textId="7DBF56E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0.14</w:t>
            </w:r>
          </w:p>
        </w:tc>
      </w:tr>
      <w:tr w:rsidR="00A00C37" w:rsidRPr="006D0FD5" w14:paraId="42818391" w14:textId="77777777" w:rsidTr="00595EEA">
        <w:trPr>
          <w:trHeight w:val="300"/>
          <w:jc w:val="center"/>
        </w:trPr>
        <w:tc>
          <w:tcPr>
            <w:tcW w:w="9017" w:type="dxa"/>
            <w:gridSpan w:val="4"/>
            <w:shd w:val="clear" w:color="auto" w:fill="auto"/>
            <w:noWrap/>
            <w:vAlign w:val="center"/>
          </w:tcPr>
          <w:p w14:paraId="0E21D1FD" w14:textId="28983130" w:rsidR="00A00C37" w:rsidRPr="00595EEA" w:rsidRDefault="00A00C37"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assuming equal variances</w:t>
            </w:r>
          </w:p>
        </w:tc>
      </w:tr>
      <w:tr w:rsidR="005462EA" w:rsidRPr="00595EEA" w14:paraId="02D76C2A" w14:textId="77777777" w:rsidTr="001A2F55">
        <w:trPr>
          <w:trHeight w:val="300"/>
          <w:jc w:val="center"/>
        </w:trPr>
        <w:tc>
          <w:tcPr>
            <w:tcW w:w="6756" w:type="dxa"/>
            <w:vMerge w:val="restart"/>
            <w:shd w:val="clear" w:color="auto" w:fill="auto"/>
            <w:noWrap/>
            <w:vAlign w:val="center"/>
          </w:tcPr>
          <w:p w14:paraId="737B8748"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501BC2E" w14:textId="707F5CEF"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E9D27A0" w14:textId="611D339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E05E2B7" w14:textId="3850D796"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219C05B4" w14:textId="77777777" w:rsidTr="001A2F55">
        <w:trPr>
          <w:trHeight w:val="300"/>
          <w:jc w:val="center"/>
        </w:trPr>
        <w:tc>
          <w:tcPr>
            <w:tcW w:w="6756" w:type="dxa"/>
            <w:vMerge/>
            <w:shd w:val="clear" w:color="auto" w:fill="auto"/>
            <w:noWrap/>
            <w:vAlign w:val="center"/>
          </w:tcPr>
          <w:p w14:paraId="4EA3A3CF"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6D01A88" w14:textId="6616746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0.887</w:t>
            </w:r>
          </w:p>
        </w:tc>
        <w:tc>
          <w:tcPr>
            <w:tcW w:w="865" w:type="dxa"/>
            <w:shd w:val="clear" w:color="auto" w:fill="auto"/>
            <w:noWrap/>
            <w:vAlign w:val="center"/>
          </w:tcPr>
          <w:p w14:paraId="2896C78C" w14:textId="6B729357"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4, 208</w:t>
            </w:r>
          </w:p>
        </w:tc>
        <w:tc>
          <w:tcPr>
            <w:tcW w:w="642" w:type="dxa"/>
            <w:shd w:val="clear" w:color="auto" w:fill="auto"/>
            <w:noWrap/>
            <w:vAlign w:val="center"/>
          </w:tcPr>
          <w:p w14:paraId="3B720E51" w14:textId="3B1497D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0.47</w:t>
            </w:r>
          </w:p>
        </w:tc>
      </w:tr>
      <w:tr w:rsidR="008843FD" w:rsidRPr="006D0FD5" w14:paraId="27B3EAC0" w14:textId="77777777" w:rsidTr="00595EEA">
        <w:trPr>
          <w:trHeight w:val="300"/>
          <w:jc w:val="center"/>
        </w:trPr>
        <w:tc>
          <w:tcPr>
            <w:tcW w:w="9017" w:type="dxa"/>
            <w:gridSpan w:val="4"/>
            <w:shd w:val="clear" w:color="auto" w:fill="auto"/>
            <w:noWrap/>
            <w:vAlign w:val="center"/>
          </w:tcPr>
          <w:p w14:paraId="30E3A168" w14:textId="350634F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EEA" w14:paraId="6E154E6D" w14:textId="77777777" w:rsidTr="001A2F55">
        <w:trPr>
          <w:trHeight w:val="300"/>
          <w:jc w:val="center"/>
        </w:trPr>
        <w:tc>
          <w:tcPr>
            <w:tcW w:w="6756" w:type="dxa"/>
            <w:vMerge w:val="restart"/>
            <w:shd w:val="clear" w:color="auto" w:fill="auto"/>
            <w:noWrap/>
            <w:vAlign w:val="center"/>
          </w:tcPr>
          <w:p w14:paraId="61C83F8B"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3A8FE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13AFC460"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90D4B7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4EBD4636" w14:textId="77777777" w:rsidTr="001A2F55">
        <w:trPr>
          <w:trHeight w:val="300"/>
          <w:jc w:val="center"/>
        </w:trPr>
        <w:tc>
          <w:tcPr>
            <w:tcW w:w="6756" w:type="dxa"/>
            <w:vMerge/>
            <w:shd w:val="clear" w:color="auto" w:fill="auto"/>
            <w:noWrap/>
            <w:vAlign w:val="center"/>
          </w:tcPr>
          <w:p w14:paraId="3981AD6D"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EE70E82" w14:textId="6FD1853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1.24</w:t>
            </w:r>
          </w:p>
        </w:tc>
        <w:tc>
          <w:tcPr>
            <w:tcW w:w="865" w:type="dxa"/>
            <w:shd w:val="clear" w:color="auto" w:fill="auto"/>
            <w:noWrap/>
            <w:vAlign w:val="center"/>
          </w:tcPr>
          <w:p w14:paraId="412457E2" w14:textId="1B6D9B5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4, 80.51</w:t>
            </w:r>
          </w:p>
        </w:tc>
        <w:tc>
          <w:tcPr>
            <w:tcW w:w="642" w:type="dxa"/>
            <w:shd w:val="clear" w:color="auto" w:fill="auto"/>
            <w:noWrap/>
            <w:vAlign w:val="center"/>
          </w:tcPr>
          <w:p w14:paraId="2A4C5DF5" w14:textId="2FAD131B"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0.30</w:t>
            </w:r>
          </w:p>
        </w:tc>
      </w:tr>
    </w:tbl>
    <w:p w14:paraId="7377FAEB" w14:textId="77777777" w:rsidR="008843FD" w:rsidRDefault="008843FD">
      <w:pPr>
        <w:rPr>
          <w:rFonts w:ascii="Times New Roman" w:hAnsi="Times New Roman" w:cs="Times New Roman"/>
          <w:b/>
          <w:sz w:val="24"/>
          <w:szCs w:val="24"/>
          <w:lang w:val="en-US"/>
        </w:rPr>
      </w:pPr>
    </w:p>
    <w:p w14:paraId="3698F93C" w14:textId="77777777" w:rsidR="00595EEA" w:rsidRDefault="00595EE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280854" w14:textId="6D3C1FB3"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5t. Nitrate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720"/>
        <w:gridCol w:w="810"/>
        <w:gridCol w:w="922"/>
      </w:tblGrid>
      <w:tr w:rsidR="008843FD" w:rsidRPr="006D0FD5" w14:paraId="1DB37358" w14:textId="77777777" w:rsidTr="00595EEA">
        <w:trPr>
          <w:trHeight w:val="300"/>
          <w:jc w:val="center"/>
        </w:trPr>
        <w:tc>
          <w:tcPr>
            <w:tcW w:w="9017" w:type="dxa"/>
            <w:gridSpan w:val="8"/>
            <w:shd w:val="clear" w:color="auto" w:fill="auto"/>
            <w:noWrap/>
            <w:vAlign w:val="center"/>
          </w:tcPr>
          <w:p w14:paraId="277063DA" w14:textId="677D5C38" w:rsidR="008843FD" w:rsidRPr="004A34A2" w:rsidRDefault="004A34A2" w:rsidP="00595EEA">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595EEA" w14:paraId="51D0A038" w14:textId="77777777" w:rsidTr="001A2F55">
        <w:trPr>
          <w:trHeight w:val="300"/>
          <w:jc w:val="center"/>
        </w:trPr>
        <w:tc>
          <w:tcPr>
            <w:tcW w:w="6565" w:type="dxa"/>
            <w:gridSpan w:val="5"/>
            <w:vMerge w:val="restart"/>
            <w:shd w:val="clear" w:color="auto" w:fill="auto"/>
            <w:noWrap/>
            <w:vAlign w:val="center"/>
          </w:tcPr>
          <w:p w14:paraId="74641430" w14:textId="77777777" w:rsidR="005462EA" w:rsidRPr="004A34A2"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3E67635C"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1F5B85E2"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152BF13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5227FF9C" w14:textId="77777777" w:rsidTr="001A2F55">
        <w:trPr>
          <w:trHeight w:val="300"/>
          <w:jc w:val="center"/>
        </w:trPr>
        <w:tc>
          <w:tcPr>
            <w:tcW w:w="6565" w:type="dxa"/>
            <w:gridSpan w:val="5"/>
            <w:vMerge/>
            <w:shd w:val="clear" w:color="auto" w:fill="auto"/>
            <w:noWrap/>
            <w:vAlign w:val="center"/>
          </w:tcPr>
          <w:p w14:paraId="4CE6C6D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4C66278D" w14:textId="30C879B1"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1.89</w:t>
            </w:r>
          </w:p>
        </w:tc>
        <w:tc>
          <w:tcPr>
            <w:tcW w:w="810" w:type="dxa"/>
            <w:shd w:val="clear" w:color="auto" w:fill="auto"/>
            <w:noWrap/>
            <w:vAlign w:val="center"/>
          </w:tcPr>
          <w:p w14:paraId="02DC97A7" w14:textId="7A62BA4B"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4, 262</w:t>
            </w:r>
          </w:p>
        </w:tc>
        <w:tc>
          <w:tcPr>
            <w:tcW w:w="922" w:type="dxa"/>
            <w:shd w:val="clear" w:color="auto" w:fill="auto"/>
            <w:noWrap/>
            <w:vAlign w:val="center"/>
          </w:tcPr>
          <w:p w14:paraId="63B281BC" w14:textId="4606814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0.11</w:t>
            </w:r>
          </w:p>
        </w:tc>
      </w:tr>
      <w:tr w:rsidR="00706922" w:rsidRPr="006D0FD5" w14:paraId="341AB9A4" w14:textId="77777777" w:rsidTr="00595EEA">
        <w:trPr>
          <w:trHeight w:val="300"/>
          <w:jc w:val="center"/>
        </w:trPr>
        <w:tc>
          <w:tcPr>
            <w:tcW w:w="9017" w:type="dxa"/>
            <w:gridSpan w:val="8"/>
            <w:shd w:val="clear" w:color="auto" w:fill="auto"/>
            <w:noWrap/>
            <w:vAlign w:val="center"/>
          </w:tcPr>
          <w:p w14:paraId="31195691" w14:textId="6692C13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assuming equal variances</w:t>
            </w:r>
          </w:p>
        </w:tc>
      </w:tr>
      <w:tr w:rsidR="005462EA" w:rsidRPr="00595EEA" w14:paraId="217C9123" w14:textId="77777777" w:rsidTr="001A2F55">
        <w:trPr>
          <w:trHeight w:val="300"/>
          <w:jc w:val="center"/>
        </w:trPr>
        <w:tc>
          <w:tcPr>
            <w:tcW w:w="6565" w:type="dxa"/>
            <w:gridSpan w:val="5"/>
            <w:vMerge w:val="restart"/>
            <w:shd w:val="clear" w:color="auto" w:fill="auto"/>
            <w:noWrap/>
            <w:vAlign w:val="center"/>
          </w:tcPr>
          <w:p w14:paraId="46B30A2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5D99AD3F" w14:textId="439C942D"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6B98285E" w14:textId="68ED5E9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4751A039" w14:textId="75526AF8"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p</w:t>
            </w:r>
          </w:p>
        </w:tc>
      </w:tr>
      <w:tr w:rsidR="005462EA" w:rsidRPr="00C6556F" w14:paraId="30577389" w14:textId="77777777" w:rsidTr="001A2F55">
        <w:trPr>
          <w:trHeight w:val="300"/>
          <w:jc w:val="center"/>
        </w:trPr>
        <w:tc>
          <w:tcPr>
            <w:tcW w:w="6565" w:type="dxa"/>
            <w:gridSpan w:val="5"/>
            <w:vMerge/>
            <w:shd w:val="clear" w:color="auto" w:fill="auto"/>
            <w:noWrap/>
            <w:vAlign w:val="center"/>
          </w:tcPr>
          <w:p w14:paraId="10954DFF"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4ADDD76C" w14:textId="596046D8"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8.31</w:t>
            </w:r>
          </w:p>
        </w:tc>
        <w:tc>
          <w:tcPr>
            <w:tcW w:w="810" w:type="dxa"/>
            <w:shd w:val="clear" w:color="auto" w:fill="auto"/>
            <w:noWrap/>
            <w:vAlign w:val="center"/>
          </w:tcPr>
          <w:p w14:paraId="3B9E3562" w14:textId="5C57C47C"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4, 262</w:t>
            </w:r>
          </w:p>
        </w:tc>
        <w:tc>
          <w:tcPr>
            <w:tcW w:w="922" w:type="dxa"/>
            <w:shd w:val="clear" w:color="auto" w:fill="auto"/>
            <w:noWrap/>
            <w:vAlign w:val="center"/>
          </w:tcPr>
          <w:p w14:paraId="3F72C0B3" w14:textId="08C6A626" w:rsidR="005462EA" w:rsidRPr="00C6556F" w:rsidRDefault="005462EA" w:rsidP="00595EEA">
            <w:pPr>
              <w:spacing w:after="0" w:line="240" w:lineRule="auto"/>
              <w:jc w:val="center"/>
              <w:rPr>
                <w:rFonts w:ascii="Times New Roman" w:eastAsia="Times New Roman" w:hAnsi="Times New Roman" w:cs="Times New Roman"/>
                <w:b/>
                <w:color w:val="000000"/>
                <w:sz w:val="16"/>
                <w:szCs w:val="16"/>
                <w:lang w:val="en-US" w:eastAsia="de-DE"/>
              </w:rPr>
            </w:pPr>
            <w:r w:rsidRPr="00C6556F">
              <w:rPr>
                <w:rFonts w:ascii="Times New Roman" w:eastAsia="Times New Roman" w:hAnsi="Times New Roman" w:cs="Times New Roman"/>
                <w:b/>
                <w:color w:val="000000"/>
                <w:sz w:val="16"/>
                <w:szCs w:val="16"/>
                <w:lang w:val="en-US" w:eastAsia="de-DE"/>
              </w:rPr>
              <w:t>2.5</w:t>
            </w:r>
            <w:r w:rsidRPr="00C6556F">
              <w:rPr>
                <w:rFonts w:ascii="Times New Roman" w:hAnsi="Times New Roman" w:cs="Times New Roman"/>
                <w:b/>
                <w:color w:val="000000"/>
                <w:sz w:val="16"/>
                <w:szCs w:val="16"/>
              </w:rPr>
              <w:t xml:space="preserve"> x 10</w:t>
            </w:r>
            <w:r w:rsidRPr="00C6556F">
              <w:rPr>
                <w:rFonts w:ascii="Times New Roman" w:hAnsi="Times New Roman" w:cs="Times New Roman"/>
                <w:b/>
                <w:color w:val="000000"/>
                <w:sz w:val="16"/>
                <w:szCs w:val="16"/>
                <w:vertAlign w:val="superscript"/>
              </w:rPr>
              <w:t>-6</w:t>
            </w:r>
          </w:p>
        </w:tc>
      </w:tr>
      <w:tr w:rsidR="008843FD" w:rsidRPr="006D0FD5" w14:paraId="23EB611B" w14:textId="77777777" w:rsidTr="00595EEA">
        <w:trPr>
          <w:trHeight w:val="300"/>
          <w:jc w:val="center"/>
        </w:trPr>
        <w:tc>
          <w:tcPr>
            <w:tcW w:w="9017" w:type="dxa"/>
            <w:gridSpan w:val="8"/>
            <w:shd w:val="clear" w:color="auto" w:fill="auto"/>
            <w:noWrap/>
            <w:vAlign w:val="center"/>
          </w:tcPr>
          <w:p w14:paraId="6385ED3E" w14:textId="04F62A2A"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EEA" w14:paraId="12B581DC" w14:textId="77777777" w:rsidTr="001A2F55">
        <w:trPr>
          <w:trHeight w:val="300"/>
          <w:jc w:val="center"/>
        </w:trPr>
        <w:tc>
          <w:tcPr>
            <w:tcW w:w="6565" w:type="dxa"/>
            <w:gridSpan w:val="5"/>
            <w:vMerge w:val="restart"/>
            <w:shd w:val="clear" w:color="auto" w:fill="auto"/>
            <w:noWrap/>
            <w:vAlign w:val="center"/>
          </w:tcPr>
          <w:p w14:paraId="17F4BA7A"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2A2A00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53E11D5B"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7E300179" w14:textId="1064D8B0"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2E066A9C" w14:textId="77777777" w:rsidTr="001A2F55">
        <w:trPr>
          <w:trHeight w:val="300"/>
          <w:jc w:val="center"/>
        </w:trPr>
        <w:tc>
          <w:tcPr>
            <w:tcW w:w="6565" w:type="dxa"/>
            <w:gridSpan w:val="5"/>
            <w:vMerge/>
            <w:shd w:val="clear" w:color="auto" w:fill="auto"/>
            <w:noWrap/>
            <w:vAlign w:val="center"/>
          </w:tcPr>
          <w:p w14:paraId="04A509F7"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4A7C0BB7" w14:textId="247F3449"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8.87</w:t>
            </w:r>
          </w:p>
        </w:tc>
        <w:tc>
          <w:tcPr>
            <w:tcW w:w="810" w:type="dxa"/>
            <w:shd w:val="clear" w:color="auto" w:fill="auto"/>
            <w:noWrap/>
            <w:vAlign w:val="center"/>
          </w:tcPr>
          <w:p w14:paraId="13DA5429" w14:textId="5CC5CB64"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4, 111.05</w:t>
            </w:r>
          </w:p>
        </w:tc>
        <w:tc>
          <w:tcPr>
            <w:tcW w:w="922" w:type="dxa"/>
            <w:shd w:val="clear" w:color="auto" w:fill="auto"/>
            <w:noWrap/>
            <w:vAlign w:val="center"/>
          </w:tcPr>
          <w:p w14:paraId="39DB52DB" w14:textId="305490E0" w:rsidR="005462EA" w:rsidRPr="00C6556F" w:rsidRDefault="005462EA"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eastAsia="Times New Roman" w:hAnsi="Times New Roman" w:cs="Times New Roman"/>
                <w:b/>
                <w:color w:val="000000"/>
                <w:sz w:val="16"/>
                <w:szCs w:val="16"/>
                <w:lang w:eastAsia="de-DE"/>
              </w:rPr>
              <w:t>3.0</w:t>
            </w:r>
            <w:r w:rsidRPr="00C6556F">
              <w:rPr>
                <w:rFonts w:ascii="Times New Roman" w:hAnsi="Times New Roman" w:cs="Times New Roman"/>
                <w:b/>
                <w:color w:val="000000"/>
                <w:sz w:val="16"/>
                <w:szCs w:val="16"/>
              </w:rPr>
              <w:t xml:space="preserve"> x 10</w:t>
            </w:r>
            <w:r w:rsidRPr="00C6556F">
              <w:rPr>
                <w:rFonts w:ascii="Times New Roman" w:hAnsi="Times New Roman" w:cs="Times New Roman"/>
                <w:b/>
                <w:color w:val="000000"/>
                <w:sz w:val="16"/>
                <w:szCs w:val="16"/>
                <w:vertAlign w:val="superscript"/>
              </w:rPr>
              <w:t>-6</w:t>
            </w:r>
          </w:p>
        </w:tc>
      </w:tr>
      <w:tr w:rsidR="008843FD" w:rsidRPr="006D0FD5" w14:paraId="4B1177B4" w14:textId="77777777" w:rsidTr="00595EEA">
        <w:trPr>
          <w:trHeight w:val="300"/>
          <w:jc w:val="center"/>
        </w:trPr>
        <w:tc>
          <w:tcPr>
            <w:tcW w:w="9017" w:type="dxa"/>
            <w:gridSpan w:val="8"/>
            <w:shd w:val="clear" w:color="auto" w:fill="auto"/>
            <w:noWrap/>
            <w:vAlign w:val="center"/>
          </w:tcPr>
          <w:p w14:paraId="4734AE59"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95EEA" w14:paraId="300B45D8" w14:textId="77777777" w:rsidTr="00595EEA">
        <w:trPr>
          <w:trHeight w:val="300"/>
          <w:jc w:val="center"/>
        </w:trPr>
        <w:tc>
          <w:tcPr>
            <w:tcW w:w="1075" w:type="dxa"/>
            <w:shd w:val="clear" w:color="auto" w:fill="auto"/>
            <w:noWrap/>
            <w:vAlign w:val="center"/>
            <w:hideMark/>
          </w:tcPr>
          <w:p w14:paraId="782A1964" w14:textId="77777777" w:rsidR="008843FD" w:rsidRPr="00595EEA" w:rsidRDefault="008843FD"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21D0BD7" w14:textId="272EC9A4" w:rsidR="008843FD" w:rsidRPr="00595EEA" w:rsidRDefault="0060107F"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Mean difference</w:t>
            </w:r>
          </w:p>
        </w:tc>
        <w:tc>
          <w:tcPr>
            <w:tcW w:w="1335" w:type="dxa"/>
            <w:vAlign w:val="center"/>
          </w:tcPr>
          <w:p w14:paraId="2F5BE9FC" w14:textId="2D00C39D" w:rsidR="008843FD" w:rsidRPr="00595EEA" w:rsidRDefault="001F5588" w:rsidP="00595EEA">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w:t>
            </w:r>
            <w:r w:rsidR="008843FD" w:rsidRPr="00595EEA">
              <w:rPr>
                <w:rFonts w:ascii="Times New Roman" w:eastAsia="Times New Roman" w:hAnsi="Times New Roman" w:cs="Times New Roman"/>
                <w:b/>
                <w:color w:val="000000"/>
                <w:sz w:val="16"/>
                <w:szCs w:val="16"/>
                <w:lang w:eastAsia="de-DE"/>
              </w:rPr>
              <w:t>er 95% CI</w:t>
            </w:r>
          </w:p>
        </w:tc>
        <w:tc>
          <w:tcPr>
            <w:tcW w:w="1453" w:type="dxa"/>
            <w:vAlign w:val="center"/>
          </w:tcPr>
          <w:p w14:paraId="742C28D6" w14:textId="2C416AC8" w:rsidR="008843FD" w:rsidRPr="00595EEA" w:rsidRDefault="001F5588" w:rsidP="00595EEA">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8843FD" w:rsidRPr="00595EEA">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5D2784BD" w14:textId="77777777" w:rsidR="008843FD" w:rsidRPr="00595EEA" w:rsidRDefault="008843FD"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501C2F2F"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644B06D2"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2D51A3F2"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706922" w:rsidRPr="00595EEA" w14:paraId="08B53018" w14:textId="77777777" w:rsidTr="00595EEA">
        <w:trPr>
          <w:trHeight w:val="300"/>
          <w:jc w:val="center"/>
        </w:trPr>
        <w:tc>
          <w:tcPr>
            <w:tcW w:w="1075" w:type="dxa"/>
            <w:shd w:val="clear" w:color="auto" w:fill="auto"/>
            <w:noWrap/>
            <w:vAlign w:val="center"/>
            <w:hideMark/>
          </w:tcPr>
          <w:p w14:paraId="3B833B86"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348F452B" w14:textId="2A28CC2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0.4124</w:t>
            </w:r>
          </w:p>
        </w:tc>
        <w:tc>
          <w:tcPr>
            <w:tcW w:w="1335" w:type="dxa"/>
            <w:vAlign w:val="center"/>
          </w:tcPr>
          <w:p w14:paraId="775D5304" w14:textId="0CFA7673"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-0.20</w:t>
            </w:r>
            <w:r w:rsidR="00595EEA">
              <w:rPr>
                <w:rFonts w:ascii="Times New Roman" w:hAnsi="Times New Roman" w:cs="Times New Roman"/>
                <w:color w:val="000000"/>
                <w:sz w:val="16"/>
                <w:szCs w:val="16"/>
              </w:rPr>
              <w:t>80</w:t>
            </w:r>
          </w:p>
        </w:tc>
        <w:tc>
          <w:tcPr>
            <w:tcW w:w="1453" w:type="dxa"/>
            <w:vAlign w:val="center"/>
          </w:tcPr>
          <w:p w14:paraId="5246BCD5" w14:textId="34022A1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1.032</w:t>
            </w:r>
            <w:r w:rsidR="00595EEA">
              <w:rPr>
                <w:rFonts w:ascii="Times New Roman" w:hAnsi="Times New Roman" w:cs="Times New Roman"/>
                <w:color w:val="000000"/>
                <w:sz w:val="16"/>
                <w:szCs w:val="16"/>
              </w:rPr>
              <w:t>8</w:t>
            </w:r>
          </w:p>
        </w:tc>
        <w:tc>
          <w:tcPr>
            <w:tcW w:w="1262" w:type="dxa"/>
            <w:shd w:val="clear" w:color="auto" w:fill="auto"/>
            <w:noWrap/>
            <w:vAlign w:val="center"/>
          </w:tcPr>
          <w:p w14:paraId="7EC7254C" w14:textId="447FA7A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0.154</w:t>
            </w:r>
            <w:r w:rsidR="00595EEA">
              <w:rPr>
                <w:rFonts w:ascii="Times New Roman" w:hAnsi="Times New Roman" w:cs="Times New Roman"/>
                <w:color w:val="000000"/>
                <w:sz w:val="16"/>
                <w:szCs w:val="16"/>
              </w:rPr>
              <w:t>3</w:t>
            </w:r>
          </w:p>
        </w:tc>
        <w:tc>
          <w:tcPr>
            <w:tcW w:w="720" w:type="dxa"/>
            <w:shd w:val="clear" w:color="auto" w:fill="auto"/>
            <w:noWrap/>
            <w:vAlign w:val="center"/>
          </w:tcPr>
          <w:p w14:paraId="38EEC05B" w14:textId="070EADD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1.89</w:t>
            </w:r>
          </w:p>
        </w:tc>
        <w:tc>
          <w:tcPr>
            <w:tcW w:w="810" w:type="dxa"/>
            <w:shd w:val="clear" w:color="auto" w:fill="auto"/>
            <w:noWrap/>
            <w:vAlign w:val="center"/>
          </w:tcPr>
          <w:p w14:paraId="3A5644B1" w14:textId="79EBB8D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44.3</w:t>
            </w:r>
            <w:r w:rsidR="00595EEA">
              <w:rPr>
                <w:rFonts w:ascii="Times New Roman" w:hAnsi="Times New Roman" w:cs="Times New Roman"/>
                <w:color w:val="000000"/>
                <w:sz w:val="16"/>
                <w:szCs w:val="16"/>
              </w:rPr>
              <w:t>2</w:t>
            </w:r>
          </w:p>
        </w:tc>
        <w:tc>
          <w:tcPr>
            <w:tcW w:w="922" w:type="dxa"/>
            <w:shd w:val="clear" w:color="auto" w:fill="auto"/>
            <w:noWrap/>
            <w:vAlign w:val="center"/>
          </w:tcPr>
          <w:p w14:paraId="1A9607C7" w14:textId="507E390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w:t>
            </w:r>
            <w:r w:rsidR="00595EEA">
              <w:rPr>
                <w:rFonts w:ascii="Times New Roman" w:hAnsi="Times New Roman" w:cs="Times New Roman"/>
                <w:color w:val="000000"/>
                <w:sz w:val="16"/>
                <w:szCs w:val="16"/>
              </w:rPr>
              <w:t>4</w:t>
            </w:r>
          </w:p>
        </w:tc>
      </w:tr>
      <w:tr w:rsidR="00706922" w:rsidRPr="00595EEA" w14:paraId="26975BAA" w14:textId="77777777" w:rsidTr="00595EEA">
        <w:trPr>
          <w:trHeight w:val="300"/>
          <w:jc w:val="center"/>
        </w:trPr>
        <w:tc>
          <w:tcPr>
            <w:tcW w:w="1075" w:type="dxa"/>
            <w:shd w:val="clear" w:color="auto" w:fill="auto"/>
            <w:noWrap/>
            <w:vAlign w:val="center"/>
            <w:hideMark/>
          </w:tcPr>
          <w:p w14:paraId="2A02B12F"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4540ED9" w14:textId="7528D16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w:t>
            </w:r>
            <w:r w:rsidR="00595EEA">
              <w:rPr>
                <w:rFonts w:ascii="Times New Roman" w:hAnsi="Times New Roman" w:cs="Times New Roman"/>
                <w:color w:val="000000"/>
                <w:sz w:val="16"/>
                <w:szCs w:val="16"/>
              </w:rPr>
              <w:t>60</w:t>
            </w:r>
          </w:p>
        </w:tc>
        <w:tc>
          <w:tcPr>
            <w:tcW w:w="1335" w:type="dxa"/>
            <w:vAlign w:val="center"/>
          </w:tcPr>
          <w:p w14:paraId="67CA6C34" w14:textId="159AFA03"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-0.275</w:t>
            </w:r>
            <w:r w:rsidR="00595EEA">
              <w:rPr>
                <w:rFonts w:ascii="Times New Roman" w:hAnsi="Times New Roman" w:cs="Times New Roman"/>
                <w:color w:val="000000"/>
                <w:sz w:val="16"/>
                <w:szCs w:val="16"/>
              </w:rPr>
              <w:t>2</w:t>
            </w:r>
          </w:p>
        </w:tc>
        <w:tc>
          <w:tcPr>
            <w:tcW w:w="1453" w:type="dxa"/>
            <w:vAlign w:val="center"/>
          </w:tcPr>
          <w:p w14:paraId="5BA5EAC5" w14:textId="215E75E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0.5271</w:t>
            </w:r>
          </w:p>
        </w:tc>
        <w:tc>
          <w:tcPr>
            <w:tcW w:w="1262" w:type="dxa"/>
            <w:shd w:val="clear" w:color="auto" w:fill="auto"/>
            <w:noWrap/>
            <w:vAlign w:val="center"/>
          </w:tcPr>
          <w:p w14:paraId="072C6648" w14:textId="119436F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0.1017</w:t>
            </w:r>
          </w:p>
        </w:tc>
        <w:tc>
          <w:tcPr>
            <w:tcW w:w="720" w:type="dxa"/>
            <w:shd w:val="clear" w:color="auto" w:fill="auto"/>
            <w:noWrap/>
            <w:vAlign w:val="center"/>
          </w:tcPr>
          <w:p w14:paraId="4D5C7C0C" w14:textId="78E98B9D"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w:t>
            </w:r>
            <w:r w:rsidR="00595EEA">
              <w:rPr>
                <w:rFonts w:ascii="Times New Roman" w:hAnsi="Times New Roman" w:cs="Times New Roman"/>
                <w:color w:val="000000"/>
                <w:sz w:val="16"/>
                <w:szCs w:val="16"/>
              </w:rPr>
              <w:t>8</w:t>
            </w:r>
          </w:p>
        </w:tc>
        <w:tc>
          <w:tcPr>
            <w:tcW w:w="810" w:type="dxa"/>
            <w:shd w:val="clear" w:color="auto" w:fill="auto"/>
            <w:noWrap/>
            <w:vAlign w:val="center"/>
          </w:tcPr>
          <w:p w14:paraId="700FB26C" w14:textId="496EA0E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82.9</w:t>
            </w:r>
            <w:r w:rsidR="00595EEA">
              <w:rPr>
                <w:rFonts w:ascii="Times New Roman" w:hAnsi="Times New Roman" w:cs="Times New Roman"/>
                <w:color w:val="000000"/>
                <w:sz w:val="16"/>
                <w:szCs w:val="16"/>
              </w:rPr>
              <w:t>8</w:t>
            </w:r>
          </w:p>
        </w:tc>
        <w:tc>
          <w:tcPr>
            <w:tcW w:w="922" w:type="dxa"/>
            <w:shd w:val="clear" w:color="auto" w:fill="auto"/>
            <w:noWrap/>
            <w:vAlign w:val="center"/>
          </w:tcPr>
          <w:p w14:paraId="253CBFD0" w14:textId="3B75A98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w:t>
            </w:r>
            <w:r w:rsidR="00595EEA">
              <w:rPr>
                <w:rFonts w:ascii="Times New Roman" w:hAnsi="Times New Roman" w:cs="Times New Roman"/>
                <w:color w:val="000000"/>
                <w:sz w:val="16"/>
                <w:szCs w:val="16"/>
              </w:rPr>
              <w:t>1</w:t>
            </w:r>
          </w:p>
        </w:tc>
      </w:tr>
      <w:tr w:rsidR="00706922" w:rsidRPr="00595EEA" w14:paraId="54C0AE26" w14:textId="77777777" w:rsidTr="00595EEA">
        <w:trPr>
          <w:trHeight w:val="300"/>
          <w:jc w:val="center"/>
        </w:trPr>
        <w:tc>
          <w:tcPr>
            <w:tcW w:w="1075" w:type="dxa"/>
            <w:shd w:val="clear" w:color="auto" w:fill="auto"/>
            <w:noWrap/>
            <w:vAlign w:val="center"/>
            <w:hideMark/>
          </w:tcPr>
          <w:p w14:paraId="17A45F14"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7E03F56" w14:textId="7280669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0.13</w:t>
            </w:r>
            <w:r w:rsidR="00595EEA">
              <w:rPr>
                <w:rFonts w:ascii="Times New Roman" w:hAnsi="Times New Roman" w:cs="Times New Roman"/>
                <w:color w:val="000000"/>
                <w:sz w:val="16"/>
                <w:szCs w:val="16"/>
              </w:rPr>
              <w:t>40</w:t>
            </w:r>
          </w:p>
        </w:tc>
        <w:tc>
          <w:tcPr>
            <w:tcW w:w="1335" w:type="dxa"/>
            <w:vAlign w:val="center"/>
          </w:tcPr>
          <w:p w14:paraId="10EA7B25" w14:textId="1DFD473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-0.341</w:t>
            </w:r>
            <w:r w:rsidR="00595EEA">
              <w:rPr>
                <w:rFonts w:ascii="Times New Roman" w:hAnsi="Times New Roman" w:cs="Times New Roman"/>
                <w:color w:val="000000"/>
                <w:sz w:val="16"/>
                <w:szCs w:val="16"/>
              </w:rPr>
              <w:t>7</w:t>
            </w:r>
          </w:p>
        </w:tc>
        <w:tc>
          <w:tcPr>
            <w:tcW w:w="1453" w:type="dxa"/>
            <w:vAlign w:val="center"/>
          </w:tcPr>
          <w:p w14:paraId="0E82F710" w14:textId="50DB76C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0.609</w:t>
            </w:r>
            <w:r w:rsidR="00595EEA">
              <w:rPr>
                <w:rFonts w:ascii="Times New Roman" w:hAnsi="Times New Roman" w:cs="Times New Roman"/>
                <w:color w:val="000000"/>
                <w:sz w:val="16"/>
                <w:szCs w:val="16"/>
              </w:rPr>
              <w:t>6</w:t>
            </w:r>
          </w:p>
        </w:tc>
        <w:tc>
          <w:tcPr>
            <w:tcW w:w="1262" w:type="dxa"/>
            <w:shd w:val="clear" w:color="auto" w:fill="auto"/>
            <w:noWrap/>
            <w:vAlign w:val="center"/>
          </w:tcPr>
          <w:p w14:paraId="514CD244" w14:textId="368C079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0.1201</w:t>
            </w:r>
          </w:p>
        </w:tc>
        <w:tc>
          <w:tcPr>
            <w:tcW w:w="720" w:type="dxa"/>
            <w:shd w:val="clear" w:color="auto" w:fill="auto"/>
            <w:noWrap/>
            <w:vAlign w:val="center"/>
          </w:tcPr>
          <w:p w14:paraId="0B2B500D" w14:textId="64FE70A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0.7</w:t>
            </w:r>
            <w:r w:rsidR="00595EEA">
              <w:rPr>
                <w:rFonts w:ascii="Times New Roman" w:hAnsi="Times New Roman" w:cs="Times New Roman"/>
                <w:color w:val="000000"/>
                <w:sz w:val="16"/>
                <w:szCs w:val="16"/>
              </w:rPr>
              <w:t>9</w:t>
            </w:r>
          </w:p>
        </w:tc>
        <w:tc>
          <w:tcPr>
            <w:tcW w:w="810" w:type="dxa"/>
            <w:shd w:val="clear" w:color="auto" w:fill="auto"/>
            <w:noWrap/>
            <w:vAlign w:val="center"/>
          </w:tcPr>
          <w:p w14:paraId="17AAB1EE" w14:textId="0F24787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70.</w:t>
            </w:r>
            <w:r w:rsidR="00595EEA">
              <w:rPr>
                <w:rFonts w:ascii="Times New Roman" w:hAnsi="Times New Roman" w:cs="Times New Roman"/>
                <w:color w:val="000000"/>
                <w:sz w:val="16"/>
                <w:szCs w:val="16"/>
              </w:rPr>
              <w:t>70</w:t>
            </w:r>
          </w:p>
        </w:tc>
        <w:tc>
          <w:tcPr>
            <w:tcW w:w="922" w:type="dxa"/>
            <w:shd w:val="clear" w:color="auto" w:fill="auto"/>
            <w:noWrap/>
            <w:vAlign w:val="center"/>
          </w:tcPr>
          <w:p w14:paraId="0A78BB93" w14:textId="6F4F189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0.93</w:t>
            </w:r>
          </w:p>
        </w:tc>
      </w:tr>
      <w:tr w:rsidR="00706922" w:rsidRPr="00595EEA" w14:paraId="3596C6E5" w14:textId="77777777" w:rsidTr="00595EEA">
        <w:trPr>
          <w:trHeight w:val="300"/>
          <w:jc w:val="center"/>
        </w:trPr>
        <w:tc>
          <w:tcPr>
            <w:tcW w:w="1075" w:type="dxa"/>
            <w:shd w:val="clear" w:color="auto" w:fill="auto"/>
            <w:noWrap/>
            <w:vAlign w:val="center"/>
            <w:hideMark/>
          </w:tcPr>
          <w:p w14:paraId="7EE5C709"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50119F4D" w14:textId="42EC958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-0.4970</w:t>
            </w:r>
          </w:p>
        </w:tc>
        <w:tc>
          <w:tcPr>
            <w:tcW w:w="1335" w:type="dxa"/>
            <w:vAlign w:val="center"/>
          </w:tcPr>
          <w:p w14:paraId="4F1930B4" w14:textId="3E0961B6"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-0.814</w:t>
            </w:r>
            <w:r w:rsidR="00595EEA">
              <w:rPr>
                <w:rFonts w:ascii="Times New Roman" w:hAnsi="Times New Roman" w:cs="Times New Roman"/>
                <w:color w:val="000000"/>
                <w:sz w:val="16"/>
                <w:szCs w:val="16"/>
              </w:rPr>
              <w:t>9</w:t>
            </w:r>
          </w:p>
        </w:tc>
        <w:tc>
          <w:tcPr>
            <w:tcW w:w="1453" w:type="dxa"/>
            <w:vAlign w:val="center"/>
          </w:tcPr>
          <w:p w14:paraId="146E3A2B" w14:textId="5DB2492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-0.1792</w:t>
            </w:r>
          </w:p>
        </w:tc>
        <w:tc>
          <w:tcPr>
            <w:tcW w:w="1262" w:type="dxa"/>
            <w:shd w:val="clear" w:color="auto" w:fill="auto"/>
            <w:noWrap/>
            <w:vAlign w:val="center"/>
          </w:tcPr>
          <w:p w14:paraId="63BA2FC1" w14:textId="1DEE06B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0.081</w:t>
            </w:r>
            <w:r w:rsidR="001F5588">
              <w:rPr>
                <w:rFonts w:ascii="Times New Roman" w:hAnsi="Times New Roman" w:cs="Times New Roman"/>
                <w:color w:val="000000"/>
                <w:sz w:val="16"/>
                <w:szCs w:val="16"/>
              </w:rPr>
              <w:t>3</w:t>
            </w:r>
          </w:p>
        </w:tc>
        <w:tc>
          <w:tcPr>
            <w:tcW w:w="720" w:type="dxa"/>
            <w:shd w:val="clear" w:color="auto" w:fill="auto"/>
            <w:noWrap/>
            <w:vAlign w:val="center"/>
          </w:tcPr>
          <w:p w14:paraId="78C6D86D" w14:textId="3288DA5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4.32</w:t>
            </w:r>
          </w:p>
        </w:tc>
        <w:tc>
          <w:tcPr>
            <w:tcW w:w="810" w:type="dxa"/>
            <w:shd w:val="clear" w:color="auto" w:fill="auto"/>
            <w:noWrap/>
            <w:vAlign w:val="center"/>
          </w:tcPr>
          <w:p w14:paraId="7F69BB37" w14:textId="6D04846D"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135.31</w:t>
            </w:r>
          </w:p>
        </w:tc>
        <w:tc>
          <w:tcPr>
            <w:tcW w:w="922" w:type="dxa"/>
            <w:shd w:val="clear" w:color="auto" w:fill="auto"/>
            <w:noWrap/>
            <w:vAlign w:val="center"/>
          </w:tcPr>
          <w:p w14:paraId="1640234C" w14:textId="57072897"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2.8</w:t>
            </w:r>
            <w:r w:rsidR="00595EEA" w:rsidRPr="00C6556F">
              <w:rPr>
                <w:rFonts w:ascii="Times New Roman" w:hAnsi="Times New Roman" w:cs="Times New Roman"/>
                <w:b/>
                <w:color w:val="000000"/>
                <w:sz w:val="16"/>
                <w:szCs w:val="16"/>
              </w:rPr>
              <w:t xml:space="preserve"> x 10</w:t>
            </w:r>
            <w:r w:rsidR="00595EEA" w:rsidRPr="00C6556F">
              <w:rPr>
                <w:rFonts w:ascii="Times New Roman" w:hAnsi="Times New Roman" w:cs="Times New Roman"/>
                <w:b/>
                <w:color w:val="000000"/>
                <w:sz w:val="16"/>
                <w:szCs w:val="16"/>
                <w:vertAlign w:val="superscript"/>
              </w:rPr>
              <w:t>-4</w:t>
            </w:r>
          </w:p>
        </w:tc>
      </w:tr>
      <w:tr w:rsidR="00706922" w:rsidRPr="00595EEA" w14:paraId="40846823" w14:textId="77777777" w:rsidTr="00595EEA">
        <w:trPr>
          <w:trHeight w:val="300"/>
          <w:jc w:val="center"/>
        </w:trPr>
        <w:tc>
          <w:tcPr>
            <w:tcW w:w="1075" w:type="dxa"/>
            <w:shd w:val="clear" w:color="auto" w:fill="auto"/>
            <w:noWrap/>
            <w:vAlign w:val="center"/>
            <w:hideMark/>
          </w:tcPr>
          <w:p w14:paraId="74590014"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1564E4A6" w14:textId="2253C5A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0.2864</w:t>
            </w:r>
          </w:p>
        </w:tc>
        <w:tc>
          <w:tcPr>
            <w:tcW w:w="1335" w:type="dxa"/>
            <w:vAlign w:val="center"/>
          </w:tcPr>
          <w:p w14:paraId="5AA45EA3" w14:textId="6BA250A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-0.380</w:t>
            </w:r>
            <w:r w:rsidR="00595EEA">
              <w:rPr>
                <w:rFonts w:ascii="Times New Roman" w:hAnsi="Times New Roman" w:cs="Times New Roman"/>
                <w:color w:val="000000"/>
                <w:sz w:val="16"/>
                <w:szCs w:val="16"/>
              </w:rPr>
              <w:t>5</w:t>
            </w:r>
          </w:p>
        </w:tc>
        <w:tc>
          <w:tcPr>
            <w:tcW w:w="1453" w:type="dxa"/>
            <w:vAlign w:val="center"/>
          </w:tcPr>
          <w:p w14:paraId="6ECF851A" w14:textId="2D53B19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0.953</w:t>
            </w:r>
            <w:r w:rsidR="00595EEA">
              <w:rPr>
                <w:rFonts w:ascii="Times New Roman" w:hAnsi="Times New Roman" w:cs="Times New Roman"/>
                <w:color w:val="000000"/>
                <w:sz w:val="16"/>
                <w:szCs w:val="16"/>
              </w:rPr>
              <w:t>3</w:t>
            </w:r>
          </w:p>
        </w:tc>
        <w:tc>
          <w:tcPr>
            <w:tcW w:w="1262" w:type="dxa"/>
            <w:shd w:val="clear" w:color="auto" w:fill="auto"/>
            <w:noWrap/>
            <w:vAlign w:val="center"/>
          </w:tcPr>
          <w:p w14:paraId="2A323A3F" w14:textId="544045B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0.167</w:t>
            </w:r>
            <w:r w:rsidR="00595EEA">
              <w:rPr>
                <w:rFonts w:ascii="Times New Roman" w:hAnsi="Times New Roman" w:cs="Times New Roman"/>
                <w:color w:val="000000"/>
                <w:sz w:val="16"/>
                <w:szCs w:val="16"/>
              </w:rPr>
              <w:t>4</w:t>
            </w:r>
          </w:p>
        </w:tc>
        <w:tc>
          <w:tcPr>
            <w:tcW w:w="720" w:type="dxa"/>
            <w:shd w:val="clear" w:color="auto" w:fill="auto"/>
            <w:noWrap/>
            <w:vAlign w:val="center"/>
          </w:tcPr>
          <w:p w14:paraId="63F149D8" w14:textId="794EAA4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1.2</w:t>
            </w:r>
            <w:r w:rsidR="00595EEA">
              <w:rPr>
                <w:rFonts w:ascii="Times New Roman" w:hAnsi="Times New Roman" w:cs="Times New Roman"/>
                <w:color w:val="000000"/>
                <w:sz w:val="16"/>
                <w:szCs w:val="16"/>
              </w:rPr>
              <w:t>1</w:t>
            </w:r>
          </w:p>
        </w:tc>
        <w:tc>
          <w:tcPr>
            <w:tcW w:w="810" w:type="dxa"/>
            <w:shd w:val="clear" w:color="auto" w:fill="auto"/>
            <w:noWrap/>
            <w:vAlign w:val="center"/>
          </w:tcPr>
          <w:p w14:paraId="3AAABDD5" w14:textId="20C46CB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56.8</w:t>
            </w:r>
            <w:r w:rsidR="00595EEA">
              <w:rPr>
                <w:rFonts w:ascii="Times New Roman" w:hAnsi="Times New Roman" w:cs="Times New Roman"/>
                <w:color w:val="000000"/>
                <w:sz w:val="16"/>
                <w:szCs w:val="16"/>
              </w:rPr>
              <w:t>8</w:t>
            </w:r>
          </w:p>
        </w:tc>
        <w:tc>
          <w:tcPr>
            <w:tcW w:w="922" w:type="dxa"/>
            <w:shd w:val="clear" w:color="auto" w:fill="auto"/>
            <w:noWrap/>
            <w:vAlign w:val="center"/>
          </w:tcPr>
          <w:p w14:paraId="43417077" w14:textId="244CFCB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0.7</w:t>
            </w:r>
            <w:r w:rsidR="00595EEA">
              <w:rPr>
                <w:rFonts w:ascii="Times New Roman" w:hAnsi="Times New Roman" w:cs="Times New Roman"/>
                <w:color w:val="000000"/>
                <w:sz w:val="16"/>
                <w:szCs w:val="16"/>
              </w:rPr>
              <w:t>5</w:t>
            </w:r>
          </w:p>
        </w:tc>
      </w:tr>
      <w:tr w:rsidR="00706922" w:rsidRPr="00595EEA" w14:paraId="1F5FF5DD" w14:textId="77777777" w:rsidTr="00595EEA">
        <w:trPr>
          <w:trHeight w:val="300"/>
          <w:jc w:val="center"/>
        </w:trPr>
        <w:tc>
          <w:tcPr>
            <w:tcW w:w="1075" w:type="dxa"/>
            <w:shd w:val="clear" w:color="auto" w:fill="auto"/>
            <w:noWrap/>
            <w:vAlign w:val="center"/>
            <w:hideMark/>
          </w:tcPr>
          <w:p w14:paraId="329BD790"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1FA988C7" w14:textId="2298E65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0.00</w:t>
            </w:r>
            <w:r w:rsidR="001F5588">
              <w:rPr>
                <w:rFonts w:ascii="Times New Roman" w:hAnsi="Times New Roman" w:cs="Times New Roman"/>
                <w:color w:val="000000"/>
                <w:sz w:val="16"/>
                <w:szCs w:val="16"/>
              </w:rPr>
              <w:t>80</w:t>
            </w:r>
          </w:p>
        </w:tc>
        <w:tc>
          <w:tcPr>
            <w:tcW w:w="1335" w:type="dxa"/>
            <w:vAlign w:val="center"/>
          </w:tcPr>
          <w:p w14:paraId="45F10F7D" w14:textId="2EB979A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-0.529</w:t>
            </w:r>
            <w:r w:rsidR="00595EEA">
              <w:rPr>
                <w:rFonts w:ascii="Times New Roman" w:hAnsi="Times New Roman" w:cs="Times New Roman"/>
                <w:color w:val="000000"/>
                <w:sz w:val="16"/>
                <w:szCs w:val="16"/>
              </w:rPr>
              <w:t>9</w:t>
            </w:r>
          </w:p>
        </w:tc>
        <w:tc>
          <w:tcPr>
            <w:tcW w:w="1453" w:type="dxa"/>
            <w:vAlign w:val="center"/>
          </w:tcPr>
          <w:p w14:paraId="4BEBF60B" w14:textId="7ECFD72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0.5458</w:t>
            </w:r>
          </w:p>
        </w:tc>
        <w:tc>
          <w:tcPr>
            <w:tcW w:w="1262" w:type="dxa"/>
            <w:shd w:val="clear" w:color="auto" w:fill="auto"/>
            <w:noWrap/>
            <w:vAlign w:val="center"/>
          </w:tcPr>
          <w:p w14:paraId="364AD059" w14:textId="39019C86"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0.1365</w:t>
            </w:r>
          </w:p>
        </w:tc>
        <w:tc>
          <w:tcPr>
            <w:tcW w:w="720" w:type="dxa"/>
            <w:shd w:val="clear" w:color="auto" w:fill="auto"/>
            <w:noWrap/>
            <w:vAlign w:val="center"/>
          </w:tcPr>
          <w:p w14:paraId="6F27C3B1" w14:textId="4E3B70B5"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0.04</w:t>
            </w:r>
          </w:p>
        </w:tc>
        <w:tc>
          <w:tcPr>
            <w:tcW w:w="810" w:type="dxa"/>
            <w:shd w:val="clear" w:color="auto" w:fill="auto"/>
            <w:noWrap/>
            <w:vAlign w:val="center"/>
          </w:tcPr>
          <w:p w14:paraId="638B4393" w14:textId="4947966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87.78</w:t>
            </w:r>
          </w:p>
        </w:tc>
        <w:tc>
          <w:tcPr>
            <w:tcW w:w="922" w:type="dxa"/>
            <w:shd w:val="clear" w:color="auto" w:fill="auto"/>
            <w:noWrap/>
            <w:vAlign w:val="center"/>
          </w:tcPr>
          <w:p w14:paraId="70AC5C5B" w14:textId="3C634A98" w:rsidR="00706922" w:rsidRPr="00595EEA" w:rsidRDefault="00595EEA" w:rsidP="00595EEA">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706922" w:rsidRPr="00595EEA" w14:paraId="03B98553" w14:textId="77777777" w:rsidTr="00595EEA">
        <w:trPr>
          <w:trHeight w:val="300"/>
          <w:jc w:val="center"/>
        </w:trPr>
        <w:tc>
          <w:tcPr>
            <w:tcW w:w="1075" w:type="dxa"/>
            <w:shd w:val="clear" w:color="auto" w:fill="auto"/>
            <w:noWrap/>
            <w:vAlign w:val="center"/>
            <w:hideMark/>
          </w:tcPr>
          <w:p w14:paraId="3F67DADA"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0E43C68C" w14:textId="02D35D8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-0.6230</w:t>
            </w:r>
          </w:p>
        </w:tc>
        <w:tc>
          <w:tcPr>
            <w:tcW w:w="1335" w:type="dxa"/>
            <w:vAlign w:val="center"/>
          </w:tcPr>
          <w:p w14:paraId="5924AB2B" w14:textId="1C7C62D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-1.0327</w:t>
            </w:r>
          </w:p>
        </w:tc>
        <w:tc>
          <w:tcPr>
            <w:tcW w:w="1453" w:type="dxa"/>
            <w:vAlign w:val="center"/>
          </w:tcPr>
          <w:p w14:paraId="6EC7874E" w14:textId="067EA87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-0.2133</w:t>
            </w:r>
          </w:p>
        </w:tc>
        <w:tc>
          <w:tcPr>
            <w:tcW w:w="1262" w:type="dxa"/>
            <w:shd w:val="clear" w:color="auto" w:fill="auto"/>
            <w:noWrap/>
            <w:vAlign w:val="center"/>
          </w:tcPr>
          <w:p w14:paraId="779EB0BF" w14:textId="2D70ADC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0.1040</w:t>
            </w:r>
          </w:p>
        </w:tc>
        <w:tc>
          <w:tcPr>
            <w:tcW w:w="720" w:type="dxa"/>
            <w:shd w:val="clear" w:color="auto" w:fill="auto"/>
            <w:noWrap/>
            <w:vAlign w:val="center"/>
          </w:tcPr>
          <w:p w14:paraId="1DEF8181" w14:textId="636C69E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4.2</w:t>
            </w:r>
            <w:r w:rsidR="00595EEA">
              <w:rPr>
                <w:rFonts w:ascii="Times New Roman" w:hAnsi="Times New Roman" w:cs="Times New Roman"/>
                <w:color w:val="000000"/>
                <w:sz w:val="16"/>
                <w:szCs w:val="16"/>
              </w:rPr>
              <w:t>4</w:t>
            </w:r>
          </w:p>
        </w:tc>
        <w:tc>
          <w:tcPr>
            <w:tcW w:w="810" w:type="dxa"/>
            <w:shd w:val="clear" w:color="auto" w:fill="auto"/>
            <w:noWrap/>
            <w:vAlign w:val="center"/>
          </w:tcPr>
          <w:p w14:paraId="0847FDEB" w14:textId="1E95A7D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87.6</w:t>
            </w:r>
            <w:r w:rsidR="00595EEA">
              <w:rPr>
                <w:rFonts w:ascii="Times New Roman" w:hAnsi="Times New Roman" w:cs="Times New Roman"/>
                <w:color w:val="000000"/>
                <w:sz w:val="16"/>
                <w:szCs w:val="16"/>
              </w:rPr>
              <w:t>0</w:t>
            </w:r>
          </w:p>
        </w:tc>
        <w:tc>
          <w:tcPr>
            <w:tcW w:w="922" w:type="dxa"/>
            <w:shd w:val="clear" w:color="auto" w:fill="auto"/>
            <w:noWrap/>
            <w:vAlign w:val="center"/>
          </w:tcPr>
          <w:p w14:paraId="4CE4E1DC" w14:textId="3EFFD439"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5.28</w:t>
            </w:r>
            <w:r w:rsidR="00595EEA" w:rsidRPr="00C6556F">
              <w:rPr>
                <w:rFonts w:ascii="Times New Roman" w:hAnsi="Times New Roman" w:cs="Times New Roman"/>
                <w:b/>
                <w:color w:val="000000"/>
                <w:sz w:val="16"/>
                <w:szCs w:val="16"/>
              </w:rPr>
              <w:t xml:space="preserve"> x 10</w:t>
            </w:r>
            <w:r w:rsidR="00595EEA" w:rsidRPr="00C6556F">
              <w:rPr>
                <w:rFonts w:ascii="Times New Roman" w:hAnsi="Times New Roman" w:cs="Times New Roman"/>
                <w:b/>
                <w:color w:val="000000"/>
                <w:sz w:val="16"/>
                <w:szCs w:val="16"/>
                <w:vertAlign w:val="superscript"/>
              </w:rPr>
              <w:t>-4</w:t>
            </w:r>
          </w:p>
        </w:tc>
      </w:tr>
      <w:tr w:rsidR="00706922" w:rsidRPr="00595EEA" w14:paraId="2103EE25" w14:textId="77777777" w:rsidTr="00595EEA">
        <w:trPr>
          <w:trHeight w:val="300"/>
          <w:jc w:val="center"/>
        </w:trPr>
        <w:tc>
          <w:tcPr>
            <w:tcW w:w="1075" w:type="dxa"/>
            <w:shd w:val="clear" w:color="auto" w:fill="auto"/>
            <w:noWrap/>
            <w:vAlign w:val="center"/>
            <w:hideMark/>
          </w:tcPr>
          <w:p w14:paraId="7F3C70CE"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4CC07CC1" w14:textId="081FF8D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-0.278</w:t>
            </w:r>
            <w:r w:rsidR="00595EEA">
              <w:rPr>
                <w:rFonts w:ascii="Times New Roman" w:hAnsi="Times New Roman" w:cs="Times New Roman"/>
                <w:color w:val="000000"/>
                <w:sz w:val="16"/>
                <w:szCs w:val="16"/>
              </w:rPr>
              <w:t>5</w:t>
            </w:r>
          </w:p>
        </w:tc>
        <w:tc>
          <w:tcPr>
            <w:tcW w:w="1335" w:type="dxa"/>
            <w:vAlign w:val="center"/>
          </w:tcPr>
          <w:p w14:paraId="0F7EE3F0" w14:textId="6AE9B3C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-0.9889</w:t>
            </w:r>
          </w:p>
        </w:tc>
        <w:tc>
          <w:tcPr>
            <w:tcW w:w="1453" w:type="dxa"/>
            <w:vAlign w:val="center"/>
          </w:tcPr>
          <w:p w14:paraId="11FB3047" w14:textId="4411FC9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0.4320</w:t>
            </w:r>
          </w:p>
        </w:tc>
        <w:tc>
          <w:tcPr>
            <w:tcW w:w="1262" w:type="dxa"/>
            <w:shd w:val="clear" w:color="auto" w:fill="auto"/>
            <w:noWrap/>
            <w:vAlign w:val="center"/>
          </w:tcPr>
          <w:p w14:paraId="6C77CF35" w14:textId="2B6E7D4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0.179</w:t>
            </w:r>
            <w:r w:rsidR="00595EEA">
              <w:rPr>
                <w:rFonts w:ascii="Times New Roman" w:hAnsi="Times New Roman" w:cs="Times New Roman"/>
                <w:color w:val="000000"/>
                <w:sz w:val="16"/>
                <w:szCs w:val="16"/>
              </w:rPr>
              <w:t>2</w:t>
            </w:r>
          </w:p>
        </w:tc>
        <w:tc>
          <w:tcPr>
            <w:tcW w:w="720" w:type="dxa"/>
            <w:shd w:val="clear" w:color="auto" w:fill="auto"/>
            <w:noWrap/>
            <w:vAlign w:val="center"/>
          </w:tcPr>
          <w:p w14:paraId="4B552608" w14:textId="5350BD9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w:t>
            </w:r>
            <w:r w:rsidR="00595EEA">
              <w:rPr>
                <w:rFonts w:ascii="Times New Roman" w:hAnsi="Times New Roman" w:cs="Times New Roman"/>
                <w:color w:val="000000"/>
                <w:sz w:val="16"/>
                <w:szCs w:val="16"/>
              </w:rPr>
              <w:t>10</w:t>
            </w:r>
          </w:p>
        </w:tc>
        <w:tc>
          <w:tcPr>
            <w:tcW w:w="810" w:type="dxa"/>
            <w:shd w:val="clear" w:color="auto" w:fill="auto"/>
            <w:noWrap/>
            <w:vAlign w:val="center"/>
          </w:tcPr>
          <w:p w14:paraId="1CA0CB76" w14:textId="2DD016D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66.6</w:t>
            </w:r>
            <w:r w:rsidR="00595EEA">
              <w:rPr>
                <w:rFonts w:ascii="Times New Roman" w:hAnsi="Times New Roman" w:cs="Times New Roman"/>
                <w:color w:val="000000"/>
                <w:sz w:val="16"/>
                <w:szCs w:val="16"/>
              </w:rPr>
              <w:t>8</w:t>
            </w:r>
          </w:p>
        </w:tc>
        <w:tc>
          <w:tcPr>
            <w:tcW w:w="922" w:type="dxa"/>
            <w:shd w:val="clear" w:color="auto" w:fill="auto"/>
            <w:noWrap/>
            <w:vAlign w:val="center"/>
          </w:tcPr>
          <w:p w14:paraId="5FAA3D70" w14:textId="4B55B365"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w:t>
            </w:r>
            <w:r w:rsidR="00595EEA">
              <w:rPr>
                <w:rFonts w:ascii="Times New Roman" w:hAnsi="Times New Roman" w:cs="Times New Roman"/>
                <w:color w:val="000000"/>
                <w:sz w:val="16"/>
                <w:szCs w:val="16"/>
              </w:rPr>
              <w:t>1</w:t>
            </w:r>
          </w:p>
        </w:tc>
      </w:tr>
      <w:tr w:rsidR="00706922" w:rsidRPr="00595EEA" w14:paraId="2FBF5292" w14:textId="77777777" w:rsidTr="00595EEA">
        <w:trPr>
          <w:trHeight w:val="300"/>
          <w:jc w:val="center"/>
        </w:trPr>
        <w:tc>
          <w:tcPr>
            <w:tcW w:w="1075" w:type="dxa"/>
            <w:shd w:val="clear" w:color="auto" w:fill="auto"/>
            <w:noWrap/>
            <w:vAlign w:val="center"/>
            <w:hideMark/>
          </w:tcPr>
          <w:p w14:paraId="2ED3CFF8"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EDE1E5C" w14:textId="4D9A9E7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-0.9094</w:t>
            </w:r>
          </w:p>
        </w:tc>
        <w:tc>
          <w:tcPr>
            <w:tcW w:w="1335" w:type="dxa"/>
            <w:vAlign w:val="center"/>
          </w:tcPr>
          <w:p w14:paraId="7A3F6AE9" w14:textId="22A24D3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-1.5350</w:t>
            </w:r>
          </w:p>
        </w:tc>
        <w:tc>
          <w:tcPr>
            <w:tcW w:w="1453" w:type="dxa"/>
            <w:vAlign w:val="center"/>
          </w:tcPr>
          <w:p w14:paraId="6DF57563" w14:textId="32049B1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-0.283</w:t>
            </w:r>
            <w:r w:rsidR="00595EEA">
              <w:rPr>
                <w:rFonts w:ascii="Times New Roman" w:hAnsi="Times New Roman" w:cs="Times New Roman"/>
                <w:color w:val="000000"/>
                <w:sz w:val="16"/>
                <w:szCs w:val="16"/>
              </w:rPr>
              <w:t>9</w:t>
            </w:r>
          </w:p>
        </w:tc>
        <w:tc>
          <w:tcPr>
            <w:tcW w:w="1262" w:type="dxa"/>
            <w:shd w:val="clear" w:color="auto" w:fill="auto"/>
            <w:noWrap/>
            <w:vAlign w:val="center"/>
          </w:tcPr>
          <w:p w14:paraId="7CA543D5" w14:textId="343A8AB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0.1558</w:t>
            </w:r>
          </w:p>
        </w:tc>
        <w:tc>
          <w:tcPr>
            <w:tcW w:w="720" w:type="dxa"/>
            <w:shd w:val="clear" w:color="auto" w:fill="auto"/>
            <w:noWrap/>
            <w:vAlign w:val="center"/>
          </w:tcPr>
          <w:p w14:paraId="6B283FBB" w14:textId="303BAE3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4.1</w:t>
            </w:r>
            <w:r w:rsidR="00595EEA">
              <w:rPr>
                <w:rFonts w:ascii="Times New Roman" w:hAnsi="Times New Roman" w:cs="Times New Roman"/>
                <w:color w:val="000000"/>
                <w:sz w:val="16"/>
                <w:szCs w:val="16"/>
              </w:rPr>
              <w:t>3</w:t>
            </w:r>
          </w:p>
        </w:tc>
        <w:tc>
          <w:tcPr>
            <w:tcW w:w="810" w:type="dxa"/>
            <w:shd w:val="clear" w:color="auto" w:fill="auto"/>
            <w:noWrap/>
            <w:vAlign w:val="center"/>
          </w:tcPr>
          <w:p w14:paraId="0221E4CB" w14:textId="5BE024E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45.9</w:t>
            </w:r>
            <w:r w:rsidR="00595EEA">
              <w:rPr>
                <w:rFonts w:ascii="Times New Roman" w:hAnsi="Times New Roman" w:cs="Times New Roman"/>
                <w:color w:val="000000"/>
                <w:sz w:val="16"/>
                <w:szCs w:val="16"/>
              </w:rPr>
              <w:t>3</w:t>
            </w:r>
          </w:p>
        </w:tc>
        <w:tc>
          <w:tcPr>
            <w:tcW w:w="922" w:type="dxa"/>
            <w:shd w:val="clear" w:color="auto" w:fill="auto"/>
            <w:noWrap/>
            <w:vAlign w:val="center"/>
          </w:tcPr>
          <w:p w14:paraId="6952FCF6" w14:textId="088E1BDC"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0.001</w:t>
            </w:r>
            <w:r w:rsidR="00595EEA" w:rsidRPr="00C6556F">
              <w:rPr>
                <w:rFonts w:ascii="Times New Roman" w:hAnsi="Times New Roman" w:cs="Times New Roman"/>
                <w:b/>
                <w:color w:val="000000"/>
                <w:sz w:val="16"/>
                <w:szCs w:val="16"/>
              </w:rPr>
              <w:t>4</w:t>
            </w:r>
          </w:p>
        </w:tc>
      </w:tr>
      <w:tr w:rsidR="00706922" w:rsidRPr="00595EEA" w14:paraId="1B7BC652" w14:textId="77777777" w:rsidTr="00595EEA">
        <w:trPr>
          <w:trHeight w:val="300"/>
          <w:jc w:val="center"/>
        </w:trPr>
        <w:tc>
          <w:tcPr>
            <w:tcW w:w="1075" w:type="dxa"/>
            <w:shd w:val="clear" w:color="auto" w:fill="auto"/>
            <w:noWrap/>
            <w:vAlign w:val="center"/>
            <w:hideMark/>
          </w:tcPr>
          <w:p w14:paraId="59CF766A"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06FEB660" w14:textId="56CD663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-0.63</w:t>
            </w:r>
            <w:r w:rsidR="00595EEA">
              <w:rPr>
                <w:rFonts w:ascii="Times New Roman" w:hAnsi="Times New Roman" w:cs="Times New Roman"/>
                <w:color w:val="000000"/>
                <w:sz w:val="16"/>
                <w:szCs w:val="16"/>
              </w:rPr>
              <w:t>10</w:t>
            </w:r>
          </w:p>
        </w:tc>
        <w:tc>
          <w:tcPr>
            <w:tcW w:w="1335" w:type="dxa"/>
            <w:vAlign w:val="center"/>
          </w:tcPr>
          <w:p w14:paraId="74A729A2" w14:textId="4779A0F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-1.1137</w:t>
            </w:r>
          </w:p>
        </w:tc>
        <w:tc>
          <w:tcPr>
            <w:tcW w:w="1453" w:type="dxa"/>
            <w:vAlign w:val="center"/>
          </w:tcPr>
          <w:p w14:paraId="4BF524DC" w14:textId="7517969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-0.148</w:t>
            </w:r>
            <w:r w:rsidR="00595EEA">
              <w:rPr>
                <w:rFonts w:ascii="Times New Roman" w:hAnsi="Times New Roman" w:cs="Times New Roman"/>
                <w:color w:val="000000"/>
                <w:sz w:val="16"/>
                <w:szCs w:val="16"/>
              </w:rPr>
              <w:t>3</w:t>
            </w:r>
          </w:p>
        </w:tc>
        <w:tc>
          <w:tcPr>
            <w:tcW w:w="1262" w:type="dxa"/>
            <w:shd w:val="clear" w:color="auto" w:fill="auto"/>
            <w:noWrap/>
            <w:vAlign w:val="center"/>
          </w:tcPr>
          <w:p w14:paraId="1693F340" w14:textId="5541EF4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0.122</w:t>
            </w:r>
            <w:r w:rsidR="00595EEA">
              <w:rPr>
                <w:rFonts w:ascii="Times New Roman" w:hAnsi="Times New Roman" w:cs="Times New Roman"/>
                <w:color w:val="000000"/>
                <w:sz w:val="16"/>
                <w:szCs w:val="16"/>
              </w:rPr>
              <w:t>1</w:t>
            </w:r>
          </w:p>
        </w:tc>
        <w:tc>
          <w:tcPr>
            <w:tcW w:w="720" w:type="dxa"/>
            <w:shd w:val="clear" w:color="auto" w:fill="auto"/>
            <w:noWrap/>
            <w:vAlign w:val="center"/>
          </w:tcPr>
          <w:p w14:paraId="44E7A43C" w14:textId="07A1911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3.65</w:t>
            </w:r>
          </w:p>
        </w:tc>
        <w:tc>
          <w:tcPr>
            <w:tcW w:w="810" w:type="dxa"/>
            <w:shd w:val="clear" w:color="auto" w:fill="auto"/>
            <w:noWrap/>
            <w:vAlign w:val="center"/>
          </w:tcPr>
          <w:p w14:paraId="05945E4D" w14:textId="4AEBFD7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74.24</w:t>
            </w:r>
          </w:p>
        </w:tc>
        <w:tc>
          <w:tcPr>
            <w:tcW w:w="922" w:type="dxa"/>
            <w:shd w:val="clear" w:color="auto" w:fill="auto"/>
            <w:noWrap/>
            <w:vAlign w:val="center"/>
          </w:tcPr>
          <w:p w14:paraId="27F274E9" w14:textId="49801206"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0.004</w:t>
            </w:r>
            <w:r w:rsidR="00595EEA" w:rsidRPr="00C6556F">
              <w:rPr>
                <w:rFonts w:ascii="Times New Roman" w:hAnsi="Times New Roman" w:cs="Times New Roman"/>
                <w:b/>
                <w:color w:val="000000"/>
                <w:sz w:val="16"/>
                <w:szCs w:val="16"/>
              </w:rPr>
              <w:t>2</w:t>
            </w:r>
          </w:p>
        </w:tc>
      </w:tr>
    </w:tbl>
    <w:p w14:paraId="3E613C09" w14:textId="77777777" w:rsidR="008843FD" w:rsidRDefault="008843FD">
      <w:pPr>
        <w:rPr>
          <w:rFonts w:ascii="Times New Roman" w:hAnsi="Times New Roman" w:cs="Times New Roman"/>
          <w:b/>
          <w:sz w:val="24"/>
          <w:szCs w:val="24"/>
          <w:lang w:val="en-US"/>
        </w:rPr>
      </w:pPr>
    </w:p>
    <w:p w14:paraId="381ED502" w14:textId="77777777" w:rsidR="00DB251D" w:rsidRDefault="00DB251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76C646C" w14:textId="7A5F6125"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5u. Sulfate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810"/>
        <w:gridCol w:w="1012"/>
      </w:tblGrid>
      <w:tr w:rsidR="008843FD" w:rsidRPr="006D0FD5" w14:paraId="68C9A74D" w14:textId="77777777" w:rsidTr="00FA5C43">
        <w:trPr>
          <w:trHeight w:val="300"/>
          <w:jc w:val="center"/>
        </w:trPr>
        <w:tc>
          <w:tcPr>
            <w:tcW w:w="9017" w:type="dxa"/>
            <w:gridSpan w:val="8"/>
            <w:shd w:val="clear" w:color="auto" w:fill="auto"/>
            <w:noWrap/>
            <w:vAlign w:val="center"/>
          </w:tcPr>
          <w:p w14:paraId="1D0520D7" w14:textId="7803984E" w:rsidR="008843FD" w:rsidRPr="004A34A2" w:rsidRDefault="004A34A2" w:rsidP="00FA5C43">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FA5C43" w14:paraId="333C7C55" w14:textId="77777777" w:rsidTr="005462EA">
        <w:trPr>
          <w:trHeight w:val="300"/>
          <w:jc w:val="center"/>
        </w:trPr>
        <w:tc>
          <w:tcPr>
            <w:tcW w:w="6565" w:type="dxa"/>
            <w:gridSpan w:val="5"/>
            <w:vMerge w:val="restart"/>
            <w:shd w:val="clear" w:color="auto" w:fill="auto"/>
            <w:noWrap/>
            <w:vAlign w:val="center"/>
          </w:tcPr>
          <w:p w14:paraId="3A864D54" w14:textId="77777777" w:rsidR="005462EA" w:rsidRPr="004A34A2" w:rsidRDefault="005462EA" w:rsidP="00FA5C43">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D5172F2"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8B3892D"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2AA26654"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p</w:t>
            </w:r>
          </w:p>
        </w:tc>
      </w:tr>
      <w:tr w:rsidR="005462EA" w:rsidRPr="00FA5C43" w14:paraId="3EBA5825" w14:textId="77777777" w:rsidTr="005462EA">
        <w:trPr>
          <w:trHeight w:val="300"/>
          <w:jc w:val="center"/>
        </w:trPr>
        <w:tc>
          <w:tcPr>
            <w:tcW w:w="6565" w:type="dxa"/>
            <w:gridSpan w:val="5"/>
            <w:vMerge/>
            <w:shd w:val="clear" w:color="auto" w:fill="auto"/>
            <w:noWrap/>
            <w:vAlign w:val="center"/>
          </w:tcPr>
          <w:p w14:paraId="1338B4C8"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017C0AF7" w14:textId="02A92BA0"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4.78</w:t>
            </w:r>
          </w:p>
        </w:tc>
        <w:tc>
          <w:tcPr>
            <w:tcW w:w="810" w:type="dxa"/>
            <w:shd w:val="clear" w:color="auto" w:fill="auto"/>
            <w:noWrap/>
            <w:vAlign w:val="center"/>
          </w:tcPr>
          <w:p w14:paraId="1289C71E" w14:textId="3B06CA36"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4, 272</w:t>
            </w:r>
          </w:p>
        </w:tc>
        <w:tc>
          <w:tcPr>
            <w:tcW w:w="1012" w:type="dxa"/>
            <w:shd w:val="clear" w:color="auto" w:fill="auto"/>
            <w:noWrap/>
            <w:vAlign w:val="center"/>
          </w:tcPr>
          <w:p w14:paraId="4AA889C6" w14:textId="79696AE4" w:rsidR="005462EA" w:rsidRPr="001F5588" w:rsidRDefault="005462EA"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9.7</w:t>
            </w:r>
            <w:r w:rsidRPr="001F5588">
              <w:rPr>
                <w:rFonts w:ascii="Times New Roman" w:hAnsi="Times New Roman" w:cs="Times New Roman"/>
                <w:b/>
                <w:color w:val="000000"/>
                <w:sz w:val="16"/>
                <w:szCs w:val="16"/>
              </w:rPr>
              <w:t xml:space="preserve"> x 10</w:t>
            </w:r>
            <w:r w:rsidRPr="001F5588">
              <w:rPr>
                <w:rFonts w:ascii="Times New Roman" w:hAnsi="Times New Roman" w:cs="Times New Roman"/>
                <w:b/>
                <w:color w:val="000000"/>
                <w:sz w:val="16"/>
                <w:szCs w:val="16"/>
                <w:vertAlign w:val="superscript"/>
              </w:rPr>
              <w:t>-4</w:t>
            </w:r>
          </w:p>
        </w:tc>
      </w:tr>
      <w:tr w:rsidR="008843FD" w:rsidRPr="006D0FD5" w14:paraId="255F1819" w14:textId="77777777" w:rsidTr="00FA5C43">
        <w:trPr>
          <w:trHeight w:val="300"/>
          <w:jc w:val="center"/>
        </w:trPr>
        <w:tc>
          <w:tcPr>
            <w:tcW w:w="9017" w:type="dxa"/>
            <w:gridSpan w:val="8"/>
            <w:shd w:val="clear" w:color="auto" w:fill="auto"/>
            <w:noWrap/>
            <w:vAlign w:val="center"/>
          </w:tcPr>
          <w:p w14:paraId="0DD4521F" w14:textId="3D11A6B1"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val="en-US" w:eastAsia="de-DE"/>
              </w:rPr>
            </w:pPr>
            <w:r w:rsidRPr="00FA5C43">
              <w:rPr>
                <w:rFonts w:ascii="Times New Roman" w:eastAsia="Times New Roman" w:hAnsi="Times New Roman" w:cs="Times New Roman"/>
                <w:b/>
                <w:i/>
                <w:color w:val="000000"/>
                <w:sz w:val="16"/>
                <w:szCs w:val="16"/>
                <w:lang w:val="en-US" w:eastAsia="de-DE"/>
              </w:rPr>
              <w:t xml:space="preserve">One-way </w:t>
            </w:r>
            <w:r w:rsidR="00411B7C" w:rsidRPr="00FA5C43">
              <w:rPr>
                <w:rFonts w:ascii="Times New Roman" w:eastAsia="Times New Roman" w:hAnsi="Times New Roman" w:cs="Times New Roman"/>
                <w:b/>
                <w:i/>
                <w:color w:val="000000"/>
                <w:sz w:val="16"/>
                <w:szCs w:val="16"/>
                <w:lang w:val="en-US" w:eastAsia="de-DE"/>
              </w:rPr>
              <w:t>analysis of variance</w:t>
            </w:r>
            <w:r w:rsidRPr="00FA5C43">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FA5C43" w14:paraId="272622EB" w14:textId="77777777" w:rsidTr="005462EA">
        <w:trPr>
          <w:trHeight w:val="300"/>
          <w:jc w:val="center"/>
        </w:trPr>
        <w:tc>
          <w:tcPr>
            <w:tcW w:w="6565" w:type="dxa"/>
            <w:gridSpan w:val="5"/>
            <w:vMerge w:val="restart"/>
            <w:shd w:val="clear" w:color="auto" w:fill="auto"/>
            <w:noWrap/>
            <w:vAlign w:val="center"/>
          </w:tcPr>
          <w:p w14:paraId="44AECD43"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010566C6"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7446ED4"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275C9E00" w14:textId="343F6159"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5462EA" w:rsidRPr="00FA5C43" w14:paraId="69DD792C" w14:textId="77777777" w:rsidTr="005462EA">
        <w:trPr>
          <w:trHeight w:val="300"/>
          <w:jc w:val="center"/>
        </w:trPr>
        <w:tc>
          <w:tcPr>
            <w:tcW w:w="6565" w:type="dxa"/>
            <w:gridSpan w:val="5"/>
            <w:vMerge/>
            <w:shd w:val="clear" w:color="auto" w:fill="auto"/>
            <w:noWrap/>
            <w:vAlign w:val="center"/>
          </w:tcPr>
          <w:p w14:paraId="71DE7B0D"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7F2388D2" w14:textId="68BA99A6"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32.86</w:t>
            </w:r>
          </w:p>
        </w:tc>
        <w:tc>
          <w:tcPr>
            <w:tcW w:w="810" w:type="dxa"/>
            <w:shd w:val="clear" w:color="auto" w:fill="auto"/>
            <w:noWrap/>
            <w:vAlign w:val="center"/>
          </w:tcPr>
          <w:p w14:paraId="1144DE19" w14:textId="49E65483"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4, 117.84</w:t>
            </w:r>
          </w:p>
        </w:tc>
        <w:tc>
          <w:tcPr>
            <w:tcW w:w="1012" w:type="dxa"/>
            <w:shd w:val="clear" w:color="auto" w:fill="auto"/>
            <w:noWrap/>
            <w:vAlign w:val="center"/>
          </w:tcPr>
          <w:p w14:paraId="1A0917A9" w14:textId="51922DA8" w:rsidR="005462EA" w:rsidRPr="001F5588" w:rsidRDefault="005462EA"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 xml:space="preserve">2.2 </w:t>
            </w:r>
            <w:r w:rsidRPr="001F5588">
              <w:rPr>
                <w:rFonts w:ascii="Times New Roman" w:hAnsi="Times New Roman" w:cs="Times New Roman"/>
                <w:b/>
                <w:color w:val="000000"/>
                <w:sz w:val="16"/>
                <w:szCs w:val="16"/>
              </w:rPr>
              <w:t>x 10</w:t>
            </w:r>
            <w:r w:rsidRPr="001F5588">
              <w:rPr>
                <w:rFonts w:ascii="Times New Roman" w:hAnsi="Times New Roman" w:cs="Times New Roman"/>
                <w:b/>
                <w:color w:val="000000"/>
                <w:sz w:val="16"/>
                <w:szCs w:val="16"/>
                <w:vertAlign w:val="superscript"/>
              </w:rPr>
              <w:t>-18</w:t>
            </w:r>
          </w:p>
        </w:tc>
      </w:tr>
      <w:tr w:rsidR="008843FD" w:rsidRPr="006D0FD5" w14:paraId="3DD3ABF6" w14:textId="77777777" w:rsidTr="00FA5C43">
        <w:trPr>
          <w:trHeight w:val="300"/>
          <w:jc w:val="center"/>
        </w:trPr>
        <w:tc>
          <w:tcPr>
            <w:tcW w:w="9017" w:type="dxa"/>
            <w:gridSpan w:val="8"/>
            <w:shd w:val="clear" w:color="auto" w:fill="auto"/>
            <w:noWrap/>
            <w:vAlign w:val="center"/>
          </w:tcPr>
          <w:p w14:paraId="707E717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val="en-US" w:eastAsia="de-DE"/>
              </w:rPr>
            </w:pPr>
            <w:r w:rsidRPr="00FA5C43">
              <w:rPr>
                <w:rFonts w:ascii="Times New Roman" w:eastAsia="Times New Roman" w:hAnsi="Times New Roman" w:cs="Times New Roman"/>
                <w:b/>
                <w:i/>
                <w:color w:val="000000"/>
                <w:sz w:val="16"/>
                <w:szCs w:val="16"/>
                <w:lang w:val="en-US" w:eastAsia="de-DE"/>
              </w:rPr>
              <w:t>Games-Howell post-hoc tests for group differences</w:t>
            </w:r>
          </w:p>
        </w:tc>
      </w:tr>
      <w:tr w:rsidR="008843FD" w:rsidRPr="00FA5C43" w14:paraId="164EEFC4" w14:textId="77777777" w:rsidTr="005462EA">
        <w:trPr>
          <w:trHeight w:val="300"/>
          <w:jc w:val="center"/>
        </w:trPr>
        <w:tc>
          <w:tcPr>
            <w:tcW w:w="1075" w:type="dxa"/>
            <w:shd w:val="clear" w:color="auto" w:fill="auto"/>
            <w:noWrap/>
            <w:vAlign w:val="center"/>
            <w:hideMark/>
          </w:tcPr>
          <w:p w14:paraId="7C78CC03" w14:textId="77777777" w:rsidR="008843FD" w:rsidRPr="00FA5C43" w:rsidRDefault="008843FD"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41379284" w14:textId="4A354DDB" w:rsidR="008843FD" w:rsidRPr="00FA5C43" w:rsidRDefault="0060107F"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Mean difference</w:t>
            </w:r>
          </w:p>
        </w:tc>
        <w:tc>
          <w:tcPr>
            <w:tcW w:w="1335" w:type="dxa"/>
            <w:vAlign w:val="center"/>
          </w:tcPr>
          <w:p w14:paraId="0BFC9C83" w14:textId="73B00539" w:rsidR="008843FD" w:rsidRPr="00FA5C43" w:rsidRDefault="001F5588" w:rsidP="00FA5C43">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8843FD" w:rsidRPr="00FA5C43">
              <w:rPr>
                <w:rFonts w:ascii="Times New Roman" w:eastAsia="Times New Roman" w:hAnsi="Times New Roman" w:cs="Times New Roman"/>
                <w:b/>
                <w:color w:val="000000"/>
                <w:sz w:val="16"/>
                <w:szCs w:val="16"/>
                <w:lang w:eastAsia="de-DE"/>
              </w:rPr>
              <w:t>r 95% CI</w:t>
            </w:r>
          </w:p>
        </w:tc>
        <w:tc>
          <w:tcPr>
            <w:tcW w:w="1453" w:type="dxa"/>
            <w:vAlign w:val="center"/>
          </w:tcPr>
          <w:p w14:paraId="750CF6CC" w14:textId="30864021" w:rsidR="008843FD" w:rsidRPr="00FA5C43" w:rsidRDefault="001F5588" w:rsidP="00FA5C43">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8843FD" w:rsidRPr="00FA5C43">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0D64EC92" w14:textId="77777777" w:rsidR="008843FD" w:rsidRPr="00FA5C43" w:rsidRDefault="008843FD"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3D4454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31727D0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10332CEB" w14:textId="269A00EF" w:rsidR="008843FD" w:rsidRPr="00FA5C43" w:rsidRDefault="00643F3A" w:rsidP="00FA5C43">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706922" w:rsidRPr="00FA5C43" w14:paraId="75F4F134" w14:textId="77777777" w:rsidTr="005462EA">
        <w:trPr>
          <w:trHeight w:val="300"/>
          <w:jc w:val="center"/>
        </w:trPr>
        <w:tc>
          <w:tcPr>
            <w:tcW w:w="1075" w:type="dxa"/>
            <w:shd w:val="clear" w:color="auto" w:fill="auto"/>
            <w:noWrap/>
            <w:vAlign w:val="center"/>
            <w:hideMark/>
          </w:tcPr>
          <w:p w14:paraId="6D50F51D"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55D83B3E" w14:textId="5065898C"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-0.7416</w:t>
            </w:r>
          </w:p>
        </w:tc>
        <w:tc>
          <w:tcPr>
            <w:tcW w:w="1335" w:type="dxa"/>
            <w:vAlign w:val="center"/>
          </w:tcPr>
          <w:p w14:paraId="63658DF7" w14:textId="258D5D1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-1.2376</w:t>
            </w:r>
          </w:p>
        </w:tc>
        <w:tc>
          <w:tcPr>
            <w:tcW w:w="1453" w:type="dxa"/>
            <w:vAlign w:val="center"/>
          </w:tcPr>
          <w:p w14:paraId="4A0431C5" w14:textId="4DDC9C1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-0.245</w:t>
            </w:r>
            <w:r w:rsidR="00FA5C43">
              <w:rPr>
                <w:rFonts w:ascii="Times New Roman" w:hAnsi="Times New Roman" w:cs="Times New Roman"/>
                <w:color w:val="000000"/>
                <w:sz w:val="16"/>
                <w:szCs w:val="16"/>
              </w:rPr>
              <w:t>6</w:t>
            </w:r>
          </w:p>
        </w:tc>
        <w:tc>
          <w:tcPr>
            <w:tcW w:w="1262" w:type="dxa"/>
            <w:shd w:val="clear" w:color="auto" w:fill="auto"/>
            <w:noWrap/>
            <w:vAlign w:val="center"/>
          </w:tcPr>
          <w:p w14:paraId="1DF621C5" w14:textId="2FCC328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0.124</w:t>
            </w:r>
            <w:r w:rsidR="00FA5C43">
              <w:rPr>
                <w:rFonts w:ascii="Times New Roman" w:hAnsi="Times New Roman" w:cs="Times New Roman"/>
                <w:color w:val="000000"/>
                <w:sz w:val="16"/>
                <w:szCs w:val="16"/>
              </w:rPr>
              <w:t>2</w:t>
            </w:r>
          </w:p>
        </w:tc>
        <w:tc>
          <w:tcPr>
            <w:tcW w:w="630" w:type="dxa"/>
            <w:shd w:val="clear" w:color="auto" w:fill="auto"/>
            <w:noWrap/>
            <w:vAlign w:val="center"/>
          </w:tcPr>
          <w:p w14:paraId="067A35D2" w14:textId="0ADF4A2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4.22</w:t>
            </w:r>
          </w:p>
        </w:tc>
        <w:tc>
          <w:tcPr>
            <w:tcW w:w="810" w:type="dxa"/>
            <w:shd w:val="clear" w:color="auto" w:fill="auto"/>
            <w:noWrap/>
            <w:vAlign w:val="center"/>
          </w:tcPr>
          <w:p w14:paraId="196F760F" w14:textId="6F193CBD"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52.89</w:t>
            </w:r>
          </w:p>
        </w:tc>
        <w:tc>
          <w:tcPr>
            <w:tcW w:w="1012" w:type="dxa"/>
            <w:shd w:val="clear" w:color="auto" w:fill="auto"/>
            <w:noWrap/>
            <w:vAlign w:val="center"/>
          </w:tcPr>
          <w:p w14:paraId="6410DCD6" w14:textId="3D49B57F" w:rsidR="00706922" w:rsidRPr="001F5588" w:rsidRDefault="00706922"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8.</w:t>
            </w:r>
            <w:r w:rsidR="00FA5C43" w:rsidRPr="001F5588">
              <w:rPr>
                <w:rFonts w:ascii="Times New Roman" w:hAnsi="Times New Roman" w:cs="Times New Roman"/>
                <w:b/>
                <w:color w:val="000000"/>
                <w:sz w:val="16"/>
                <w:szCs w:val="16"/>
              </w:rPr>
              <w:t>8 x 10</w:t>
            </w:r>
            <w:r w:rsidR="00FA5C43" w:rsidRPr="001F5588">
              <w:rPr>
                <w:rFonts w:ascii="Times New Roman" w:hAnsi="Times New Roman" w:cs="Times New Roman"/>
                <w:b/>
                <w:color w:val="000000"/>
                <w:sz w:val="16"/>
                <w:szCs w:val="16"/>
                <w:vertAlign w:val="superscript"/>
              </w:rPr>
              <w:t>-4</w:t>
            </w:r>
          </w:p>
        </w:tc>
      </w:tr>
      <w:tr w:rsidR="00706922" w:rsidRPr="00FA5C43" w14:paraId="15F8CBD8" w14:textId="77777777" w:rsidTr="005462EA">
        <w:trPr>
          <w:trHeight w:val="300"/>
          <w:jc w:val="center"/>
        </w:trPr>
        <w:tc>
          <w:tcPr>
            <w:tcW w:w="1075" w:type="dxa"/>
            <w:shd w:val="clear" w:color="auto" w:fill="auto"/>
            <w:noWrap/>
            <w:vAlign w:val="center"/>
            <w:hideMark/>
          </w:tcPr>
          <w:p w14:paraId="50D65492"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9774878" w14:textId="76311E40"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-0.2153</w:t>
            </w:r>
          </w:p>
        </w:tc>
        <w:tc>
          <w:tcPr>
            <w:tcW w:w="1335" w:type="dxa"/>
            <w:vAlign w:val="center"/>
          </w:tcPr>
          <w:p w14:paraId="0023FEDC" w14:textId="67CC49A1"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-0.62</w:t>
            </w:r>
            <w:r w:rsidR="00FA5C43">
              <w:rPr>
                <w:rFonts w:ascii="Times New Roman" w:hAnsi="Times New Roman" w:cs="Times New Roman"/>
                <w:color w:val="000000"/>
                <w:sz w:val="16"/>
                <w:szCs w:val="16"/>
              </w:rPr>
              <w:t>20</w:t>
            </w:r>
          </w:p>
        </w:tc>
        <w:tc>
          <w:tcPr>
            <w:tcW w:w="1453" w:type="dxa"/>
            <w:vAlign w:val="center"/>
          </w:tcPr>
          <w:p w14:paraId="7FF4FA89" w14:textId="65CF697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0.191</w:t>
            </w:r>
            <w:r w:rsidR="00FA5C43">
              <w:rPr>
                <w:rFonts w:ascii="Times New Roman" w:hAnsi="Times New Roman" w:cs="Times New Roman"/>
                <w:color w:val="000000"/>
                <w:sz w:val="16"/>
                <w:szCs w:val="16"/>
              </w:rPr>
              <w:t>4</w:t>
            </w:r>
          </w:p>
        </w:tc>
        <w:tc>
          <w:tcPr>
            <w:tcW w:w="1262" w:type="dxa"/>
            <w:shd w:val="clear" w:color="auto" w:fill="auto"/>
            <w:noWrap/>
            <w:vAlign w:val="center"/>
          </w:tcPr>
          <w:p w14:paraId="743C57F3" w14:textId="5D8B7F8E"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0.103</w:t>
            </w:r>
            <w:r w:rsidR="00FA5C43">
              <w:rPr>
                <w:rFonts w:ascii="Times New Roman" w:hAnsi="Times New Roman" w:cs="Times New Roman"/>
                <w:color w:val="000000"/>
                <w:sz w:val="16"/>
                <w:szCs w:val="16"/>
              </w:rPr>
              <w:t>1</w:t>
            </w:r>
          </w:p>
        </w:tc>
        <w:tc>
          <w:tcPr>
            <w:tcW w:w="630" w:type="dxa"/>
            <w:shd w:val="clear" w:color="auto" w:fill="auto"/>
            <w:noWrap/>
            <w:vAlign w:val="center"/>
          </w:tcPr>
          <w:p w14:paraId="4A06E902" w14:textId="2ABC78F9"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w:t>
            </w:r>
            <w:r w:rsidR="00FA5C43">
              <w:rPr>
                <w:rFonts w:ascii="Times New Roman" w:hAnsi="Times New Roman" w:cs="Times New Roman"/>
                <w:color w:val="000000"/>
                <w:sz w:val="16"/>
                <w:szCs w:val="16"/>
              </w:rPr>
              <w:t>8</w:t>
            </w:r>
          </w:p>
        </w:tc>
        <w:tc>
          <w:tcPr>
            <w:tcW w:w="810" w:type="dxa"/>
            <w:shd w:val="clear" w:color="auto" w:fill="auto"/>
            <w:noWrap/>
            <w:vAlign w:val="center"/>
          </w:tcPr>
          <w:p w14:paraId="0625C294" w14:textId="2C95B91B"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82.30</w:t>
            </w:r>
          </w:p>
        </w:tc>
        <w:tc>
          <w:tcPr>
            <w:tcW w:w="1012" w:type="dxa"/>
            <w:shd w:val="clear" w:color="auto" w:fill="auto"/>
            <w:noWrap/>
            <w:vAlign w:val="center"/>
          </w:tcPr>
          <w:p w14:paraId="71A65ADD" w14:textId="4D81742A"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0.58</w:t>
            </w:r>
          </w:p>
        </w:tc>
      </w:tr>
      <w:tr w:rsidR="00706922" w:rsidRPr="00FA5C43" w14:paraId="42E868C5" w14:textId="77777777" w:rsidTr="005462EA">
        <w:trPr>
          <w:trHeight w:val="300"/>
          <w:jc w:val="center"/>
        </w:trPr>
        <w:tc>
          <w:tcPr>
            <w:tcW w:w="1075" w:type="dxa"/>
            <w:shd w:val="clear" w:color="auto" w:fill="auto"/>
            <w:noWrap/>
            <w:vAlign w:val="center"/>
            <w:hideMark/>
          </w:tcPr>
          <w:p w14:paraId="04B0E52E"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154C2AC" w14:textId="39D79FBC"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-0.921</w:t>
            </w:r>
            <w:r w:rsidR="00FA5C43">
              <w:rPr>
                <w:rFonts w:ascii="Times New Roman" w:hAnsi="Times New Roman" w:cs="Times New Roman"/>
                <w:color w:val="000000"/>
                <w:sz w:val="16"/>
                <w:szCs w:val="16"/>
              </w:rPr>
              <w:t>5</w:t>
            </w:r>
          </w:p>
        </w:tc>
        <w:tc>
          <w:tcPr>
            <w:tcW w:w="1335" w:type="dxa"/>
            <w:vAlign w:val="center"/>
          </w:tcPr>
          <w:p w14:paraId="7BBCF35B" w14:textId="55B813E0"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-1.41</w:t>
            </w:r>
            <w:r w:rsidR="00FA5C43">
              <w:rPr>
                <w:rFonts w:ascii="Times New Roman" w:hAnsi="Times New Roman" w:cs="Times New Roman"/>
                <w:color w:val="000000"/>
                <w:sz w:val="16"/>
                <w:szCs w:val="16"/>
              </w:rPr>
              <w:t>20</w:t>
            </w:r>
          </w:p>
        </w:tc>
        <w:tc>
          <w:tcPr>
            <w:tcW w:w="1453" w:type="dxa"/>
            <w:vAlign w:val="center"/>
          </w:tcPr>
          <w:p w14:paraId="1AD0F714" w14:textId="177F488B"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-0.4309</w:t>
            </w:r>
          </w:p>
        </w:tc>
        <w:tc>
          <w:tcPr>
            <w:tcW w:w="1262" w:type="dxa"/>
            <w:shd w:val="clear" w:color="auto" w:fill="auto"/>
            <w:noWrap/>
            <w:vAlign w:val="center"/>
          </w:tcPr>
          <w:p w14:paraId="5DA3680C" w14:textId="2CAA2B2F"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0.1238</w:t>
            </w:r>
          </w:p>
        </w:tc>
        <w:tc>
          <w:tcPr>
            <w:tcW w:w="630" w:type="dxa"/>
            <w:shd w:val="clear" w:color="auto" w:fill="auto"/>
            <w:noWrap/>
            <w:vAlign w:val="center"/>
          </w:tcPr>
          <w:p w14:paraId="60DB6D86" w14:textId="19511EE2"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5.26</w:t>
            </w:r>
          </w:p>
        </w:tc>
        <w:tc>
          <w:tcPr>
            <w:tcW w:w="810" w:type="dxa"/>
            <w:shd w:val="clear" w:color="auto" w:fill="auto"/>
            <w:noWrap/>
            <w:vAlign w:val="center"/>
          </w:tcPr>
          <w:p w14:paraId="5D058D5D" w14:textId="035E9E2F"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68.6</w:t>
            </w:r>
            <w:r w:rsidR="00FA5C43">
              <w:rPr>
                <w:rFonts w:ascii="Times New Roman" w:hAnsi="Times New Roman" w:cs="Times New Roman"/>
                <w:color w:val="000000"/>
                <w:sz w:val="16"/>
                <w:szCs w:val="16"/>
              </w:rPr>
              <w:t>7</w:t>
            </w:r>
          </w:p>
        </w:tc>
        <w:tc>
          <w:tcPr>
            <w:tcW w:w="1012" w:type="dxa"/>
            <w:shd w:val="clear" w:color="auto" w:fill="auto"/>
            <w:noWrap/>
            <w:vAlign w:val="center"/>
          </w:tcPr>
          <w:p w14:paraId="390D00E7" w14:textId="30D4EFF5" w:rsidR="00706922" w:rsidRPr="001F5588" w:rsidRDefault="00706922"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1.5</w:t>
            </w:r>
            <w:r w:rsidR="00FA5C43" w:rsidRPr="001F5588">
              <w:rPr>
                <w:rFonts w:ascii="Times New Roman" w:hAnsi="Times New Roman" w:cs="Times New Roman"/>
                <w:b/>
                <w:color w:val="000000"/>
                <w:sz w:val="16"/>
                <w:szCs w:val="16"/>
              </w:rPr>
              <w:t xml:space="preserve"> x 10</w:t>
            </w:r>
            <w:r w:rsidR="00FA5C43" w:rsidRPr="001F5588">
              <w:rPr>
                <w:rFonts w:ascii="Times New Roman" w:hAnsi="Times New Roman" w:cs="Times New Roman"/>
                <w:b/>
                <w:color w:val="000000"/>
                <w:sz w:val="16"/>
                <w:szCs w:val="16"/>
                <w:vertAlign w:val="superscript"/>
              </w:rPr>
              <w:t>-5</w:t>
            </w:r>
          </w:p>
        </w:tc>
      </w:tr>
      <w:tr w:rsidR="005462EA" w:rsidRPr="00FA5C43" w14:paraId="0C7B16B1" w14:textId="77777777" w:rsidTr="005462EA">
        <w:trPr>
          <w:trHeight w:val="300"/>
          <w:jc w:val="center"/>
        </w:trPr>
        <w:tc>
          <w:tcPr>
            <w:tcW w:w="1075" w:type="dxa"/>
            <w:shd w:val="clear" w:color="auto" w:fill="auto"/>
            <w:noWrap/>
            <w:vAlign w:val="center"/>
            <w:hideMark/>
          </w:tcPr>
          <w:p w14:paraId="69083903"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7B80140F" w14:textId="3C45B46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-1.469</w:t>
            </w:r>
            <w:r>
              <w:rPr>
                <w:rFonts w:ascii="Times New Roman" w:hAnsi="Times New Roman" w:cs="Times New Roman"/>
                <w:color w:val="000000"/>
                <w:sz w:val="16"/>
                <w:szCs w:val="16"/>
              </w:rPr>
              <w:t>3</w:t>
            </w:r>
          </w:p>
        </w:tc>
        <w:tc>
          <w:tcPr>
            <w:tcW w:w="1335" w:type="dxa"/>
            <w:vAlign w:val="center"/>
          </w:tcPr>
          <w:p w14:paraId="7B8E79D5" w14:textId="11DF52E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-1.8426</w:t>
            </w:r>
          </w:p>
        </w:tc>
        <w:tc>
          <w:tcPr>
            <w:tcW w:w="1453" w:type="dxa"/>
            <w:vAlign w:val="center"/>
          </w:tcPr>
          <w:p w14:paraId="23E4E049" w14:textId="610DB48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-1.0959</w:t>
            </w:r>
          </w:p>
        </w:tc>
        <w:tc>
          <w:tcPr>
            <w:tcW w:w="1262" w:type="dxa"/>
            <w:shd w:val="clear" w:color="auto" w:fill="auto"/>
            <w:noWrap/>
            <w:vAlign w:val="center"/>
          </w:tcPr>
          <w:p w14:paraId="1E7D0665" w14:textId="6443C15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0.095</w:t>
            </w:r>
            <w:r>
              <w:rPr>
                <w:rFonts w:ascii="Times New Roman" w:hAnsi="Times New Roman" w:cs="Times New Roman"/>
                <w:color w:val="000000"/>
                <w:sz w:val="16"/>
                <w:szCs w:val="16"/>
              </w:rPr>
              <w:t>4</w:t>
            </w:r>
          </w:p>
        </w:tc>
        <w:tc>
          <w:tcPr>
            <w:tcW w:w="630" w:type="dxa"/>
            <w:shd w:val="clear" w:color="auto" w:fill="auto"/>
            <w:noWrap/>
            <w:vAlign w:val="center"/>
          </w:tcPr>
          <w:p w14:paraId="3D6B1B2C" w14:textId="4C1F9C2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w:t>
            </w:r>
            <w:r>
              <w:rPr>
                <w:rFonts w:ascii="Times New Roman" w:hAnsi="Times New Roman" w:cs="Times New Roman"/>
                <w:color w:val="000000"/>
                <w:sz w:val="16"/>
                <w:szCs w:val="16"/>
              </w:rPr>
              <w:t>9</w:t>
            </w:r>
          </w:p>
        </w:tc>
        <w:tc>
          <w:tcPr>
            <w:tcW w:w="810" w:type="dxa"/>
            <w:shd w:val="clear" w:color="auto" w:fill="auto"/>
            <w:noWrap/>
            <w:vAlign w:val="center"/>
          </w:tcPr>
          <w:p w14:paraId="50FE2F97" w14:textId="03576900"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124.61</w:t>
            </w:r>
          </w:p>
        </w:tc>
        <w:tc>
          <w:tcPr>
            <w:tcW w:w="1012" w:type="dxa"/>
            <w:shd w:val="clear" w:color="auto" w:fill="auto"/>
            <w:noWrap/>
            <w:vAlign w:val="center"/>
          </w:tcPr>
          <w:p w14:paraId="42748E12" w14:textId="284D2065"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 xml:space="preserve"> &lt; 1.0 x 10</w:t>
            </w:r>
            <w:r w:rsidRPr="001F5588">
              <w:rPr>
                <w:rFonts w:ascii="Times New Roman" w:hAnsi="Times New Roman" w:cs="Times New Roman"/>
                <w:b/>
                <w:color w:val="000000"/>
                <w:sz w:val="16"/>
                <w:szCs w:val="16"/>
                <w:vertAlign w:val="superscript"/>
              </w:rPr>
              <w:t>-6</w:t>
            </w:r>
          </w:p>
        </w:tc>
      </w:tr>
      <w:tr w:rsidR="005462EA" w:rsidRPr="00FA5C43" w14:paraId="64A21BE0" w14:textId="77777777" w:rsidTr="005462EA">
        <w:trPr>
          <w:trHeight w:val="300"/>
          <w:jc w:val="center"/>
        </w:trPr>
        <w:tc>
          <w:tcPr>
            <w:tcW w:w="1075" w:type="dxa"/>
            <w:shd w:val="clear" w:color="auto" w:fill="auto"/>
            <w:noWrap/>
            <w:vAlign w:val="center"/>
            <w:hideMark/>
          </w:tcPr>
          <w:p w14:paraId="69224915"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635AA117" w14:textId="13B5E4E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-0.5263</w:t>
            </w:r>
          </w:p>
        </w:tc>
        <w:tc>
          <w:tcPr>
            <w:tcW w:w="1335" w:type="dxa"/>
            <w:vAlign w:val="center"/>
          </w:tcPr>
          <w:p w14:paraId="26E2CFDD" w14:textId="3F7BB87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-1.0901</w:t>
            </w:r>
          </w:p>
        </w:tc>
        <w:tc>
          <w:tcPr>
            <w:tcW w:w="1453" w:type="dxa"/>
            <w:vAlign w:val="center"/>
          </w:tcPr>
          <w:p w14:paraId="664D2953" w14:textId="65D35EA8"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0.03754</w:t>
            </w:r>
          </w:p>
        </w:tc>
        <w:tc>
          <w:tcPr>
            <w:tcW w:w="1262" w:type="dxa"/>
            <w:shd w:val="clear" w:color="auto" w:fill="auto"/>
            <w:noWrap/>
            <w:vAlign w:val="center"/>
          </w:tcPr>
          <w:p w14:paraId="39373F67" w14:textId="21F2135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0.142</w:t>
            </w:r>
            <w:r>
              <w:rPr>
                <w:rFonts w:ascii="Times New Roman" w:hAnsi="Times New Roman" w:cs="Times New Roman"/>
                <w:color w:val="000000"/>
                <w:sz w:val="16"/>
                <w:szCs w:val="16"/>
              </w:rPr>
              <w:t>6</w:t>
            </w:r>
          </w:p>
        </w:tc>
        <w:tc>
          <w:tcPr>
            <w:tcW w:w="630" w:type="dxa"/>
            <w:shd w:val="clear" w:color="auto" w:fill="auto"/>
            <w:noWrap/>
            <w:vAlign w:val="center"/>
          </w:tcPr>
          <w:p w14:paraId="17881BA0" w14:textId="2AEE03D1"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2.61</w:t>
            </w:r>
          </w:p>
        </w:tc>
        <w:tc>
          <w:tcPr>
            <w:tcW w:w="810" w:type="dxa"/>
            <w:shd w:val="clear" w:color="auto" w:fill="auto"/>
            <w:noWrap/>
            <w:vAlign w:val="center"/>
          </w:tcPr>
          <w:p w14:paraId="5B988E5B" w14:textId="45A51D1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73.2</w:t>
            </w:r>
            <w:r>
              <w:rPr>
                <w:rFonts w:ascii="Times New Roman" w:hAnsi="Times New Roman" w:cs="Times New Roman"/>
                <w:color w:val="000000"/>
                <w:sz w:val="16"/>
                <w:szCs w:val="16"/>
              </w:rPr>
              <w:t>7</w:t>
            </w:r>
          </w:p>
        </w:tc>
        <w:tc>
          <w:tcPr>
            <w:tcW w:w="1012" w:type="dxa"/>
            <w:shd w:val="clear" w:color="auto" w:fill="auto"/>
            <w:noWrap/>
            <w:vAlign w:val="center"/>
          </w:tcPr>
          <w:p w14:paraId="069A32F9" w14:textId="279F999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0.07</w:t>
            </w:r>
            <w:r>
              <w:rPr>
                <w:rFonts w:ascii="Times New Roman" w:hAnsi="Times New Roman" w:cs="Times New Roman"/>
                <w:color w:val="000000"/>
                <w:sz w:val="16"/>
                <w:szCs w:val="16"/>
              </w:rPr>
              <w:t>9</w:t>
            </w:r>
          </w:p>
        </w:tc>
      </w:tr>
      <w:tr w:rsidR="005462EA" w:rsidRPr="00FA5C43" w14:paraId="0B6FDA8B" w14:textId="77777777" w:rsidTr="005462EA">
        <w:trPr>
          <w:trHeight w:val="300"/>
          <w:jc w:val="center"/>
        </w:trPr>
        <w:tc>
          <w:tcPr>
            <w:tcW w:w="1075" w:type="dxa"/>
            <w:shd w:val="clear" w:color="auto" w:fill="auto"/>
            <w:noWrap/>
            <w:vAlign w:val="center"/>
            <w:hideMark/>
          </w:tcPr>
          <w:p w14:paraId="3A143AAA"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351B60E1" w14:textId="59263EE3"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-0.7061</w:t>
            </w:r>
          </w:p>
        </w:tc>
        <w:tc>
          <w:tcPr>
            <w:tcW w:w="1335" w:type="dxa"/>
            <w:vAlign w:val="center"/>
          </w:tcPr>
          <w:p w14:paraId="76605866" w14:textId="57C220E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-1.266</w:t>
            </w:r>
            <w:r>
              <w:rPr>
                <w:rFonts w:ascii="Times New Roman" w:hAnsi="Times New Roman" w:cs="Times New Roman"/>
                <w:color w:val="000000"/>
                <w:sz w:val="16"/>
                <w:szCs w:val="16"/>
              </w:rPr>
              <w:t>1</w:t>
            </w:r>
          </w:p>
        </w:tc>
        <w:tc>
          <w:tcPr>
            <w:tcW w:w="1453" w:type="dxa"/>
            <w:vAlign w:val="center"/>
          </w:tcPr>
          <w:p w14:paraId="692C37E4" w14:textId="78E33509"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-0.1462</w:t>
            </w:r>
          </w:p>
        </w:tc>
        <w:tc>
          <w:tcPr>
            <w:tcW w:w="1262" w:type="dxa"/>
            <w:shd w:val="clear" w:color="auto" w:fill="auto"/>
            <w:noWrap/>
            <w:vAlign w:val="center"/>
          </w:tcPr>
          <w:p w14:paraId="606902F6" w14:textId="054A302E"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0.1422</w:t>
            </w:r>
          </w:p>
        </w:tc>
        <w:tc>
          <w:tcPr>
            <w:tcW w:w="630" w:type="dxa"/>
            <w:shd w:val="clear" w:color="auto" w:fill="auto"/>
            <w:noWrap/>
            <w:vAlign w:val="center"/>
          </w:tcPr>
          <w:p w14:paraId="37A38F1A" w14:textId="10566560"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3.51</w:t>
            </w:r>
          </w:p>
        </w:tc>
        <w:tc>
          <w:tcPr>
            <w:tcW w:w="810" w:type="dxa"/>
            <w:shd w:val="clear" w:color="auto" w:fill="auto"/>
            <w:noWrap/>
            <w:vAlign w:val="center"/>
          </w:tcPr>
          <w:p w14:paraId="18B5BC54" w14:textId="4D76D60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89.7</w:t>
            </w:r>
            <w:r>
              <w:rPr>
                <w:rFonts w:ascii="Times New Roman" w:hAnsi="Times New Roman" w:cs="Times New Roman"/>
                <w:color w:val="000000"/>
                <w:sz w:val="16"/>
                <w:szCs w:val="16"/>
              </w:rPr>
              <w:t>1</w:t>
            </w:r>
          </w:p>
        </w:tc>
        <w:tc>
          <w:tcPr>
            <w:tcW w:w="1012" w:type="dxa"/>
            <w:shd w:val="clear" w:color="auto" w:fill="auto"/>
            <w:noWrap/>
            <w:vAlign w:val="center"/>
          </w:tcPr>
          <w:p w14:paraId="0F069ADD" w14:textId="30EF86BF"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0.0062</w:t>
            </w:r>
          </w:p>
        </w:tc>
      </w:tr>
      <w:tr w:rsidR="005462EA" w:rsidRPr="00FA5C43" w14:paraId="622923D2" w14:textId="77777777" w:rsidTr="005462EA">
        <w:trPr>
          <w:trHeight w:val="300"/>
          <w:jc w:val="center"/>
        </w:trPr>
        <w:tc>
          <w:tcPr>
            <w:tcW w:w="1075" w:type="dxa"/>
            <w:shd w:val="clear" w:color="auto" w:fill="auto"/>
            <w:noWrap/>
            <w:vAlign w:val="center"/>
            <w:hideMark/>
          </w:tcPr>
          <w:p w14:paraId="5D1FBA32"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536F6BE" w14:textId="3DDEB9C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-1.25</w:t>
            </w:r>
            <w:r>
              <w:rPr>
                <w:rFonts w:ascii="Times New Roman" w:hAnsi="Times New Roman" w:cs="Times New Roman"/>
                <w:color w:val="000000"/>
                <w:sz w:val="16"/>
                <w:szCs w:val="16"/>
              </w:rPr>
              <w:t>40</w:t>
            </w:r>
          </w:p>
        </w:tc>
        <w:tc>
          <w:tcPr>
            <w:tcW w:w="1335" w:type="dxa"/>
            <w:vAlign w:val="center"/>
          </w:tcPr>
          <w:p w14:paraId="48A4A40D" w14:textId="4D75D01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-1.7180</w:t>
            </w:r>
          </w:p>
        </w:tc>
        <w:tc>
          <w:tcPr>
            <w:tcW w:w="1453" w:type="dxa"/>
            <w:vAlign w:val="center"/>
          </w:tcPr>
          <w:p w14:paraId="6F365612" w14:textId="3F768A9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-0.7899</w:t>
            </w:r>
          </w:p>
        </w:tc>
        <w:tc>
          <w:tcPr>
            <w:tcW w:w="1262" w:type="dxa"/>
            <w:shd w:val="clear" w:color="auto" w:fill="auto"/>
            <w:noWrap/>
            <w:vAlign w:val="center"/>
          </w:tcPr>
          <w:p w14:paraId="1290D818" w14:textId="3EF76FD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0.118</w:t>
            </w:r>
            <w:r>
              <w:rPr>
                <w:rFonts w:ascii="Times New Roman" w:hAnsi="Times New Roman" w:cs="Times New Roman"/>
                <w:color w:val="000000"/>
                <w:sz w:val="16"/>
                <w:szCs w:val="16"/>
              </w:rPr>
              <w:t>3</w:t>
            </w:r>
          </w:p>
        </w:tc>
        <w:tc>
          <w:tcPr>
            <w:tcW w:w="630" w:type="dxa"/>
            <w:shd w:val="clear" w:color="auto" w:fill="auto"/>
            <w:noWrap/>
            <w:vAlign w:val="center"/>
          </w:tcPr>
          <w:p w14:paraId="59BEC564" w14:textId="7DAE5F2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w:t>
            </w:r>
            <w:r>
              <w:rPr>
                <w:rFonts w:ascii="Times New Roman" w:hAnsi="Times New Roman" w:cs="Times New Roman"/>
                <w:color w:val="000000"/>
                <w:sz w:val="16"/>
                <w:szCs w:val="16"/>
              </w:rPr>
              <w:t>50</w:t>
            </w:r>
          </w:p>
        </w:tc>
        <w:tc>
          <w:tcPr>
            <w:tcW w:w="810" w:type="dxa"/>
            <w:shd w:val="clear" w:color="auto" w:fill="auto"/>
            <w:noWrap/>
            <w:vAlign w:val="center"/>
          </w:tcPr>
          <w:p w14:paraId="06A781C5" w14:textId="6EA6FE9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108.6</w:t>
            </w:r>
            <w:r>
              <w:rPr>
                <w:rFonts w:ascii="Times New Roman" w:hAnsi="Times New Roman" w:cs="Times New Roman"/>
                <w:color w:val="000000"/>
                <w:sz w:val="16"/>
                <w:szCs w:val="16"/>
              </w:rPr>
              <w:t>5</w:t>
            </w:r>
          </w:p>
        </w:tc>
        <w:tc>
          <w:tcPr>
            <w:tcW w:w="1012" w:type="dxa"/>
            <w:shd w:val="clear" w:color="auto" w:fill="auto"/>
            <w:noWrap/>
            <w:vAlign w:val="center"/>
          </w:tcPr>
          <w:p w14:paraId="632A2061" w14:textId="4E6B50A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&lt; 1.0 x 10</w:t>
            </w:r>
            <w:r w:rsidRPr="001F5588">
              <w:rPr>
                <w:rFonts w:ascii="Times New Roman" w:hAnsi="Times New Roman" w:cs="Times New Roman"/>
                <w:b/>
                <w:color w:val="000000"/>
                <w:sz w:val="16"/>
                <w:szCs w:val="16"/>
                <w:vertAlign w:val="superscript"/>
              </w:rPr>
              <w:t>-6</w:t>
            </w:r>
          </w:p>
        </w:tc>
      </w:tr>
      <w:tr w:rsidR="005462EA" w:rsidRPr="00FA5C43" w14:paraId="1108C133" w14:textId="77777777" w:rsidTr="005462EA">
        <w:trPr>
          <w:trHeight w:val="300"/>
          <w:jc w:val="center"/>
        </w:trPr>
        <w:tc>
          <w:tcPr>
            <w:tcW w:w="1075" w:type="dxa"/>
            <w:shd w:val="clear" w:color="auto" w:fill="auto"/>
            <w:noWrap/>
            <w:vAlign w:val="center"/>
            <w:hideMark/>
          </w:tcPr>
          <w:p w14:paraId="5F500F6C"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D6C7DCD" w14:textId="339A061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-0.179</w:t>
            </w:r>
            <w:r>
              <w:rPr>
                <w:rFonts w:ascii="Times New Roman" w:hAnsi="Times New Roman" w:cs="Times New Roman"/>
                <w:color w:val="000000"/>
                <w:sz w:val="16"/>
                <w:szCs w:val="16"/>
              </w:rPr>
              <w:t>9</w:t>
            </w:r>
          </w:p>
        </w:tc>
        <w:tc>
          <w:tcPr>
            <w:tcW w:w="1335" w:type="dxa"/>
            <w:vAlign w:val="center"/>
          </w:tcPr>
          <w:p w14:paraId="6622D399" w14:textId="3BBC810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-0.8039</w:t>
            </w:r>
          </w:p>
        </w:tc>
        <w:tc>
          <w:tcPr>
            <w:tcW w:w="1453" w:type="dxa"/>
            <w:vAlign w:val="center"/>
          </w:tcPr>
          <w:p w14:paraId="611C8246" w14:textId="04F959EF"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0.4442</w:t>
            </w:r>
          </w:p>
        </w:tc>
        <w:tc>
          <w:tcPr>
            <w:tcW w:w="1262" w:type="dxa"/>
            <w:shd w:val="clear" w:color="auto" w:fill="auto"/>
            <w:noWrap/>
            <w:vAlign w:val="center"/>
          </w:tcPr>
          <w:p w14:paraId="1DBEB4A3" w14:textId="37F8617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0.1581</w:t>
            </w:r>
          </w:p>
        </w:tc>
        <w:tc>
          <w:tcPr>
            <w:tcW w:w="630" w:type="dxa"/>
            <w:shd w:val="clear" w:color="auto" w:fill="auto"/>
            <w:noWrap/>
            <w:vAlign w:val="center"/>
          </w:tcPr>
          <w:p w14:paraId="382498B2" w14:textId="2CF42FA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0.80</w:t>
            </w:r>
          </w:p>
        </w:tc>
        <w:tc>
          <w:tcPr>
            <w:tcW w:w="810" w:type="dxa"/>
            <w:shd w:val="clear" w:color="auto" w:fill="auto"/>
            <w:noWrap/>
            <w:vAlign w:val="center"/>
          </w:tcPr>
          <w:p w14:paraId="6F02C971" w14:textId="25E8A7B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81.4</w:t>
            </w:r>
            <w:r>
              <w:rPr>
                <w:rFonts w:ascii="Times New Roman" w:hAnsi="Times New Roman" w:cs="Times New Roman"/>
                <w:color w:val="000000"/>
                <w:sz w:val="16"/>
                <w:szCs w:val="16"/>
              </w:rPr>
              <w:t>6</w:t>
            </w:r>
          </w:p>
        </w:tc>
        <w:tc>
          <w:tcPr>
            <w:tcW w:w="1012" w:type="dxa"/>
            <w:shd w:val="clear" w:color="auto" w:fill="auto"/>
            <w:noWrap/>
            <w:vAlign w:val="center"/>
          </w:tcPr>
          <w:p w14:paraId="58F6D9A7" w14:textId="3713295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0.9</w:t>
            </w:r>
            <w:r>
              <w:rPr>
                <w:rFonts w:ascii="Times New Roman" w:hAnsi="Times New Roman" w:cs="Times New Roman"/>
                <w:color w:val="000000"/>
                <w:sz w:val="16"/>
                <w:szCs w:val="16"/>
              </w:rPr>
              <w:t>3</w:t>
            </w:r>
          </w:p>
        </w:tc>
      </w:tr>
      <w:tr w:rsidR="005462EA" w:rsidRPr="00FA5C43" w14:paraId="652ABF51" w14:textId="77777777" w:rsidTr="005462EA">
        <w:trPr>
          <w:trHeight w:val="300"/>
          <w:jc w:val="center"/>
        </w:trPr>
        <w:tc>
          <w:tcPr>
            <w:tcW w:w="1075" w:type="dxa"/>
            <w:shd w:val="clear" w:color="auto" w:fill="auto"/>
            <w:noWrap/>
            <w:vAlign w:val="center"/>
            <w:hideMark/>
          </w:tcPr>
          <w:p w14:paraId="17E879BA"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4C9290E3" w14:textId="0E2C2C7B"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-0.727</w:t>
            </w:r>
            <w:r>
              <w:rPr>
                <w:rFonts w:ascii="Times New Roman" w:hAnsi="Times New Roman" w:cs="Times New Roman"/>
                <w:color w:val="000000"/>
                <w:sz w:val="16"/>
                <w:szCs w:val="16"/>
              </w:rPr>
              <w:t>7</w:t>
            </w:r>
          </w:p>
        </w:tc>
        <w:tc>
          <w:tcPr>
            <w:tcW w:w="1335" w:type="dxa"/>
            <w:vAlign w:val="center"/>
          </w:tcPr>
          <w:p w14:paraId="2DCD36C6" w14:textId="49ADF93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-1.2701</w:t>
            </w:r>
          </w:p>
        </w:tc>
        <w:tc>
          <w:tcPr>
            <w:tcW w:w="1453" w:type="dxa"/>
            <w:vAlign w:val="center"/>
          </w:tcPr>
          <w:p w14:paraId="34BB0965" w14:textId="6CFBC6D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-0.1852</w:t>
            </w:r>
          </w:p>
        </w:tc>
        <w:tc>
          <w:tcPr>
            <w:tcW w:w="1262" w:type="dxa"/>
            <w:shd w:val="clear" w:color="auto" w:fill="auto"/>
            <w:noWrap/>
            <w:vAlign w:val="center"/>
          </w:tcPr>
          <w:p w14:paraId="06643BC4" w14:textId="641941A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0.137</w:t>
            </w:r>
            <w:r>
              <w:rPr>
                <w:rFonts w:ascii="Times New Roman" w:hAnsi="Times New Roman" w:cs="Times New Roman"/>
                <w:color w:val="000000"/>
                <w:sz w:val="16"/>
                <w:szCs w:val="16"/>
              </w:rPr>
              <w:t>1</w:t>
            </w:r>
          </w:p>
        </w:tc>
        <w:tc>
          <w:tcPr>
            <w:tcW w:w="630" w:type="dxa"/>
            <w:shd w:val="clear" w:color="auto" w:fill="auto"/>
            <w:noWrap/>
            <w:vAlign w:val="center"/>
          </w:tcPr>
          <w:p w14:paraId="4E557A09" w14:textId="712C2D4E"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3.75</w:t>
            </w:r>
          </w:p>
        </w:tc>
        <w:tc>
          <w:tcPr>
            <w:tcW w:w="810" w:type="dxa"/>
            <w:shd w:val="clear" w:color="auto" w:fill="auto"/>
            <w:noWrap/>
            <w:vAlign w:val="center"/>
          </w:tcPr>
          <w:p w14:paraId="40378F13" w14:textId="29A0D24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71.63</w:t>
            </w:r>
          </w:p>
        </w:tc>
        <w:tc>
          <w:tcPr>
            <w:tcW w:w="1012" w:type="dxa"/>
            <w:shd w:val="clear" w:color="auto" w:fill="auto"/>
            <w:noWrap/>
            <w:vAlign w:val="center"/>
          </w:tcPr>
          <w:p w14:paraId="2E78A3A5" w14:textId="15BDA3D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0.0031</w:t>
            </w:r>
          </w:p>
        </w:tc>
      </w:tr>
      <w:tr w:rsidR="005462EA" w:rsidRPr="00FA5C43" w14:paraId="65F133CC" w14:textId="77777777" w:rsidTr="005462EA">
        <w:trPr>
          <w:trHeight w:val="300"/>
          <w:jc w:val="center"/>
        </w:trPr>
        <w:tc>
          <w:tcPr>
            <w:tcW w:w="1075" w:type="dxa"/>
            <w:shd w:val="clear" w:color="auto" w:fill="auto"/>
            <w:noWrap/>
            <w:vAlign w:val="center"/>
            <w:hideMark/>
          </w:tcPr>
          <w:p w14:paraId="33FA601E"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274622A3" w14:textId="4FB31DD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-0.5478</w:t>
            </w:r>
          </w:p>
        </w:tc>
        <w:tc>
          <w:tcPr>
            <w:tcW w:w="1335" w:type="dxa"/>
            <w:vAlign w:val="center"/>
          </w:tcPr>
          <w:p w14:paraId="48AB827C" w14:textId="323EF53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-1.086</w:t>
            </w:r>
            <w:r>
              <w:rPr>
                <w:rFonts w:ascii="Times New Roman" w:hAnsi="Times New Roman" w:cs="Times New Roman"/>
                <w:color w:val="000000"/>
                <w:sz w:val="16"/>
                <w:szCs w:val="16"/>
              </w:rPr>
              <w:t>0</w:t>
            </w:r>
          </w:p>
        </w:tc>
        <w:tc>
          <w:tcPr>
            <w:tcW w:w="1453" w:type="dxa"/>
            <w:vAlign w:val="center"/>
          </w:tcPr>
          <w:p w14:paraId="76B99C85" w14:textId="43FE9039"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-0.009</w:t>
            </w:r>
            <w:r>
              <w:rPr>
                <w:rFonts w:ascii="Times New Roman" w:hAnsi="Times New Roman" w:cs="Times New Roman"/>
                <w:color w:val="000000"/>
                <w:sz w:val="16"/>
                <w:szCs w:val="16"/>
              </w:rPr>
              <w:t>7</w:t>
            </w:r>
          </w:p>
        </w:tc>
        <w:tc>
          <w:tcPr>
            <w:tcW w:w="1262" w:type="dxa"/>
            <w:shd w:val="clear" w:color="auto" w:fill="auto"/>
            <w:noWrap/>
            <w:vAlign w:val="center"/>
          </w:tcPr>
          <w:p w14:paraId="49B6937A" w14:textId="632A6DC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0.1367</w:t>
            </w:r>
          </w:p>
        </w:tc>
        <w:tc>
          <w:tcPr>
            <w:tcW w:w="630" w:type="dxa"/>
            <w:shd w:val="clear" w:color="auto" w:fill="auto"/>
            <w:noWrap/>
            <w:vAlign w:val="center"/>
          </w:tcPr>
          <w:p w14:paraId="7C447E37" w14:textId="52EFFFAF"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2.83</w:t>
            </w:r>
          </w:p>
        </w:tc>
        <w:tc>
          <w:tcPr>
            <w:tcW w:w="810" w:type="dxa"/>
            <w:shd w:val="clear" w:color="auto" w:fill="auto"/>
            <w:noWrap/>
            <w:vAlign w:val="center"/>
          </w:tcPr>
          <w:p w14:paraId="6AAB0E72" w14:textId="6F003F8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90.7</w:t>
            </w:r>
            <w:r>
              <w:rPr>
                <w:rFonts w:ascii="Times New Roman" w:hAnsi="Times New Roman" w:cs="Times New Roman"/>
                <w:color w:val="000000"/>
                <w:sz w:val="16"/>
                <w:szCs w:val="16"/>
              </w:rPr>
              <w:t>2</w:t>
            </w:r>
          </w:p>
        </w:tc>
        <w:tc>
          <w:tcPr>
            <w:tcW w:w="1012" w:type="dxa"/>
            <w:shd w:val="clear" w:color="auto" w:fill="auto"/>
            <w:noWrap/>
            <w:vAlign w:val="center"/>
          </w:tcPr>
          <w:p w14:paraId="3F561F07" w14:textId="7C66066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0.044</w:t>
            </w:r>
          </w:p>
        </w:tc>
      </w:tr>
    </w:tbl>
    <w:p w14:paraId="0E4B9A41" w14:textId="113F6D90" w:rsidR="00706922" w:rsidRDefault="00706922">
      <w:pPr>
        <w:rPr>
          <w:rFonts w:ascii="Times New Roman" w:hAnsi="Times New Roman" w:cs="Times New Roman"/>
          <w:b/>
          <w:sz w:val="24"/>
          <w:szCs w:val="24"/>
          <w:lang w:val="en-US"/>
        </w:rPr>
      </w:pPr>
    </w:p>
    <w:p w14:paraId="5E4BE827" w14:textId="2DE6E77E"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5v. Elemental carbon.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350"/>
        <w:gridCol w:w="1260"/>
        <w:gridCol w:w="1440"/>
        <w:gridCol w:w="1440"/>
        <w:gridCol w:w="720"/>
        <w:gridCol w:w="720"/>
        <w:gridCol w:w="1012"/>
      </w:tblGrid>
      <w:tr w:rsidR="008843FD" w:rsidRPr="006D0FD5" w14:paraId="0DA026F7" w14:textId="77777777" w:rsidTr="008216F7">
        <w:trPr>
          <w:trHeight w:val="300"/>
          <w:jc w:val="center"/>
        </w:trPr>
        <w:tc>
          <w:tcPr>
            <w:tcW w:w="9017" w:type="dxa"/>
            <w:gridSpan w:val="8"/>
            <w:shd w:val="clear" w:color="auto" w:fill="auto"/>
            <w:noWrap/>
            <w:vAlign w:val="center"/>
          </w:tcPr>
          <w:p w14:paraId="30A38E8B" w14:textId="251A6F4B" w:rsidR="008843FD" w:rsidRPr="004A34A2" w:rsidRDefault="004A34A2" w:rsidP="008216F7">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8216F7" w14:paraId="6B93A861" w14:textId="77777777" w:rsidTr="001A2F55">
        <w:trPr>
          <w:trHeight w:val="300"/>
          <w:jc w:val="center"/>
        </w:trPr>
        <w:tc>
          <w:tcPr>
            <w:tcW w:w="6565" w:type="dxa"/>
            <w:gridSpan w:val="5"/>
            <w:vMerge w:val="restart"/>
            <w:shd w:val="clear" w:color="auto" w:fill="auto"/>
            <w:noWrap/>
            <w:vAlign w:val="center"/>
          </w:tcPr>
          <w:p w14:paraId="18C7ED4D" w14:textId="77777777" w:rsidR="005462EA" w:rsidRPr="004A34A2"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48E75819"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6E2B889A"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17246DC4"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p</w:t>
            </w:r>
          </w:p>
        </w:tc>
      </w:tr>
      <w:tr w:rsidR="005462EA" w:rsidRPr="008216F7" w14:paraId="6D615E87" w14:textId="77777777" w:rsidTr="001A2F55">
        <w:trPr>
          <w:trHeight w:val="300"/>
          <w:jc w:val="center"/>
        </w:trPr>
        <w:tc>
          <w:tcPr>
            <w:tcW w:w="6565" w:type="dxa"/>
            <w:gridSpan w:val="5"/>
            <w:vMerge/>
            <w:shd w:val="clear" w:color="auto" w:fill="auto"/>
            <w:noWrap/>
            <w:vAlign w:val="center"/>
          </w:tcPr>
          <w:p w14:paraId="5A6ECD9D"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67D2D42D" w14:textId="7BE7E884"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0.62</w:t>
            </w:r>
          </w:p>
        </w:tc>
        <w:tc>
          <w:tcPr>
            <w:tcW w:w="720" w:type="dxa"/>
            <w:shd w:val="clear" w:color="auto" w:fill="auto"/>
            <w:noWrap/>
            <w:vAlign w:val="center"/>
          </w:tcPr>
          <w:p w14:paraId="36748E0F" w14:textId="56EAE93E"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4, 196</w:t>
            </w:r>
          </w:p>
        </w:tc>
        <w:tc>
          <w:tcPr>
            <w:tcW w:w="1012" w:type="dxa"/>
            <w:shd w:val="clear" w:color="auto" w:fill="auto"/>
            <w:noWrap/>
            <w:vAlign w:val="center"/>
          </w:tcPr>
          <w:p w14:paraId="307AAD91" w14:textId="4365A6BF"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0.64</w:t>
            </w:r>
          </w:p>
        </w:tc>
      </w:tr>
      <w:tr w:rsidR="00085095" w:rsidRPr="006D0FD5" w14:paraId="7C59155A" w14:textId="77777777" w:rsidTr="008216F7">
        <w:trPr>
          <w:trHeight w:val="300"/>
          <w:jc w:val="center"/>
        </w:trPr>
        <w:tc>
          <w:tcPr>
            <w:tcW w:w="9017" w:type="dxa"/>
            <w:gridSpan w:val="8"/>
            <w:shd w:val="clear" w:color="auto" w:fill="auto"/>
            <w:noWrap/>
            <w:vAlign w:val="center"/>
          </w:tcPr>
          <w:p w14:paraId="5CF69FB0" w14:textId="230F838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 xml:space="preserve">One-way </w:t>
            </w:r>
            <w:r w:rsidR="00411B7C" w:rsidRPr="008216F7">
              <w:rPr>
                <w:rFonts w:ascii="Times New Roman" w:eastAsia="Times New Roman" w:hAnsi="Times New Roman" w:cs="Times New Roman"/>
                <w:b/>
                <w:i/>
                <w:color w:val="000000"/>
                <w:sz w:val="16"/>
                <w:szCs w:val="16"/>
                <w:lang w:val="en-US" w:eastAsia="de-DE"/>
              </w:rPr>
              <w:t>analysis of variance</w:t>
            </w:r>
            <w:r w:rsidRPr="008216F7">
              <w:rPr>
                <w:rFonts w:ascii="Times New Roman" w:eastAsia="Times New Roman" w:hAnsi="Times New Roman" w:cs="Times New Roman"/>
                <w:b/>
                <w:i/>
                <w:color w:val="000000"/>
                <w:sz w:val="16"/>
                <w:szCs w:val="16"/>
                <w:lang w:val="en-US" w:eastAsia="de-DE"/>
              </w:rPr>
              <w:t xml:space="preserve"> assuming equal variances</w:t>
            </w:r>
          </w:p>
        </w:tc>
      </w:tr>
      <w:tr w:rsidR="005462EA" w:rsidRPr="008216F7" w14:paraId="13427732" w14:textId="77777777" w:rsidTr="001A2F55">
        <w:trPr>
          <w:trHeight w:val="300"/>
          <w:jc w:val="center"/>
        </w:trPr>
        <w:tc>
          <w:tcPr>
            <w:tcW w:w="6565" w:type="dxa"/>
            <w:gridSpan w:val="5"/>
            <w:vMerge w:val="restart"/>
            <w:shd w:val="clear" w:color="auto" w:fill="auto"/>
            <w:noWrap/>
            <w:vAlign w:val="center"/>
          </w:tcPr>
          <w:p w14:paraId="75A045D4"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0A3D971" w14:textId="6B81666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48D98E9B" w14:textId="5E42CE77"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5D409FE2" w14:textId="43F7A30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p</w:t>
            </w:r>
          </w:p>
        </w:tc>
      </w:tr>
      <w:tr w:rsidR="005462EA" w:rsidRPr="008216F7" w14:paraId="1E5A5BF6" w14:textId="77777777" w:rsidTr="001A2F55">
        <w:trPr>
          <w:trHeight w:val="300"/>
          <w:jc w:val="center"/>
        </w:trPr>
        <w:tc>
          <w:tcPr>
            <w:tcW w:w="6565" w:type="dxa"/>
            <w:gridSpan w:val="5"/>
            <w:vMerge/>
            <w:shd w:val="clear" w:color="auto" w:fill="auto"/>
            <w:noWrap/>
            <w:vAlign w:val="center"/>
          </w:tcPr>
          <w:p w14:paraId="25A41ADD"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3A75D77" w14:textId="26381FE3"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color w:val="000000"/>
                <w:sz w:val="16"/>
                <w:szCs w:val="16"/>
                <w:lang w:val="en-US" w:eastAsia="de-DE"/>
              </w:rPr>
              <w:t>3.60</w:t>
            </w:r>
          </w:p>
        </w:tc>
        <w:tc>
          <w:tcPr>
            <w:tcW w:w="720" w:type="dxa"/>
            <w:shd w:val="clear" w:color="auto" w:fill="auto"/>
            <w:noWrap/>
            <w:vAlign w:val="center"/>
          </w:tcPr>
          <w:p w14:paraId="66B95527" w14:textId="49AB4272"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color w:val="000000"/>
                <w:sz w:val="16"/>
                <w:szCs w:val="16"/>
                <w:lang w:val="en-US" w:eastAsia="de-DE"/>
              </w:rPr>
              <w:t>4, 196</w:t>
            </w:r>
          </w:p>
        </w:tc>
        <w:tc>
          <w:tcPr>
            <w:tcW w:w="1012" w:type="dxa"/>
            <w:shd w:val="clear" w:color="auto" w:fill="auto"/>
            <w:noWrap/>
            <w:vAlign w:val="center"/>
          </w:tcPr>
          <w:p w14:paraId="6F049879" w14:textId="47EF4280" w:rsidR="005462EA" w:rsidRPr="001F5588" w:rsidRDefault="005462EA" w:rsidP="008216F7">
            <w:pPr>
              <w:spacing w:after="0" w:line="240" w:lineRule="auto"/>
              <w:jc w:val="center"/>
              <w:rPr>
                <w:rFonts w:ascii="Times New Roman" w:eastAsia="Times New Roman" w:hAnsi="Times New Roman" w:cs="Times New Roman"/>
                <w:b/>
                <w:color w:val="000000"/>
                <w:sz w:val="16"/>
                <w:szCs w:val="16"/>
                <w:lang w:val="en-US" w:eastAsia="de-DE"/>
              </w:rPr>
            </w:pPr>
            <w:r w:rsidRPr="001F5588">
              <w:rPr>
                <w:rFonts w:ascii="Times New Roman" w:eastAsia="Times New Roman" w:hAnsi="Times New Roman" w:cs="Times New Roman"/>
                <w:b/>
                <w:color w:val="000000"/>
                <w:sz w:val="16"/>
                <w:szCs w:val="16"/>
                <w:lang w:val="en-US" w:eastAsia="de-DE"/>
              </w:rPr>
              <w:t>0.0074</w:t>
            </w:r>
          </w:p>
        </w:tc>
      </w:tr>
      <w:tr w:rsidR="00085095" w:rsidRPr="006D0FD5" w14:paraId="47A74388" w14:textId="77777777" w:rsidTr="008216F7">
        <w:trPr>
          <w:trHeight w:val="300"/>
          <w:jc w:val="center"/>
        </w:trPr>
        <w:tc>
          <w:tcPr>
            <w:tcW w:w="9017" w:type="dxa"/>
            <w:gridSpan w:val="8"/>
            <w:shd w:val="clear" w:color="auto" w:fill="auto"/>
            <w:noWrap/>
            <w:vAlign w:val="center"/>
          </w:tcPr>
          <w:p w14:paraId="4B744C7D" w14:textId="7F759E9D"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 xml:space="preserve">One-way </w:t>
            </w:r>
            <w:r w:rsidR="00411B7C" w:rsidRPr="008216F7">
              <w:rPr>
                <w:rFonts w:ascii="Times New Roman" w:eastAsia="Times New Roman" w:hAnsi="Times New Roman" w:cs="Times New Roman"/>
                <w:b/>
                <w:i/>
                <w:color w:val="000000"/>
                <w:sz w:val="16"/>
                <w:szCs w:val="16"/>
                <w:lang w:val="en-US" w:eastAsia="de-DE"/>
              </w:rPr>
              <w:t>analysis of variance</w:t>
            </w:r>
            <w:r w:rsidRPr="008216F7">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8216F7" w14:paraId="69A51506" w14:textId="77777777" w:rsidTr="001A2F55">
        <w:trPr>
          <w:trHeight w:val="300"/>
          <w:jc w:val="center"/>
        </w:trPr>
        <w:tc>
          <w:tcPr>
            <w:tcW w:w="6565" w:type="dxa"/>
            <w:gridSpan w:val="5"/>
            <w:vMerge w:val="restart"/>
            <w:shd w:val="clear" w:color="auto" w:fill="auto"/>
            <w:noWrap/>
            <w:vAlign w:val="center"/>
          </w:tcPr>
          <w:p w14:paraId="248DBC52"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6C7E4D75"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446E8022"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5E36714A" w14:textId="360719E9"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5462EA" w:rsidRPr="008216F7" w14:paraId="7572BAC4" w14:textId="77777777" w:rsidTr="001A2F55">
        <w:trPr>
          <w:trHeight w:val="300"/>
          <w:jc w:val="center"/>
        </w:trPr>
        <w:tc>
          <w:tcPr>
            <w:tcW w:w="6565" w:type="dxa"/>
            <w:gridSpan w:val="5"/>
            <w:vMerge/>
            <w:shd w:val="clear" w:color="auto" w:fill="auto"/>
            <w:noWrap/>
            <w:vAlign w:val="center"/>
          </w:tcPr>
          <w:p w14:paraId="366ADD0C"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3CAEF93D" w14:textId="0B8BAC4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val="en-US" w:eastAsia="de-DE"/>
              </w:rPr>
              <w:t>13.03</w:t>
            </w:r>
          </w:p>
        </w:tc>
        <w:tc>
          <w:tcPr>
            <w:tcW w:w="720" w:type="dxa"/>
            <w:shd w:val="clear" w:color="auto" w:fill="auto"/>
            <w:noWrap/>
            <w:vAlign w:val="center"/>
          </w:tcPr>
          <w:p w14:paraId="1F9C77DF" w14:textId="085D5220" w:rsidR="005462EA" w:rsidRPr="008216F7" w:rsidRDefault="005462EA" w:rsidP="008216F7">
            <w:pPr>
              <w:spacing w:after="0" w:line="240" w:lineRule="auto"/>
              <w:jc w:val="center"/>
              <w:rPr>
                <w:rFonts w:ascii="Times New Roman" w:eastAsia="Times New Roman" w:hAnsi="Times New Roman" w:cs="Times New Roman"/>
                <w:b/>
                <w:color w:val="000000"/>
                <w:sz w:val="16"/>
                <w:szCs w:val="16"/>
                <w:lang w:eastAsia="de-DE"/>
              </w:rPr>
            </w:pPr>
            <w:r w:rsidRPr="008216F7">
              <w:rPr>
                <w:rFonts w:ascii="Times New Roman" w:eastAsia="Times New Roman" w:hAnsi="Times New Roman" w:cs="Times New Roman"/>
                <w:color w:val="000000"/>
                <w:sz w:val="16"/>
                <w:szCs w:val="16"/>
                <w:lang w:val="en-US" w:eastAsia="de-DE"/>
              </w:rPr>
              <w:t>4, 83.13</w:t>
            </w:r>
          </w:p>
        </w:tc>
        <w:tc>
          <w:tcPr>
            <w:tcW w:w="1012" w:type="dxa"/>
            <w:shd w:val="clear" w:color="auto" w:fill="auto"/>
            <w:noWrap/>
            <w:vAlign w:val="center"/>
          </w:tcPr>
          <w:p w14:paraId="50AF7044" w14:textId="794FEA2C" w:rsidR="005462EA" w:rsidRPr="001F5588" w:rsidRDefault="005462EA"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val="en-US" w:eastAsia="de-DE"/>
              </w:rPr>
              <w:t>2.8 x 10</w:t>
            </w:r>
            <w:r w:rsidRPr="001F5588">
              <w:rPr>
                <w:rFonts w:ascii="Times New Roman" w:eastAsia="Times New Roman" w:hAnsi="Times New Roman" w:cs="Times New Roman"/>
                <w:b/>
                <w:color w:val="000000"/>
                <w:sz w:val="16"/>
                <w:szCs w:val="16"/>
                <w:vertAlign w:val="superscript"/>
                <w:lang w:val="en-US" w:eastAsia="de-DE"/>
              </w:rPr>
              <w:t>-8</w:t>
            </w:r>
          </w:p>
        </w:tc>
      </w:tr>
      <w:tr w:rsidR="00085095" w:rsidRPr="006D0FD5" w14:paraId="7029E0C1" w14:textId="77777777" w:rsidTr="008216F7">
        <w:trPr>
          <w:trHeight w:val="300"/>
          <w:jc w:val="center"/>
        </w:trPr>
        <w:tc>
          <w:tcPr>
            <w:tcW w:w="9017" w:type="dxa"/>
            <w:gridSpan w:val="8"/>
            <w:shd w:val="clear" w:color="auto" w:fill="auto"/>
            <w:noWrap/>
            <w:vAlign w:val="center"/>
          </w:tcPr>
          <w:p w14:paraId="4D73D7C8"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Games-Howell post-hoc tests for group differences</w:t>
            </w:r>
          </w:p>
        </w:tc>
      </w:tr>
      <w:tr w:rsidR="00085095" w:rsidRPr="008216F7" w14:paraId="60CAE74D" w14:textId="77777777" w:rsidTr="00D02A24">
        <w:trPr>
          <w:trHeight w:val="300"/>
          <w:jc w:val="center"/>
        </w:trPr>
        <w:tc>
          <w:tcPr>
            <w:tcW w:w="1075" w:type="dxa"/>
            <w:shd w:val="clear" w:color="auto" w:fill="auto"/>
            <w:noWrap/>
            <w:vAlign w:val="center"/>
            <w:hideMark/>
          </w:tcPr>
          <w:p w14:paraId="11A048CC" w14:textId="77777777"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Quantiles</w:t>
            </w:r>
          </w:p>
        </w:tc>
        <w:tc>
          <w:tcPr>
            <w:tcW w:w="1350" w:type="dxa"/>
            <w:shd w:val="clear" w:color="auto" w:fill="auto"/>
            <w:noWrap/>
            <w:vAlign w:val="center"/>
            <w:hideMark/>
          </w:tcPr>
          <w:p w14:paraId="4D15772D" w14:textId="512F8117" w:rsidR="00085095" w:rsidRPr="001F5588" w:rsidRDefault="0060107F"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Mean difference</w:t>
            </w:r>
          </w:p>
        </w:tc>
        <w:tc>
          <w:tcPr>
            <w:tcW w:w="1260" w:type="dxa"/>
            <w:vAlign w:val="center"/>
          </w:tcPr>
          <w:p w14:paraId="4B89D49C" w14:textId="52308513" w:rsidR="00085095" w:rsidRPr="001F5588" w:rsidRDefault="001F5588" w:rsidP="008216F7">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085095" w:rsidRPr="001F5588">
              <w:rPr>
                <w:rFonts w:ascii="Times New Roman" w:eastAsia="Times New Roman" w:hAnsi="Times New Roman" w:cs="Times New Roman"/>
                <w:b/>
                <w:color w:val="000000"/>
                <w:sz w:val="16"/>
                <w:szCs w:val="16"/>
                <w:lang w:eastAsia="de-DE"/>
              </w:rPr>
              <w:t>r 95% CI</w:t>
            </w:r>
          </w:p>
        </w:tc>
        <w:tc>
          <w:tcPr>
            <w:tcW w:w="1440" w:type="dxa"/>
            <w:vAlign w:val="center"/>
          </w:tcPr>
          <w:p w14:paraId="01AE47A8" w14:textId="37E49B88" w:rsidR="00085095" w:rsidRPr="001F5588" w:rsidRDefault="001F5588" w:rsidP="008216F7">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085095" w:rsidRPr="001F5588">
              <w:rPr>
                <w:rFonts w:ascii="Times New Roman" w:eastAsia="Times New Roman" w:hAnsi="Times New Roman" w:cs="Times New Roman"/>
                <w:b/>
                <w:color w:val="000000"/>
                <w:sz w:val="16"/>
                <w:szCs w:val="16"/>
                <w:lang w:eastAsia="de-DE"/>
              </w:rPr>
              <w:t>er 95% CI</w:t>
            </w:r>
          </w:p>
        </w:tc>
        <w:tc>
          <w:tcPr>
            <w:tcW w:w="1440" w:type="dxa"/>
            <w:shd w:val="clear" w:color="auto" w:fill="auto"/>
            <w:noWrap/>
            <w:vAlign w:val="center"/>
            <w:hideMark/>
          </w:tcPr>
          <w:p w14:paraId="15FFA97D" w14:textId="77777777"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0C15CF65"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t</w:t>
            </w:r>
          </w:p>
        </w:tc>
        <w:tc>
          <w:tcPr>
            <w:tcW w:w="720" w:type="dxa"/>
            <w:shd w:val="clear" w:color="auto" w:fill="auto"/>
            <w:noWrap/>
            <w:vAlign w:val="center"/>
            <w:hideMark/>
          </w:tcPr>
          <w:p w14:paraId="3BC21BE6"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20B527F7" w14:textId="61F56317" w:rsidR="00085095" w:rsidRPr="008216F7" w:rsidRDefault="00D02A24" w:rsidP="008216F7">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085095" w:rsidRPr="008216F7" w14:paraId="1AE790F6" w14:textId="77777777" w:rsidTr="00D02A24">
        <w:trPr>
          <w:trHeight w:val="300"/>
          <w:jc w:val="center"/>
        </w:trPr>
        <w:tc>
          <w:tcPr>
            <w:tcW w:w="1075" w:type="dxa"/>
            <w:shd w:val="clear" w:color="auto" w:fill="auto"/>
            <w:noWrap/>
            <w:vAlign w:val="center"/>
            <w:hideMark/>
          </w:tcPr>
          <w:p w14:paraId="63185421"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5:4</w:t>
            </w:r>
          </w:p>
        </w:tc>
        <w:tc>
          <w:tcPr>
            <w:tcW w:w="1350" w:type="dxa"/>
            <w:shd w:val="clear" w:color="auto" w:fill="auto"/>
            <w:noWrap/>
            <w:vAlign w:val="center"/>
          </w:tcPr>
          <w:p w14:paraId="37606A0E" w14:textId="0516B3D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-0.4382</w:t>
            </w:r>
          </w:p>
        </w:tc>
        <w:tc>
          <w:tcPr>
            <w:tcW w:w="1260" w:type="dxa"/>
            <w:vAlign w:val="center"/>
          </w:tcPr>
          <w:p w14:paraId="08D15C6D" w14:textId="55AB15F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-1.406</w:t>
            </w:r>
            <w:r w:rsidR="008216F7">
              <w:rPr>
                <w:rFonts w:ascii="Times New Roman" w:hAnsi="Times New Roman" w:cs="Times New Roman"/>
                <w:color w:val="000000"/>
                <w:sz w:val="16"/>
                <w:szCs w:val="16"/>
              </w:rPr>
              <w:t>5</w:t>
            </w:r>
          </w:p>
        </w:tc>
        <w:tc>
          <w:tcPr>
            <w:tcW w:w="1440" w:type="dxa"/>
            <w:vAlign w:val="center"/>
          </w:tcPr>
          <w:p w14:paraId="62D3840F" w14:textId="4D2A0DA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0.530</w:t>
            </w:r>
            <w:r w:rsidR="008216F7">
              <w:rPr>
                <w:rFonts w:ascii="Times New Roman" w:hAnsi="Times New Roman" w:cs="Times New Roman"/>
                <w:color w:val="000000"/>
                <w:sz w:val="16"/>
                <w:szCs w:val="16"/>
              </w:rPr>
              <w:t>1</w:t>
            </w:r>
          </w:p>
        </w:tc>
        <w:tc>
          <w:tcPr>
            <w:tcW w:w="1440" w:type="dxa"/>
            <w:shd w:val="clear" w:color="auto" w:fill="auto"/>
            <w:noWrap/>
            <w:vAlign w:val="center"/>
          </w:tcPr>
          <w:p w14:paraId="677E11B5" w14:textId="2C89A00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0.2421</w:t>
            </w:r>
          </w:p>
        </w:tc>
        <w:tc>
          <w:tcPr>
            <w:tcW w:w="720" w:type="dxa"/>
            <w:shd w:val="clear" w:color="auto" w:fill="auto"/>
            <w:noWrap/>
            <w:vAlign w:val="center"/>
          </w:tcPr>
          <w:p w14:paraId="6A7A39EC" w14:textId="3FCAB6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1.2</w:t>
            </w:r>
            <w:r w:rsidR="00D02A24">
              <w:rPr>
                <w:rFonts w:ascii="Times New Roman" w:hAnsi="Times New Roman" w:cs="Times New Roman"/>
                <w:color w:val="000000"/>
                <w:sz w:val="16"/>
                <w:szCs w:val="16"/>
              </w:rPr>
              <w:t>8</w:t>
            </w:r>
          </w:p>
        </w:tc>
        <w:tc>
          <w:tcPr>
            <w:tcW w:w="720" w:type="dxa"/>
            <w:shd w:val="clear" w:color="auto" w:fill="auto"/>
            <w:noWrap/>
            <w:vAlign w:val="center"/>
          </w:tcPr>
          <w:p w14:paraId="6E0D0586" w14:textId="54BBD3C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51.0</w:t>
            </w:r>
            <w:r w:rsidR="00D02A24">
              <w:rPr>
                <w:rFonts w:ascii="Times New Roman" w:hAnsi="Times New Roman" w:cs="Times New Roman"/>
                <w:color w:val="000000"/>
                <w:sz w:val="16"/>
                <w:szCs w:val="16"/>
              </w:rPr>
              <w:t>1</w:t>
            </w:r>
          </w:p>
        </w:tc>
        <w:tc>
          <w:tcPr>
            <w:tcW w:w="1012" w:type="dxa"/>
            <w:shd w:val="clear" w:color="auto" w:fill="auto"/>
            <w:noWrap/>
            <w:vAlign w:val="center"/>
          </w:tcPr>
          <w:p w14:paraId="0499CA03" w14:textId="738C66A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0.70</w:t>
            </w:r>
          </w:p>
        </w:tc>
      </w:tr>
      <w:tr w:rsidR="00085095" w:rsidRPr="008216F7" w14:paraId="0E6690BA" w14:textId="77777777" w:rsidTr="00D02A24">
        <w:trPr>
          <w:trHeight w:val="300"/>
          <w:jc w:val="center"/>
        </w:trPr>
        <w:tc>
          <w:tcPr>
            <w:tcW w:w="1075" w:type="dxa"/>
            <w:shd w:val="clear" w:color="auto" w:fill="auto"/>
            <w:noWrap/>
            <w:vAlign w:val="center"/>
            <w:hideMark/>
          </w:tcPr>
          <w:p w14:paraId="40B0E5DD"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5:3</w:t>
            </w:r>
          </w:p>
        </w:tc>
        <w:tc>
          <w:tcPr>
            <w:tcW w:w="1350" w:type="dxa"/>
            <w:shd w:val="clear" w:color="auto" w:fill="auto"/>
            <w:noWrap/>
            <w:vAlign w:val="center"/>
          </w:tcPr>
          <w:p w14:paraId="5D6F2779" w14:textId="557124B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-0.285</w:t>
            </w:r>
            <w:r w:rsidR="008216F7">
              <w:rPr>
                <w:rFonts w:ascii="Times New Roman" w:hAnsi="Times New Roman" w:cs="Times New Roman"/>
                <w:color w:val="000000"/>
                <w:sz w:val="16"/>
                <w:szCs w:val="16"/>
              </w:rPr>
              <w:t>8</w:t>
            </w:r>
          </w:p>
        </w:tc>
        <w:tc>
          <w:tcPr>
            <w:tcW w:w="1260" w:type="dxa"/>
            <w:vAlign w:val="center"/>
          </w:tcPr>
          <w:p w14:paraId="0C4A4525" w14:textId="115570C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-1.25</w:t>
            </w:r>
            <w:r w:rsidR="008216F7">
              <w:rPr>
                <w:rFonts w:ascii="Times New Roman" w:hAnsi="Times New Roman" w:cs="Times New Roman"/>
                <w:color w:val="000000"/>
                <w:sz w:val="16"/>
                <w:szCs w:val="16"/>
              </w:rPr>
              <w:t>20</w:t>
            </w:r>
          </w:p>
        </w:tc>
        <w:tc>
          <w:tcPr>
            <w:tcW w:w="1440" w:type="dxa"/>
            <w:vAlign w:val="center"/>
          </w:tcPr>
          <w:p w14:paraId="184B5D68" w14:textId="4A60E24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0.6804</w:t>
            </w:r>
          </w:p>
        </w:tc>
        <w:tc>
          <w:tcPr>
            <w:tcW w:w="1440" w:type="dxa"/>
            <w:shd w:val="clear" w:color="auto" w:fill="auto"/>
            <w:noWrap/>
            <w:vAlign w:val="center"/>
          </w:tcPr>
          <w:p w14:paraId="1E4B24C4" w14:textId="12C00A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0.241</w:t>
            </w:r>
            <w:r w:rsidR="00D02A24">
              <w:rPr>
                <w:rFonts w:ascii="Times New Roman" w:hAnsi="Times New Roman" w:cs="Times New Roman"/>
                <w:color w:val="000000"/>
                <w:sz w:val="16"/>
                <w:szCs w:val="16"/>
              </w:rPr>
              <w:t>6</w:t>
            </w:r>
          </w:p>
        </w:tc>
        <w:tc>
          <w:tcPr>
            <w:tcW w:w="720" w:type="dxa"/>
            <w:shd w:val="clear" w:color="auto" w:fill="auto"/>
            <w:noWrap/>
            <w:vAlign w:val="center"/>
          </w:tcPr>
          <w:p w14:paraId="43CE3FB4" w14:textId="472B0CB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w:t>
            </w:r>
            <w:r w:rsidR="00D02A24">
              <w:rPr>
                <w:rFonts w:ascii="Times New Roman" w:hAnsi="Times New Roman" w:cs="Times New Roman"/>
                <w:color w:val="000000"/>
                <w:sz w:val="16"/>
                <w:szCs w:val="16"/>
              </w:rPr>
              <w:t>4</w:t>
            </w:r>
          </w:p>
        </w:tc>
        <w:tc>
          <w:tcPr>
            <w:tcW w:w="720" w:type="dxa"/>
            <w:shd w:val="clear" w:color="auto" w:fill="auto"/>
            <w:noWrap/>
            <w:vAlign w:val="center"/>
          </w:tcPr>
          <w:p w14:paraId="5A6EC7B0" w14:textId="1457EEE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50.68</w:t>
            </w:r>
          </w:p>
        </w:tc>
        <w:tc>
          <w:tcPr>
            <w:tcW w:w="1012" w:type="dxa"/>
            <w:shd w:val="clear" w:color="auto" w:fill="auto"/>
            <w:noWrap/>
            <w:vAlign w:val="center"/>
          </w:tcPr>
          <w:p w14:paraId="66EF88F8" w14:textId="71B212F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0.9</w:t>
            </w:r>
            <w:r w:rsidR="00D02A24">
              <w:rPr>
                <w:rFonts w:ascii="Times New Roman" w:hAnsi="Times New Roman" w:cs="Times New Roman"/>
                <w:color w:val="000000"/>
                <w:sz w:val="16"/>
                <w:szCs w:val="16"/>
              </w:rPr>
              <w:t>2</w:t>
            </w:r>
          </w:p>
        </w:tc>
      </w:tr>
      <w:tr w:rsidR="00085095" w:rsidRPr="008216F7" w14:paraId="62B360B5" w14:textId="77777777" w:rsidTr="00D02A24">
        <w:trPr>
          <w:trHeight w:val="300"/>
          <w:jc w:val="center"/>
        </w:trPr>
        <w:tc>
          <w:tcPr>
            <w:tcW w:w="1075" w:type="dxa"/>
            <w:shd w:val="clear" w:color="auto" w:fill="auto"/>
            <w:noWrap/>
            <w:vAlign w:val="center"/>
            <w:hideMark/>
          </w:tcPr>
          <w:p w14:paraId="0FCAE200"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5:2</w:t>
            </w:r>
          </w:p>
        </w:tc>
        <w:tc>
          <w:tcPr>
            <w:tcW w:w="1350" w:type="dxa"/>
            <w:shd w:val="clear" w:color="auto" w:fill="auto"/>
            <w:noWrap/>
            <w:vAlign w:val="center"/>
          </w:tcPr>
          <w:p w14:paraId="754CD6D7" w14:textId="78275CD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-0.533</w:t>
            </w:r>
            <w:r w:rsidR="008216F7">
              <w:rPr>
                <w:rFonts w:ascii="Times New Roman" w:hAnsi="Times New Roman" w:cs="Times New Roman"/>
                <w:color w:val="000000"/>
                <w:sz w:val="16"/>
                <w:szCs w:val="16"/>
              </w:rPr>
              <w:t>8</w:t>
            </w:r>
          </w:p>
        </w:tc>
        <w:tc>
          <w:tcPr>
            <w:tcW w:w="1260" w:type="dxa"/>
            <w:vAlign w:val="center"/>
          </w:tcPr>
          <w:p w14:paraId="1FDAE2D4" w14:textId="5AC2D2B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-1.493</w:t>
            </w:r>
            <w:r w:rsidR="008216F7">
              <w:rPr>
                <w:rFonts w:ascii="Times New Roman" w:hAnsi="Times New Roman" w:cs="Times New Roman"/>
                <w:color w:val="000000"/>
                <w:sz w:val="16"/>
                <w:szCs w:val="16"/>
              </w:rPr>
              <w:t>6</w:t>
            </w:r>
          </w:p>
        </w:tc>
        <w:tc>
          <w:tcPr>
            <w:tcW w:w="1440" w:type="dxa"/>
            <w:vAlign w:val="center"/>
          </w:tcPr>
          <w:p w14:paraId="2B3CA813" w14:textId="5C22E36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0.426</w:t>
            </w:r>
            <w:r w:rsidR="008216F7">
              <w:rPr>
                <w:rFonts w:ascii="Times New Roman" w:hAnsi="Times New Roman" w:cs="Times New Roman"/>
                <w:color w:val="000000"/>
                <w:sz w:val="16"/>
                <w:szCs w:val="16"/>
              </w:rPr>
              <w:t>1</w:t>
            </w:r>
          </w:p>
        </w:tc>
        <w:tc>
          <w:tcPr>
            <w:tcW w:w="1440" w:type="dxa"/>
            <w:shd w:val="clear" w:color="auto" w:fill="auto"/>
            <w:noWrap/>
            <w:vAlign w:val="center"/>
          </w:tcPr>
          <w:p w14:paraId="51089833" w14:textId="3B0BF64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0.239</w:t>
            </w:r>
            <w:r w:rsidR="00D02A24">
              <w:rPr>
                <w:rFonts w:ascii="Times New Roman" w:hAnsi="Times New Roman" w:cs="Times New Roman"/>
                <w:color w:val="000000"/>
                <w:sz w:val="16"/>
                <w:szCs w:val="16"/>
              </w:rPr>
              <w:t>7</w:t>
            </w:r>
          </w:p>
        </w:tc>
        <w:tc>
          <w:tcPr>
            <w:tcW w:w="720" w:type="dxa"/>
            <w:shd w:val="clear" w:color="auto" w:fill="auto"/>
            <w:noWrap/>
            <w:vAlign w:val="center"/>
          </w:tcPr>
          <w:p w14:paraId="51C3B850" w14:textId="6D81C79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1.57</w:t>
            </w:r>
          </w:p>
        </w:tc>
        <w:tc>
          <w:tcPr>
            <w:tcW w:w="720" w:type="dxa"/>
            <w:shd w:val="clear" w:color="auto" w:fill="auto"/>
            <w:noWrap/>
            <w:vAlign w:val="center"/>
          </w:tcPr>
          <w:p w14:paraId="5C82C275" w14:textId="66CA270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49.2</w:t>
            </w:r>
            <w:r w:rsidR="00D02A24">
              <w:rPr>
                <w:rFonts w:ascii="Times New Roman" w:hAnsi="Times New Roman" w:cs="Times New Roman"/>
                <w:color w:val="000000"/>
                <w:sz w:val="16"/>
                <w:szCs w:val="16"/>
              </w:rPr>
              <w:t>2</w:t>
            </w:r>
          </w:p>
        </w:tc>
        <w:tc>
          <w:tcPr>
            <w:tcW w:w="1012" w:type="dxa"/>
            <w:shd w:val="clear" w:color="auto" w:fill="auto"/>
            <w:noWrap/>
            <w:vAlign w:val="center"/>
          </w:tcPr>
          <w:p w14:paraId="1F6AE3D7" w14:textId="491F0E9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0.52</w:t>
            </w:r>
          </w:p>
        </w:tc>
      </w:tr>
      <w:tr w:rsidR="00085095" w:rsidRPr="008216F7" w14:paraId="03543A74" w14:textId="77777777" w:rsidTr="00D02A24">
        <w:trPr>
          <w:trHeight w:val="300"/>
          <w:jc w:val="center"/>
        </w:trPr>
        <w:tc>
          <w:tcPr>
            <w:tcW w:w="1075" w:type="dxa"/>
            <w:shd w:val="clear" w:color="auto" w:fill="auto"/>
            <w:noWrap/>
            <w:vAlign w:val="center"/>
            <w:hideMark/>
          </w:tcPr>
          <w:p w14:paraId="1691E309"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5:1</w:t>
            </w:r>
          </w:p>
        </w:tc>
        <w:tc>
          <w:tcPr>
            <w:tcW w:w="1350" w:type="dxa"/>
            <w:shd w:val="clear" w:color="auto" w:fill="auto"/>
            <w:noWrap/>
            <w:vAlign w:val="center"/>
          </w:tcPr>
          <w:p w14:paraId="75BF9D98" w14:textId="5D5CDF3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-0.829</w:t>
            </w:r>
            <w:r w:rsidR="008216F7">
              <w:rPr>
                <w:rFonts w:ascii="Times New Roman" w:hAnsi="Times New Roman" w:cs="Times New Roman"/>
                <w:color w:val="000000"/>
                <w:sz w:val="16"/>
                <w:szCs w:val="16"/>
              </w:rPr>
              <w:t>9</w:t>
            </w:r>
          </w:p>
        </w:tc>
        <w:tc>
          <w:tcPr>
            <w:tcW w:w="1260" w:type="dxa"/>
            <w:vAlign w:val="center"/>
          </w:tcPr>
          <w:p w14:paraId="530DBB71" w14:textId="5F368B4D"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-1.782</w:t>
            </w:r>
            <w:r w:rsidR="008216F7">
              <w:rPr>
                <w:rFonts w:ascii="Times New Roman" w:hAnsi="Times New Roman" w:cs="Times New Roman"/>
                <w:color w:val="000000"/>
                <w:sz w:val="16"/>
                <w:szCs w:val="16"/>
              </w:rPr>
              <w:t>5</w:t>
            </w:r>
          </w:p>
        </w:tc>
        <w:tc>
          <w:tcPr>
            <w:tcW w:w="1440" w:type="dxa"/>
            <w:vAlign w:val="center"/>
          </w:tcPr>
          <w:p w14:paraId="50DCB531" w14:textId="3333580B"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0.1227</w:t>
            </w:r>
          </w:p>
        </w:tc>
        <w:tc>
          <w:tcPr>
            <w:tcW w:w="1440" w:type="dxa"/>
            <w:shd w:val="clear" w:color="auto" w:fill="auto"/>
            <w:noWrap/>
            <w:vAlign w:val="center"/>
          </w:tcPr>
          <w:p w14:paraId="3E1FFC28" w14:textId="6663C72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0.237</w:t>
            </w:r>
            <w:r w:rsidR="00D02A24">
              <w:rPr>
                <w:rFonts w:ascii="Times New Roman" w:hAnsi="Times New Roman" w:cs="Times New Roman"/>
                <w:color w:val="000000"/>
                <w:sz w:val="16"/>
                <w:szCs w:val="16"/>
              </w:rPr>
              <w:t>6</w:t>
            </w:r>
          </w:p>
        </w:tc>
        <w:tc>
          <w:tcPr>
            <w:tcW w:w="720" w:type="dxa"/>
            <w:shd w:val="clear" w:color="auto" w:fill="auto"/>
            <w:noWrap/>
            <w:vAlign w:val="center"/>
          </w:tcPr>
          <w:p w14:paraId="6C195ED3" w14:textId="2AAB208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2.4</w:t>
            </w:r>
            <w:r w:rsidR="00D02A24">
              <w:rPr>
                <w:rFonts w:ascii="Times New Roman" w:hAnsi="Times New Roman" w:cs="Times New Roman"/>
                <w:color w:val="000000"/>
                <w:sz w:val="16"/>
                <w:szCs w:val="16"/>
              </w:rPr>
              <w:t>7</w:t>
            </w:r>
          </w:p>
        </w:tc>
        <w:tc>
          <w:tcPr>
            <w:tcW w:w="720" w:type="dxa"/>
            <w:shd w:val="clear" w:color="auto" w:fill="auto"/>
            <w:noWrap/>
            <w:vAlign w:val="center"/>
          </w:tcPr>
          <w:p w14:paraId="2457ABC1" w14:textId="53AE19D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47.5</w:t>
            </w:r>
            <w:r w:rsidR="00D02A24">
              <w:rPr>
                <w:rFonts w:ascii="Times New Roman" w:hAnsi="Times New Roman" w:cs="Times New Roman"/>
                <w:color w:val="000000"/>
                <w:sz w:val="16"/>
                <w:szCs w:val="16"/>
              </w:rPr>
              <w:t>8</w:t>
            </w:r>
          </w:p>
        </w:tc>
        <w:tc>
          <w:tcPr>
            <w:tcW w:w="1012" w:type="dxa"/>
            <w:shd w:val="clear" w:color="auto" w:fill="auto"/>
            <w:noWrap/>
            <w:vAlign w:val="center"/>
          </w:tcPr>
          <w:p w14:paraId="5264E28E" w14:textId="11791EEB"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0.11</w:t>
            </w:r>
          </w:p>
        </w:tc>
      </w:tr>
      <w:tr w:rsidR="00085095" w:rsidRPr="008216F7" w14:paraId="1207ECF6" w14:textId="77777777" w:rsidTr="00D02A24">
        <w:trPr>
          <w:trHeight w:val="300"/>
          <w:jc w:val="center"/>
        </w:trPr>
        <w:tc>
          <w:tcPr>
            <w:tcW w:w="1075" w:type="dxa"/>
            <w:shd w:val="clear" w:color="auto" w:fill="auto"/>
            <w:noWrap/>
            <w:vAlign w:val="center"/>
            <w:hideMark/>
          </w:tcPr>
          <w:p w14:paraId="515337F3"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4:3</w:t>
            </w:r>
          </w:p>
        </w:tc>
        <w:tc>
          <w:tcPr>
            <w:tcW w:w="1350" w:type="dxa"/>
            <w:shd w:val="clear" w:color="auto" w:fill="auto"/>
            <w:noWrap/>
            <w:vAlign w:val="center"/>
          </w:tcPr>
          <w:p w14:paraId="00964DE2" w14:textId="4EEBC6C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-0.1524</w:t>
            </w:r>
          </w:p>
        </w:tc>
        <w:tc>
          <w:tcPr>
            <w:tcW w:w="1260" w:type="dxa"/>
            <w:vAlign w:val="center"/>
          </w:tcPr>
          <w:p w14:paraId="21369119" w14:textId="4A8AE27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-0.4608</w:t>
            </w:r>
          </w:p>
        </w:tc>
        <w:tc>
          <w:tcPr>
            <w:tcW w:w="1440" w:type="dxa"/>
            <w:vAlign w:val="center"/>
          </w:tcPr>
          <w:p w14:paraId="45693630" w14:textId="55BEEA8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0.1559</w:t>
            </w:r>
          </w:p>
        </w:tc>
        <w:tc>
          <w:tcPr>
            <w:tcW w:w="1440" w:type="dxa"/>
            <w:shd w:val="clear" w:color="auto" w:fill="auto"/>
            <w:noWrap/>
            <w:vAlign w:val="center"/>
          </w:tcPr>
          <w:p w14:paraId="7050A710" w14:textId="4AE2D90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0.0773</w:t>
            </w:r>
          </w:p>
        </w:tc>
        <w:tc>
          <w:tcPr>
            <w:tcW w:w="720" w:type="dxa"/>
            <w:shd w:val="clear" w:color="auto" w:fill="auto"/>
            <w:noWrap/>
            <w:vAlign w:val="center"/>
          </w:tcPr>
          <w:p w14:paraId="61260E3E" w14:textId="774331A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1.39</w:t>
            </w:r>
          </w:p>
        </w:tc>
        <w:tc>
          <w:tcPr>
            <w:tcW w:w="720" w:type="dxa"/>
            <w:shd w:val="clear" w:color="auto" w:fill="auto"/>
            <w:noWrap/>
            <w:vAlign w:val="center"/>
          </w:tcPr>
          <w:p w14:paraId="0BFD3D10" w14:textId="6D9D527D"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55.4</w:t>
            </w:r>
            <w:r w:rsidR="00D02A24">
              <w:rPr>
                <w:rFonts w:ascii="Times New Roman" w:hAnsi="Times New Roman" w:cs="Times New Roman"/>
                <w:color w:val="000000"/>
                <w:sz w:val="16"/>
                <w:szCs w:val="16"/>
              </w:rPr>
              <w:t>1</w:t>
            </w:r>
          </w:p>
        </w:tc>
        <w:tc>
          <w:tcPr>
            <w:tcW w:w="1012" w:type="dxa"/>
            <w:shd w:val="clear" w:color="auto" w:fill="auto"/>
            <w:noWrap/>
            <w:vAlign w:val="center"/>
          </w:tcPr>
          <w:p w14:paraId="0D1C4ECE" w14:textId="1E9E1A5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0.63</w:t>
            </w:r>
          </w:p>
        </w:tc>
      </w:tr>
      <w:tr w:rsidR="00085095" w:rsidRPr="008216F7" w14:paraId="75624F19" w14:textId="77777777" w:rsidTr="00D02A24">
        <w:trPr>
          <w:trHeight w:val="300"/>
          <w:jc w:val="center"/>
        </w:trPr>
        <w:tc>
          <w:tcPr>
            <w:tcW w:w="1075" w:type="dxa"/>
            <w:shd w:val="clear" w:color="auto" w:fill="auto"/>
            <w:noWrap/>
            <w:vAlign w:val="center"/>
            <w:hideMark/>
          </w:tcPr>
          <w:p w14:paraId="551A4EB7"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4:2</w:t>
            </w:r>
          </w:p>
        </w:tc>
        <w:tc>
          <w:tcPr>
            <w:tcW w:w="1350" w:type="dxa"/>
            <w:shd w:val="clear" w:color="auto" w:fill="auto"/>
            <w:noWrap/>
            <w:vAlign w:val="center"/>
          </w:tcPr>
          <w:p w14:paraId="6D4AA8E8" w14:textId="46348D1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-0.2480</w:t>
            </w:r>
          </w:p>
        </w:tc>
        <w:tc>
          <w:tcPr>
            <w:tcW w:w="1260" w:type="dxa"/>
            <w:vAlign w:val="center"/>
          </w:tcPr>
          <w:p w14:paraId="643EB1BB" w14:textId="6D0898A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-0.522</w:t>
            </w:r>
            <w:r w:rsidR="008216F7">
              <w:rPr>
                <w:rFonts w:ascii="Times New Roman" w:hAnsi="Times New Roman" w:cs="Times New Roman"/>
                <w:color w:val="000000"/>
                <w:sz w:val="16"/>
                <w:szCs w:val="16"/>
              </w:rPr>
              <w:t>9</w:t>
            </w:r>
          </w:p>
        </w:tc>
        <w:tc>
          <w:tcPr>
            <w:tcW w:w="1440" w:type="dxa"/>
            <w:vAlign w:val="center"/>
          </w:tcPr>
          <w:p w14:paraId="54355109" w14:textId="2762EDA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0.0268</w:t>
            </w:r>
          </w:p>
        </w:tc>
        <w:tc>
          <w:tcPr>
            <w:tcW w:w="1440" w:type="dxa"/>
            <w:shd w:val="clear" w:color="auto" w:fill="auto"/>
            <w:noWrap/>
            <w:vAlign w:val="center"/>
          </w:tcPr>
          <w:p w14:paraId="1C72BB03" w14:textId="7BFF47B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0.069</w:t>
            </w:r>
            <w:r w:rsidR="00D02A24">
              <w:rPr>
                <w:rFonts w:ascii="Times New Roman" w:hAnsi="Times New Roman" w:cs="Times New Roman"/>
                <w:color w:val="000000"/>
                <w:sz w:val="16"/>
                <w:szCs w:val="16"/>
              </w:rPr>
              <w:t>4</w:t>
            </w:r>
          </w:p>
        </w:tc>
        <w:tc>
          <w:tcPr>
            <w:tcW w:w="720" w:type="dxa"/>
            <w:shd w:val="clear" w:color="auto" w:fill="auto"/>
            <w:noWrap/>
            <w:vAlign w:val="center"/>
          </w:tcPr>
          <w:p w14:paraId="787D156A" w14:textId="4D23B69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2.5</w:t>
            </w:r>
            <w:r w:rsidR="00D02A24">
              <w:rPr>
                <w:rFonts w:ascii="Times New Roman" w:hAnsi="Times New Roman" w:cs="Times New Roman"/>
                <w:color w:val="000000"/>
                <w:sz w:val="16"/>
                <w:szCs w:val="16"/>
              </w:rPr>
              <w:t>3</w:t>
            </w:r>
          </w:p>
        </w:tc>
        <w:tc>
          <w:tcPr>
            <w:tcW w:w="720" w:type="dxa"/>
            <w:shd w:val="clear" w:color="auto" w:fill="auto"/>
            <w:noWrap/>
            <w:vAlign w:val="center"/>
          </w:tcPr>
          <w:p w14:paraId="71AB6D9B" w14:textId="594FA4D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68.1</w:t>
            </w:r>
            <w:r w:rsidR="00D02A24">
              <w:rPr>
                <w:rFonts w:ascii="Times New Roman" w:hAnsi="Times New Roman" w:cs="Times New Roman"/>
                <w:color w:val="000000"/>
                <w:sz w:val="16"/>
                <w:szCs w:val="16"/>
              </w:rPr>
              <w:t>3</w:t>
            </w:r>
          </w:p>
        </w:tc>
        <w:tc>
          <w:tcPr>
            <w:tcW w:w="1012" w:type="dxa"/>
            <w:shd w:val="clear" w:color="auto" w:fill="auto"/>
            <w:noWrap/>
            <w:vAlign w:val="center"/>
          </w:tcPr>
          <w:p w14:paraId="5898B4F0" w14:textId="7F6A4AE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0.096</w:t>
            </w:r>
          </w:p>
        </w:tc>
      </w:tr>
      <w:tr w:rsidR="00085095" w:rsidRPr="008216F7" w14:paraId="2D4DFA25" w14:textId="77777777" w:rsidTr="00D02A24">
        <w:trPr>
          <w:trHeight w:val="300"/>
          <w:jc w:val="center"/>
        </w:trPr>
        <w:tc>
          <w:tcPr>
            <w:tcW w:w="1075" w:type="dxa"/>
            <w:shd w:val="clear" w:color="auto" w:fill="auto"/>
            <w:noWrap/>
            <w:vAlign w:val="center"/>
            <w:hideMark/>
          </w:tcPr>
          <w:p w14:paraId="57817235"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4:1</w:t>
            </w:r>
          </w:p>
        </w:tc>
        <w:tc>
          <w:tcPr>
            <w:tcW w:w="1350" w:type="dxa"/>
            <w:shd w:val="clear" w:color="auto" w:fill="auto"/>
            <w:noWrap/>
            <w:vAlign w:val="center"/>
          </w:tcPr>
          <w:p w14:paraId="1C074C79" w14:textId="69148C6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-0.5441</w:t>
            </w:r>
          </w:p>
        </w:tc>
        <w:tc>
          <w:tcPr>
            <w:tcW w:w="1260" w:type="dxa"/>
            <w:vAlign w:val="center"/>
          </w:tcPr>
          <w:p w14:paraId="5F0D830A" w14:textId="7A5A2D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-0.789</w:t>
            </w:r>
            <w:r w:rsidR="008216F7">
              <w:rPr>
                <w:rFonts w:ascii="Times New Roman" w:hAnsi="Times New Roman" w:cs="Times New Roman"/>
                <w:color w:val="000000"/>
                <w:sz w:val="16"/>
                <w:szCs w:val="16"/>
              </w:rPr>
              <w:t>2</w:t>
            </w:r>
          </w:p>
        </w:tc>
        <w:tc>
          <w:tcPr>
            <w:tcW w:w="1440" w:type="dxa"/>
            <w:vAlign w:val="center"/>
          </w:tcPr>
          <w:p w14:paraId="2469029B" w14:textId="2303A77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-0.299</w:t>
            </w:r>
            <w:r w:rsidR="008216F7">
              <w:rPr>
                <w:rFonts w:ascii="Times New Roman" w:hAnsi="Times New Roman" w:cs="Times New Roman"/>
                <w:color w:val="000000"/>
                <w:sz w:val="16"/>
                <w:szCs w:val="16"/>
              </w:rPr>
              <w:t>1</w:t>
            </w:r>
          </w:p>
        </w:tc>
        <w:tc>
          <w:tcPr>
            <w:tcW w:w="1440" w:type="dxa"/>
            <w:shd w:val="clear" w:color="auto" w:fill="auto"/>
            <w:noWrap/>
            <w:vAlign w:val="center"/>
          </w:tcPr>
          <w:p w14:paraId="6B95C454" w14:textId="655322E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0.061</w:t>
            </w:r>
            <w:r w:rsidR="00D02A24">
              <w:rPr>
                <w:rFonts w:ascii="Times New Roman" w:hAnsi="Times New Roman" w:cs="Times New Roman"/>
                <w:color w:val="000000"/>
                <w:sz w:val="16"/>
                <w:szCs w:val="16"/>
              </w:rPr>
              <w:t>7</w:t>
            </w:r>
          </w:p>
        </w:tc>
        <w:tc>
          <w:tcPr>
            <w:tcW w:w="720" w:type="dxa"/>
            <w:shd w:val="clear" w:color="auto" w:fill="auto"/>
            <w:noWrap/>
            <w:vAlign w:val="center"/>
          </w:tcPr>
          <w:p w14:paraId="6B99CA6A" w14:textId="133045F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6.24</w:t>
            </w:r>
          </w:p>
        </w:tc>
        <w:tc>
          <w:tcPr>
            <w:tcW w:w="720" w:type="dxa"/>
            <w:shd w:val="clear" w:color="auto" w:fill="auto"/>
            <w:noWrap/>
            <w:vAlign w:val="center"/>
          </w:tcPr>
          <w:p w14:paraId="05F7471D" w14:textId="336E308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61.42</w:t>
            </w:r>
          </w:p>
        </w:tc>
        <w:tc>
          <w:tcPr>
            <w:tcW w:w="1012" w:type="dxa"/>
            <w:shd w:val="clear" w:color="auto" w:fill="auto"/>
            <w:noWrap/>
            <w:vAlign w:val="center"/>
          </w:tcPr>
          <w:p w14:paraId="7A6FC7B9" w14:textId="072FCB77" w:rsidR="00085095" w:rsidRPr="001F5588" w:rsidRDefault="00D02A24"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&lt; 1.0</w:t>
            </w:r>
            <w:r w:rsidRPr="001F5588">
              <w:rPr>
                <w:rFonts w:ascii="Times New Roman" w:eastAsia="Times New Roman" w:hAnsi="Times New Roman" w:cs="Times New Roman"/>
                <w:b/>
                <w:color w:val="000000"/>
                <w:sz w:val="16"/>
                <w:szCs w:val="16"/>
                <w:lang w:val="en-US" w:eastAsia="de-DE"/>
              </w:rPr>
              <w:t xml:space="preserve"> x 10</w:t>
            </w:r>
            <w:r w:rsidRPr="001F5588">
              <w:rPr>
                <w:rFonts w:ascii="Times New Roman" w:eastAsia="Times New Roman" w:hAnsi="Times New Roman" w:cs="Times New Roman"/>
                <w:b/>
                <w:color w:val="000000"/>
                <w:sz w:val="16"/>
                <w:szCs w:val="16"/>
                <w:vertAlign w:val="superscript"/>
                <w:lang w:val="en-US" w:eastAsia="de-DE"/>
              </w:rPr>
              <w:t>-6</w:t>
            </w:r>
          </w:p>
        </w:tc>
      </w:tr>
      <w:tr w:rsidR="00085095" w:rsidRPr="008216F7" w14:paraId="0031326A" w14:textId="77777777" w:rsidTr="00D02A24">
        <w:trPr>
          <w:trHeight w:val="300"/>
          <w:jc w:val="center"/>
        </w:trPr>
        <w:tc>
          <w:tcPr>
            <w:tcW w:w="1075" w:type="dxa"/>
            <w:shd w:val="clear" w:color="auto" w:fill="auto"/>
            <w:noWrap/>
            <w:vAlign w:val="center"/>
            <w:hideMark/>
          </w:tcPr>
          <w:p w14:paraId="238233B0"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3:2</w:t>
            </w:r>
          </w:p>
        </w:tc>
        <w:tc>
          <w:tcPr>
            <w:tcW w:w="1350" w:type="dxa"/>
            <w:shd w:val="clear" w:color="auto" w:fill="auto"/>
            <w:noWrap/>
            <w:vAlign w:val="center"/>
          </w:tcPr>
          <w:p w14:paraId="55059D09" w14:textId="0E2DC46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-0.095</w:t>
            </w:r>
            <w:r w:rsidR="008216F7">
              <w:rPr>
                <w:rFonts w:ascii="Times New Roman" w:hAnsi="Times New Roman" w:cs="Times New Roman"/>
                <w:color w:val="000000"/>
                <w:sz w:val="16"/>
                <w:szCs w:val="16"/>
              </w:rPr>
              <w:t>6</w:t>
            </w:r>
          </w:p>
        </w:tc>
        <w:tc>
          <w:tcPr>
            <w:tcW w:w="1260" w:type="dxa"/>
            <w:vAlign w:val="center"/>
          </w:tcPr>
          <w:p w14:paraId="536641A7" w14:textId="70944B9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-0.3816</w:t>
            </w:r>
          </w:p>
        </w:tc>
        <w:tc>
          <w:tcPr>
            <w:tcW w:w="1440" w:type="dxa"/>
            <w:vAlign w:val="center"/>
          </w:tcPr>
          <w:p w14:paraId="14F18647" w14:textId="130C048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0.190</w:t>
            </w:r>
            <w:r w:rsidR="008216F7">
              <w:rPr>
                <w:rFonts w:ascii="Times New Roman" w:hAnsi="Times New Roman" w:cs="Times New Roman"/>
                <w:color w:val="000000"/>
                <w:sz w:val="16"/>
                <w:szCs w:val="16"/>
              </w:rPr>
              <w:t>5</w:t>
            </w:r>
          </w:p>
        </w:tc>
        <w:tc>
          <w:tcPr>
            <w:tcW w:w="1440" w:type="dxa"/>
            <w:shd w:val="clear" w:color="auto" w:fill="auto"/>
            <w:noWrap/>
            <w:vAlign w:val="center"/>
          </w:tcPr>
          <w:p w14:paraId="10B906C5" w14:textId="2D3BE93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0.0713</w:t>
            </w:r>
          </w:p>
        </w:tc>
        <w:tc>
          <w:tcPr>
            <w:tcW w:w="720" w:type="dxa"/>
            <w:shd w:val="clear" w:color="auto" w:fill="auto"/>
            <w:noWrap/>
            <w:vAlign w:val="center"/>
          </w:tcPr>
          <w:p w14:paraId="25457727" w14:textId="104E152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0.9</w:t>
            </w:r>
            <w:r w:rsidR="00D02A24">
              <w:rPr>
                <w:rFonts w:ascii="Times New Roman" w:hAnsi="Times New Roman" w:cs="Times New Roman"/>
                <w:color w:val="000000"/>
                <w:sz w:val="16"/>
                <w:szCs w:val="16"/>
              </w:rPr>
              <w:t>5</w:t>
            </w:r>
          </w:p>
        </w:tc>
        <w:tc>
          <w:tcPr>
            <w:tcW w:w="720" w:type="dxa"/>
            <w:shd w:val="clear" w:color="auto" w:fill="auto"/>
            <w:noWrap/>
            <w:vAlign w:val="center"/>
          </w:tcPr>
          <w:p w14:paraId="74F8E6DC" w14:textId="4661DF9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47.4</w:t>
            </w:r>
            <w:r w:rsidR="00D02A24">
              <w:rPr>
                <w:rFonts w:ascii="Times New Roman" w:hAnsi="Times New Roman" w:cs="Times New Roman"/>
                <w:color w:val="000000"/>
                <w:sz w:val="16"/>
                <w:szCs w:val="16"/>
              </w:rPr>
              <w:t>5</w:t>
            </w:r>
          </w:p>
        </w:tc>
        <w:tc>
          <w:tcPr>
            <w:tcW w:w="1012" w:type="dxa"/>
            <w:shd w:val="clear" w:color="auto" w:fill="auto"/>
            <w:noWrap/>
            <w:vAlign w:val="center"/>
          </w:tcPr>
          <w:p w14:paraId="0BBD8202" w14:textId="632366E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w:t>
            </w:r>
            <w:r w:rsidR="00D02A24">
              <w:rPr>
                <w:rFonts w:ascii="Times New Roman" w:hAnsi="Times New Roman" w:cs="Times New Roman"/>
                <w:color w:val="000000"/>
                <w:sz w:val="16"/>
                <w:szCs w:val="16"/>
              </w:rPr>
              <w:t>8</w:t>
            </w:r>
          </w:p>
        </w:tc>
      </w:tr>
      <w:tr w:rsidR="00085095" w:rsidRPr="008216F7" w14:paraId="3DB2AF58" w14:textId="77777777" w:rsidTr="00D02A24">
        <w:trPr>
          <w:trHeight w:val="300"/>
          <w:jc w:val="center"/>
        </w:trPr>
        <w:tc>
          <w:tcPr>
            <w:tcW w:w="1075" w:type="dxa"/>
            <w:shd w:val="clear" w:color="auto" w:fill="auto"/>
            <w:noWrap/>
            <w:vAlign w:val="center"/>
            <w:hideMark/>
          </w:tcPr>
          <w:p w14:paraId="7A67BC02"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3:1</w:t>
            </w:r>
          </w:p>
        </w:tc>
        <w:tc>
          <w:tcPr>
            <w:tcW w:w="1350" w:type="dxa"/>
            <w:shd w:val="clear" w:color="auto" w:fill="auto"/>
            <w:noWrap/>
            <w:vAlign w:val="center"/>
          </w:tcPr>
          <w:p w14:paraId="78A49F12" w14:textId="4103A95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-0.391</w:t>
            </w:r>
            <w:r w:rsidR="008216F7">
              <w:rPr>
                <w:rFonts w:ascii="Times New Roman" w:hAnsi="Times New Roman" w:cs="Times New Roman"/>
                <w:color w:val="000000"/>
                <w:sz w:val="16"/>
                <w:szCs w:val="16"/>
              </w:rPr>
              <w:t>7</w:t>
            </w:r>
          </w:p>
        </w:tc>
        <w:tc>
          <w:tcPr>
            <w:tcW w:w="1260" w:type="dxa"/>
            <w:vAlign w:val="center"/>
          </w:tcPr>
          <w:p w14:paraId="5E7777FD" w14:textId="6567FC4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-0.650</w:t>
            </w:r>
            <w:r w:rsidR="008216F7">
              <w:rPr>
                <w:rFonts w:ascii="Times New Roman" w:hAnsi="Times New Roman" w:cs="Times New Roman"/>
                <w:color w:val="000000"/>
                <w:sz w:val="16"/>
                <w:szCs w:val="16"/>
              </w:rPr>
              <w:t>4</w:t>
            </w:r>
          </w:p>
        </w:tc>
        <w:tc>
          <w:tcPr>
            <w:tcW w:w="1440" w:type="dxa"/>
            <w:vAlign w:val="center"/>
          </w:tcPr>
          <w:p w14:paraId="284307E4" w14:textId="5758584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-0.132</w:t>
            </w:r>
            <w:r w:rsidR="00D02A24">
              <w:rPr>
                <w:rFonts w:ascii="Times New Roman" w:hAnsi="Times New Roman" w:cs="Times New Roman"/>
                <w:color w:val="000000"/>
                <w:sz w:val="16"/>
                <w:szCs w:val="16"/>
              </w:rPr>
              <w:t>3</w:t>
            </w:r>
          </w:p>
        </w:tc>
        <w:tc>
          <w:tcPr>
            <w:tcW w:w="1440" w:type="dxa"/>
            <w:shd w:val="clear" w:color="auto" w:fill="auto"/>
            <w:noWrap/>
            <w:vAlign w:val="center"/>
          </w:tcPr>
          <w:p w14:paraId="2E928DA5" w14:textId="3F821AD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0.063</w:t>
            </w:r>
            <w:r w:rsidR="00D02A24">
              <w:rPr>
                <w:rFonts w:ascii="Times New Roman" w:hAnsi="Times New Roman" w:cs="Times New Roman"/>
                <w:color w:val="000000"/>
                <w:sz w:val="16"/>
                <w:szCs w:val="16"/>
              </w:rPr>
              <w:t>9</w:t>
            </w:r>
          </w:p>
        </w:tc>
        <w:tc>
          <w:tcPr>
            <w:tcW w:w="720" w:type="dxa"/>
            <w:shd w:val="clear" w:color="auto" w:fill="auto"/>
            <w:noWrap/>
            <w:vAlign w:val="center"/>
          </w:tcPr>
          <w:p w14:paraId="4750C849" w14:textId="1FCDE5C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4.3</w:t>
            </w:r>
            <w:r w:rsidR="00D02A24">
              <w:rPr>
                <w:rFonts w:ascii="Times New Roman" w:hAnsi="Times New Roman" w:cs="Times New Roman"/>
                <w:color w:val="000000"/>
                <w:sz w:val="16"/>
                <w:szCs w:val="16"/>
              </w:rPr>
              <w:t>4</w:t>
            </w:r>
          </w:p>
        </w:tc>
        <w:tc>
          <w:tcPr>
            <w:tcW w:w="720" w:type="dxa"/>
            <w:shd w:val="clear" w:color="auto" w:fill="auto"/>
            <w:noWrap/>
            <w:vAlign w:val="center"/>
          </w:tcPr>
          <w:p w14:paraId="01206E18" w14:textId="12F5B8F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37.7</w:t>
            </w:r>
            <w:r w:rsidR="00D02A24">
              <w:rPr>
                <w:rFonts w:ascii="Times New Roman" w:hAnsi="Times New Roman" w:cs="Times New Roman"/>
                <w:color w:val="000000"/>
                <w:sz w:val="16"/>
                <w:szCs w:val="16"/>
              </w:rPr>
              <w:t>1</w:t>
            </w:r>
          </w:p>
        </w:tc>
        <w:tc>
          <w:tcPr>
            <w:tcW w:w="1012" w:type="dxa"/>
            <w:shd w:val="clear" w:color="auto" w:fill="auto"/>
            <w:noWrap/>
            <w:vAlign w:val="center"/>
          </w:tcPr>
          <w:p w14:paraId="542C2C77" w14:textId="4E6C3231"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9.</w:t>
            </w:r>
            <w:r w:rsidR="00D02A24" w:rsidRPr="001F5588">
              <w:rPr>
                <w:rFonts w:ascii="Times New Roman" w:hAnsi="Times New Roman" w:cs="Times New Roman"/>
                <w:b/>
                <w:color w:val="000000"/>
                <w:sz w:val="16"/>
                <w:szCs w:val="16"/>
              </w:rPr>
              <w:t>4</w:t>
            </w:r>
            <w:r w:rsidR="00D02A24" w:rsidRPr="001F5588">
              <w:rPr>
                <w:rFonts w:ascii="Times New Roman" w:eastAsia="Times New Roman" w:hAnsi="Times New Roman" w:cs="Times New Roman"/>
                <w:b/>
                <w:color w:val="000000"/>
                <w:sz w:val="16"/>
                <w:szCs w:val="16"/>
                <w:lang w:val="en-US" w:eastAsia="de-DE"/>
              </w:rPr>
              <w:t xml:space="preserve"> x 10</w:t>
            </w:r>
            <w:r w:rsidR="00D02A24" w:rsidRPr="001F5588">
              <w:rPr>
                <w:rFonts w:ascii="Times New Roman" w:eastAsia="Times New Roman" w:hAnsi="Times New Roman" w:cs="Times New Roman"/>
                <w:b/>
                <w:color w:val="000000"/>
                <w:sz w:val="16"/>
                <w:szCs w:val="16"/>
                <w:vertAlign w:val="superscript"/>
                <w:lang w:val="en-US" w:eastAsia="de-DE"/>
              </w:rPr>
              <w:t>-4</w:t>
            </w:r>
          </w:p>
        </w:tc>
      </w:tr>
      <w:tr w:rsidR="00085095" w:rsidRPr="008216F7" w14:paraId="18AA6AA2" w14:textId="77777777" w:rsidTr="00D02A24">
        <w:trPr>
          <w:trHeight w:val="300"/>
          <w:jc w:val="center"/>
        </w:trPr>
        <w:tc>
          <w:tcPr>
            <w:tcW w:w="1075" w:type="dxa"/>
            <w:shd w:val="clear" w:color="auto" w:fill="auto"/>
            <w:noWrap/>
            <w:vAlign w:val="center"/>
            <w:hideMark/>
          </w:tcPr>
          <w:p w14:paraId="0AFD874F"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2:1</w:t>
            </w:r>
          </w:p>
        </w:tc>
        <w:tc>
          <w:tcPr>
            <w:tcW w:w="1350" w:type="dxa"/>
            <w:shd w:val="clear" w:color="auto" w:fill="auto"/>
            <w:noWrap/>
            <w:vAlign w:val="center"/>
          </w:tcPr>
          <w:p w14:paraId="3B3C87FD" w14:textId="4483EFC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-0.2961</w:t>
            </w:r>
          </w:p>
        </w:tc>
        <w:tc>
          <w:tcPr>
            <w:tcW w:w="1260" w:type="dxa"/>
            <w:vAlign w:val="center"/>
          </w:tcPr>
          <w:p w14:paraId="1C39C7C9" w14:textId="2C2D324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-0.510</w:t>
            </w:r>
            <w:r w:rsidR="008216F7">
              <w:rPr>
                <w:rFonts w:ascii="Times New Roman" w:hAnsi="Times New Roman" w:cs="Times New Roman"/>
                <w:color w:val="000000"/>
                <w:sz w:val="16"/>
                <w:szCs w:val="16"/>
              </w:rPr>
              <w:t>4</w:t>
            </w:r>
          </w:p>
        </w:tc>
        <w:tc>
          <w:tcPr>
            <w:tcW w:w="1440" w:type="dxa"/>
            <w:vAlign w:val="center"/>
          </w:tcPr>
          <w:p w14:paraId="6FB21972" w14:textId="733FB2B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-0.0818</w:t>
            </w:r>
          </w:p>
        </w:tc>
        <w:tc>
          <w:tcPr>
            <w:tcW w:w="1440" w:type="dxa"/>
            <w:shd w:val="clear" w:color="auto" w:fill="auto"/>
            <w:noWrap/>
            <w:vAlign w:val="center"/>
          </w:tcPr>
          <w:p w14:paraId="1E8729CB" w14:textId="17AEE73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0.0539</w:t>
            </w:r>
          </w:p>
        </w:tc>
        <w:tc>
          <w:tcPr>
            <w:tcW w:w="720" w:type="dxa"/>
            <w:shd w:val="clear" w:color="auto" w:fill="auto"/>
            <w:noWrap/>
            <w:vAlign w:val="center"/>
          </w:tcPr>
          <w:p w14:paraId="425B227E" w14:textId="26770AD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3.88</w:t>
            </w:r>
          </w:p>
        </w:tc>
        <w:tc>
          <w:tcPr>
            <w:tcW w:w="720" w:type="dxa"/>
            <w:shd w:val="clear" w:color="auto" w:fill="auto"/>
            <w:noWrap/>
            <w:vAlign w:val="center"/>
          </w:tcPr>
          <w:p w14:paraId="3D471C22" w14:textId="17FF659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62.46</w:t>
            </w:r>
          </w:p>
        </w:tc>
        <w:tc>
          <w:tcPr>
            <w:tcW w:w="1012" w:type="dxa"/>
            <w:shd w:val="clear" w:color="auto" w:fill="auto"/>
            <w:noWrap/>
            <w:vAlign w:val="center"/>
          </w:tcPr>
          <w:p w14:paraId="6C0F0E74" w14:textId="7AE4B3A5"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0.002</w:t>
            </w:r>
            <w:r w:rsidR="00D02A24" w:rsidRPr="001F5588">
              <w:rPr>
                <w:rFonts w:ascii="Times New Roman" w:hAnsi="Times New Roman" w:cs="Times New Roman"/>
                <w:b/>
                <w:color w:val="000000"/>
                <w:sz w:val="16"/>
                <w:szCs w:val="16"/>
              </w:rPr>
              <w:t>3</w:t>
            </w:r>
          </w:p>
        </w:tc>
      </w:tr>
    </w:tbl>
    <w:p w14:paraId="1614E3A0" w14:textId="77777777" w:rsidR="008843FD" w:rsidRDefault="008843FD">
      <w:pPr>
        <w:rPr>
          <w:rFonts w:ascii="Times New Roman" w:hAnsi="Times New Roman" w:cs="Times New Roman"/>
          <w:b/>
          <w:sz w:val="24"/>
          <w:szCs w:val="24"/>
          <w:lang w:val="en-US"/>
        </w:rPr>
      </w:pPr>
    </w:p>
    <w:p w14:paraId="5C78D194" w14:textId="3D73B4D4"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AECEBC8" w14:textId="7B9861EB" w:rsidR="00F0218B"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 6.  Linear regression results.</w:t>
      </w:r>
    </w:p>
    <w:p w14:paraId="03D3255F" w14:textId="1462CF35"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t>6a.  PM</w:t>
      </w:r>
      <w:r w:rsidRPr="00556B6C">
        <w:rPr>
          <w:rFonts w:ascii="Times New Roman" w:hAnsi="Times New Roman" w:cs="Times New Roman"/>
          <w:b/>
          <w:sz w:val="24"/>
          <w:szCs w:val="24"/>
          <w:vertAlign w:val="subscript"/>
          <w:lang w:val="en-US"/>
        </w:rPr>
        <w:t>2.5</w:t>
      </w:r>
      <w:r>
        <w:rPr>
          <w:rFonts w:ascii="Times New Roman" w:hAnsi="Times New Roman" w:cs="Times New Roman"/>
          <w:b/>
          <w:sz w:val="24"/>
          <w:szCs w:val="24"/>
          <w:lang w:val="en-US"/>
        </w:rPr>
        <w:t>.</w:t>
      </w:r>
    </w:p>
    <w:tbl>
      <w:tblPr>
        <w:tblW w:w="0" w:type="auto"/>
        <w:tblCellMar>
          <w:left w:w="0" w:type="dxa"/>
          <w:right w:w="0" w:type="dxa"/>
        </w:tblCellMar>
        <w:tblLook w:val="04A0" w:firstRow="1" w:lastRow="0" w:firstColumn="1" w:lastColumn="0" w:noHBand="0" w:noVBand="1"/>
      </w:tblPr>
      <w:tblGrid>
        <w:gridCol w:w="4810"/>
        <w:gridCol w:w="989"/>
        <w:gridCol w:w="2211"/>
        <w:gridCol w:w="1039"/>
      </w:tblGrid>
      <w:tr w:rsidR="00DA69C5" w:rsidRPr="00171683" w14:paraId="4277C83C" w14:textId="77777777" w:rsidTr="00643F3A">
        <w:trPr>
          <w:trHeight w:val="20"/>
        </w:trPr>
        <w:tc>
          <w:tcPr>
            <w:tcW w:w="4810" w:type="dxa"/>
            <w:tcBorders>
              <w:top w:val="double" w:sz="6" w:space="0" w:color="auto"/>
            </w:tcBorders>
            <w:tcMar>
              <w:top w:w="113" w:type="dxa"/>
              <w:left w:w="113" w:type="dxa"/>
              <w:bottom w:w="113" w:type="dxa"/>
              <w:right w:w="113" w:type="dxa"/>
            </w:tcMar>
            <w:vAlign w:val="center"/>
            <w:hideMark/>
          </w:tcPr>
          <w:p w14:paraId="4E0CC89B" w14:textId="77777777" w:rsidR="00DA69C5" w:rsidRPr="00171683" w:rsidRDefault="00DA69C5" w:rsidP="00DA69C5">
            <w:pPr>
              <w:spacing w:after="0" w:line="240" w:lineRule="auto"/>
              <w:rPr>
                <w:rFonts w:ascii="Times New Roman" w:eastAsia="Times New Roman" w:hAnsi="Times New Roman" w:cs="Times New Roman"/>
                <w:b/>
                <w:bCs/>
                <w:sz w:val="24"/>
                <w:szCs w:val="24"/>
                <w:lang w:eastAsia="de-DE"/>
              </w:rPr>
            </w:pPr>
            <w:r w:rsidRPr="00171683">
              <w:rPr>
                <w:rFonts w:ascii="Times New Roman" w:eastAsia="Times New Roman" w:hAnsi="Times New Roman" w:cs="Times New Roman"/>
                <w:b/>
                <w:bCs/>
                <w:sz w:val="24"/>
                <w:szCs w:val="24"/>
                <w:lang w:eastAsia="de-DE"/>
              </w:rPr>
              <w:t> </w:t>
            </w:r>
          </w:p>
        </w:tc>
        <w:tc>
          <w:tcPr>
            <w:tcW w:w="4239" w:type="dxa"/>
            <w:gridSpan w:val="3"/>
            <w:tcBorders>
              <w:top w:val="double" w:sz="6" w:space="0" w:color="auto"/>
            </w:tcBorders>
            <w:tcMar>
              <w:top w:w="113" w:type="dxa"/>
              <w:left w:w="113" w:type="dxa"/>
              <w:bottom w:w="113" w:type="dxa"/>
              <w:right w:w="113" w:type="dxa"/>
            </w:tcMar>
            <w:vAlign w:val="center"/>
            <w:hideMark/>
          </w:tcPr>
          <w:p w14:paraId="5B78C058" w14:textId="77777777" w:rsidR="00DA69C5" w:rsidRPr="00171683" w:rsidRDefault="00DA69C5" w:rsidP="00DA69C5">
            <w:pPr>
              <w:spacing w:after="0" w:line="240" w:lineRule="auto"/>
              <w:jc w:val="center"/>
              <w:rPr>
                <w:rFonts w:ascii="Times New Roman" w:eastAsia="Times New Roman" w:hAnsi="Times New Roman" w:cs="Times New Roman"/>
                <w:b/>
                <w:bCs/>
                <w:sz w:val="24"/>
                <w:szCs w:val="24"/>
                <w:lang w:eastAsia="de-DE"/>
              </w:rPr>
            </w:pPr>
            <w:r w:rsidRPr="00171683">
              <w:rPr>
                <w:rFonts w:ascii="Times New Roman" w:eastAsia="Times New Roman" w:hAnsi="Times New Roman" w:cs="Times New Roman"/>
                <w:b/>
                <w:bCs/>
                <w:sz w:val="24"/>
                <w:szCs w:val="24"/>
                <w:lang w:eastAsia="de-DE"/>
              </w:rPr>
              <w:t>PM</w:t>
            </w:r>
            <w:r w:rsidRPr="00171683">
              <w:rPr>
                <w:rFonts w:ascii="Times New Roman" w:eastAsia="Times New Roman" w:hAnsi="Times New Roman" w:cs="Times New Roman"/>
                <w:b/>
                <w:bCs/>
                <w:sz w:val="24"/>
                <w:szCs w:val="24"/>
                <w:vertAlign w:val="subscript"/>
                <w:lang w:eastAsia="de-DE"/>
              </w:rPr>
              <w:t>2.5</w:t>
            </w:r>
          </w:p>
        </w:tc>
      </w:tr>
      <w:tr w:rsidR="00DA69C5" w:rsidRPr="00171683" w14:paraId="27C450C2" w14:textId="77777777" w:rsidTr="00643F3A">
        <w:trPr>
          <w:trHeight w:val="20"/>
        </w:trPr>
        <w:tc>
          <w:tcPr>
            <w:tcW w:w="4810" w:type="dxa"/>
            <w:tcBorders>
              <w:bottom w:val="single" w:sz="6" w:space="0" w:color="auto"/>
            </w:tcBorders>
            <w:vAlign w:val="center"/>
            <w:hideMark/>
          </w:tcPr>
          <w:p w14:paraId="08497E97" w14:textId="77777777" w:rsidR="00DA69C5" w:rsidRPr="00171683" w:rsidRDefault="00DA69C5" w:rsidP="00DA69C5">
            <w:pPr>
              <w:spacing w:after="0" w:line="240" w:lineRule="auto"/>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Predictors</w:t>
            </w:r>
          </w:p>
        </w:tc>
        <w:tc>
          <w:tcPr>
            <w:tcW w:w="989" w:type="dxa"/>
            <w:tcBorders>
              <w:bottom w:val="single" w:sz="6" w:space="0" w:color="auto"/>
            </w:tcBorders>
            <w:vAlign w:val="center"/>
            <w:hideMark/>
          </w:tcPr>
          <w:p w14:paraId="068A23B3"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Estimates</w:t>
            </w:r>
          </w:p>
        </w:tc>
        <w:tc>
          <w:tcPr>
            <w:tcW w:w="2211" w:type="dxa"/>
            <w:tcBorders>
              <w:bottom w:val="single" w:sz="6" w:space="0" w:color="auto"/>
            </w:tcBorders>
            <w:vAlign w:val="center"/>
            <w:hideMark/>
          </w:tcPr>
          <w:p w14:paraId="7C885062"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CI</w:t>
            </w:r>
          </w:p>
        </w:tc>
        <w:tc>
          <w:tcPr>
            <w:tcW w:w="1039" w:type="dxa"/>
            <w:tcBorders>
              <w:bottom w:val="single" w:sz="6" w:space="0" w:color="auto"/>
            </w:tcBorders>
            <w:vAlign w:val="center"/>
            <w:hideMark/>
          </w:tcPr>
          <w:p w14:paraId="1480AEF3"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p</w:t>
            </w:r>
          </w:p>
        </w:tc>
      </w:tr>
      <w:tr w:rsidR="003C5B74" w:rsidRPr="00171683" w14:paraId="79D2C66B" w14:textId="77777777" w:rsidTr="00643F3A">
        <w:trPr>
          <w:trHeight w:val="20"/>
        </w:trPr>
        <w:tc>
          <w:tcPr>
            <w:tcW w:w="4810" w:type="dxa"/>
            <w:tcMar>
              <w:top w:w="113" w:type="dxa"/>
              <w:left w:w="113" w:type="dxa"/>
              <w:bottom w:w="113" w:type="dxa"/>
              <w:right w:w="113" w:type="dxa"/>
            </w:tcMar>
            <w:hideMark/>
          </w:tcPr>
          <w:p w14:paraId="315AE9F6" w14:textId="67F6D4A6"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Intercept (Midwest)</w:t>
            </w:r>
          </w:p>
        </w:tc>
        <w:tc>
          <w:tcPr>
            <w:tcW w:w="989" w:type="dxa"/>
            <w:tcMar>
              <w:top w:w="113" w:type="dxa"/>
              <w:left w:w="113" w:type="dxa"/>
              <w:bottom w:w="113" w:type="dxa"/>
              <w:right w:w="113" w:type="dxa"/>
            </w:tcMar>
            <w:hideMark/>
          </w:tcPr>
          <w:p w14:paraId="07CE40C9" w14:textId="009F888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-7.656</w:t>
            </w:r>
          </w:p>
        </w:tc>
        <w:tc>
          <w:tcPr>
            <w:tcW w:w="2211" w:type="dxa"/>
            <w:tcMar>
              <w:top w:w="113" w:type="dxa"/>
              <w:left w:w="113" w:type="dxa"/>
              <w:bottom w:w="113" w:type="dxa"/>
              <w:right w:w="113" w:type="dxa"/>
            </w:tcMar>
            <w:hideMark/>
          </w:tcPr>
          <w:p w14:paraId="0E981E43" w14:textId="2491172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-16.804 – 1.492</w:t>
            </w:r>
          </w:p>
        </w:tc>
        <w:tc>
          <w:tcPr>
            <w:tcW w:w="1039" w:type="dxa"/>
            <w:tcMar>
              <w:top w:w="113" w:type="dxa"/>
              <w:left w:w="113" w:type="dxa"/>
              <w:bottom w:w="113" w:type="dxa"/>
              <w:right w:w="113" w:type="dxa"/>
            </w:tcMar>
            <w:hideMark/>
          </w:tcPr>
          <w:p w14:paraId="7CCDAF80" w14:textId="3E041EE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0.101</w:t>
            </w:r>
          </w:p>
        </w:tc>
      </w:tr>
      <w:tr w:rsidR="003C5B74" w:rsidRPr="00171683" w14:paraId="29C9EEB2" w14:textId="77777777" w:rsidTr="00643F3A">
        <w:trPr>
          <w:trHeight w:val="20"/>
        </w:trPr>
        <w:tc>
          <w:tcPr>
            <w:tcW w:w="4810" w:type="dxa"/>
            <w:tcMar>
              <w:top w:w="113" w:type="dxa"/>
              <w:left w:w="113" w:type="dxa"/>
              <w:bottom w:w="113" w:type="dxa"/>
              <w:right w:w="113" w:type="dxa"/>
            </w:tcMar>
            <w:hideMark/>
          </w:tcPr>
          <w:p w14:paraId="26130011" w14:textId="1EBE70C8"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Racial isolation quintile</w:t>
            </w:r>
          </w:p>
        </w:tc>
        <w:tc>
          <w:tcPr>
            <w:tcW w:w="989" w:type="dxa"/>
            <w:tcMar>
              <w:top w:w="113" w:type="dxa"/>
              <w:left w:w="113" w:type="dxa"/>
              <w:bottom w:w="113" w:type="dxa"/>
              <w:right w:w="113" w:type="dxa"/>
            </w:tcMar>
            <w:hideMark/>
          </w:tcPr>
          <w:p w14:paraId="41F65621" w14:textId="329F49F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0.395</w:t>
            </w:r>
          </w:p>
        </w:tc>
        <w:tc>
          <w:tcPr>
            <w:tcW w:w="2211" w:type="dxa"/>
            <w:tcMar>
              <w:top w:w="113" w:type="dxa"/>
              <w:left w:w="113" w:type="dxa"/>
              <w:bottom w:w="113" w:type="dxa"/>
              <w:right w:w="113" w:type="dxa"/>
            </w:tcMar>
            <w:hideMark/>
          </w:tcPr>
          <w:p w14:paraId="2253148B" w14:textId="0C32004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0.233 – 0.557</w:t>
            </w:r>
          </w:p>
        </w:tc>
        <w:tc>
          <w:tcPr>
            <w:tcW w:w="1039" w:type="dxa"/>
            <w:tcMar>
              <w:top w:w="113" w:type="dxa"/>
              <w:left w:w="113" w:type="dxa"/>
              <w:bottom w:w="113" w:type="dxa"/>
              <w:right w:w="113" w:type="dxa"/>
            </w:tcMar>
            <w:hideMark/>
          </w:tcPr>
          <w:p w14:paraId="6847E931" w14:textId="7D09E1A7"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1689FFCE" w14:textId="77777777" w:rsidTr="00643F3A">
        <w:trPr>
          <w:trHeight w:val="20"/>
        </w:trPr>
        <w:tc>
          <w:tcPr>
            <w:tcW w:w="4810" w:type="dxa"/>
            <w:tcMar>
              <w:top w:w="113" w:type="dxa"/>
              <w:left w:w="113" w:type="dxa"/>
              <w:bottom w:w="113" w:type="dxa"/>
              <w:right w:w="113" w:type="dxa"/>
            </w:tcMar>
            <w:hideMark/>
          </w:tcPr>
          <w:p w14:paraId="42D6D9BD" w14:textId="3DC343BE"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Black or African American (%)</w:t>
            </w:r>
          </w:p>
        </w:tc>
        <w:tc>
          <w:tcPr>
            <w:tcW w:w="989" w:type="dxa"/>
            <w:tcMar>
              <w:top w:w="113" w:type="dxa"/>
              <w:left w:w="113" w:type="dxa"/>
              <w:bottom w:w="113" w:type="dxa"/>
              <w:right w:w="113" w:type="dxa"/>
            </w:tcMar>
            <w:hideMark/>
          </w:tcPr>
          <w:p w14:paraId="476BEE8B" w14:textId="1CF7315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17.108</w:t>
            </w:r>
          </w:p>
        </w:tc>
        <w:tc>
          <w:tcPr>
            <w:tcW w:w="2211" w:type="dxa"/>
            <w:tcMar>
              <w:top w:w="113" w:type="dxa"/>
              <w:left w:w="113" w:type="dxa"/>
              <w:bottom w:w="113" w:type="dxa"/>
              <w:right w:w="113" w:type="dxa"/>
            </w:tcMar>
            <w:hideMark/>
          </w:tcPr>
          <w:p w14:paraId="12AB1DE5" w14:textId="2837B64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7.947 – 26.269</w:t>
            </w:r>
          </w:p>
        </w:tc>
        <w:tc>
          <w:tcPr>
            <w:tcW w:w="1039" w:type="dxa"/>
            <w:tcMar>
              <w:top w:w="113" w:type="dxa"/>
              <w:left w:w="113" w:type="dxa"/>
              <w:bottom w:w="113" w:type="dxa"/>
              <w:right w:w="113" w:type="dxa"/>
            </w:tcMar>
            <w:hideMark/>
          </w:tcPr>
          <w:p w14:paraId="49A69409" w14:textId="7F22C3A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6BEC9B12" w14:textId="77777777" w:rsidTr="00643F3A">
        <w:trPr>
          <w:trHeight w:val="20"/>
        </w:trPr>
        <w:tc>
          <w:tcPr>
            <w:tcW w:w="4810" w:type="dxa"/>
            <w:tcMar>
              <w:top w:w="113" w:type="dxa"/>
              <w:left w:w="113" w:type="dxa"/>
              <w:bottom w:w="113" w:type="dxa"/>
              <w:right w:w="113" w:type="dxa"/>
            </w:tcMar>
            <w:hideMark/>
          </w:tcPr>
          <w:p w14:paraId="47272FD8" w14:textId="2DFED243"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Hispanic or Latino (%)</w:t>
            </w:r>
          </w:p>
        </w:tc>
        <w:tc>
          <w:tcPr>
            <w:tcW w:w="989" w:type="dxa"/>
            <w:tcMar>
              <w:top w:w="113" w:type="dxa"/>
              <w:left w:w="113" w:type="dxa"/>
              <w:bottom w:w="113" w:type="dxa"/>
              <w:right w:w="113" w:type="dxa"/>
            </w:tcMar>
            <w:hideMark/>
          </w:tcPr>
          <w:p w14:paraId="4563392D" w14:textId="4D6593E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17.886</w:t>
            </w:r>
          </w:p>
        </w:tc>
        <w:tc>
          <w:tcPr>
            <w:tcW w:w="2211" w:type="dxa"/>
            <w:tcMar>
              <w:top w:w="113" w:type="dxa"/>
              <w:left w:w="113" w:type="dxa"/>
              <w:bottom w:w="113" w:type="dxa"/>
              <w:right w:w="113" w:type="dxa"/>
            </w:tcMar>
            <w:hideMark/>
          </w:tcPr>
          <w:p w14:paraId="0A9546AC" w14:textId="0CA6495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8.807 – 26.965</w:t>
            </w:r>
          </w:p>
        </w:tc>
        <w:tc>
          <w:tcPr>
            <w:tcW w:w="1039" w:type="dxa"/>
            <w:tcMar>
              <w:top w:w="113" w:type="dxa"/>
              <w:left w:w="113" w:type="dxa"/>
              <w:bottom w:w="113" w:type="dxa"/>
              <w:right w:w="113" w:type="dxa"/>
            </w:tcMar>
            <w:hideMark/>
          </w:tcPr>
          <w:p w14:paraId="1BC4E75D" w14:textId="73B87412"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02404822" w14:textId="77777777" w:rsidTr="00643F3A">
        <w:trPr>
          <w:trHeight w:val="20"/>
        </w:trPr>
        <w:tc>
          <w:tcPr>
            <w:tcW w:w="4810" w:type="dxa"/>
            <w:tcMar>
              <w:top w:w="113" w:type="dxa"/>
              <w:left w:w="113" w:type="dxa"/>
              <w:bottom w:w="113" w:type="dxa"/>
              <w:right w:w="113" w:type="dxa"/>
            </w:tcMar>
            <w:hideMark/>
          </w:tcPr>
          <w:p w14:paraId="6F05FBE5" w14:textId="35BC484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Asian (%)</w:t>
            </w:r>
          </w:p>
        </w:tc>
        <w:tc>
          <w:tcPr>
            <w:tcW w:w="989" w:type="dxa"/>
            <w:tcMar>
              <w:top w:w="113" w:type="dxa"/>
              <w:left w:w="113" w:type="dxa"/>
              <w:bottom w:w="113" w:type="dxa"/>
              <w:right w:w="113" w:type="dxa"/>
            </w:tcMar>
            <w:hideMark/>
          </w:tcPr>
          <w:p w14:paraId="539D71DB" w14:textId="2ACAB2CD"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18.963</w:t>
            </w:r>
          </w:p>
        </w:tc>
        <w:tc>
          <w:tcPr>
            <w:tcW w:w="2211" w:type="dxa"/>
            <w:tcMar>
              <w:top w:w="113" w:type="dxa"/>
              <w:left w:w="113" w:type="dxa"/>
              <w:bottom w:w="113" w:type="dxa"/>
              <w:right w:w="113" w:type="dxa"/>
            </w:tcMar>
            <w:hideMark/>
          </w:tcPr>
          <w:p w14:paraId="5A25CD87" w14:textId="794ED29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8.533 – 29.392</w:t>
            </w:r>
          </w:p>
        </w:tc>
        <w:tc>
          <w:tcPr>
            <w:tcW w:w="1039" w:type="dxa"/>
            <w:tcMar>
              <w:top w:w="113" w:type="dxa"/>
              <w:left w:w="113" w:type="dxa"/>
              <w:bottom w:w="113" w:type="dxa"/>
              <w:right w:w="113" w:type="dxa"/>
            </w:tcMar>
            <w:hideMark/>
          </w:tcPr>
          <w:p w14:paraId="774A8E41" w14:textId="0649BC5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4E8C98DC" w14:textId="77777777" w:rsidTr="00643F3A">
        <w:trPr>
          <w:trHeight w:val="20"/>
        </w:trPr>
        <w:tc>
          <w:tcPr>
            <w:tcW w:w="4810" w:type="dxa"/>
            <w:tcMar>
              <w:top w:w="113" w:type="dxa"/>
              <w:left w:w="113" w:type="dxa"/>
              <w:bottom w:w="113" w:type="dxa"/>
              <w:right w:w="113" w:type="dxa"/>
            </w:tcMar>
            <w:hideMark/>
          </w:tcPr>
          <w:p w14:paraId="771BDED8" w14:textId="7AB33AB5"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American Indian, Alaska Native, Native Hawaiian, or Pacific Islander (%)</w:t>
            </w:r>
          </w:p>
        </w:tc>
        <w:tc>
          <w:tcPr>
            <w:tcW w:w="989" w:type="dxa"/>
            <w:tcMar>
              <w:top w:w="113" w:type="dxa"/>
              <w:left w:w="113" w:type="dxa"/>
              <w:bottom w:w="113" w:type="dxa"/>
              <w:right w:w="113" w:type="dxa"/>
            </w:tcMar>
            <w:hideMark/>
          </w:tcPr>
          <w:p w14:paraId="034101E8" w14:textId="60A60D6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11.572</w:t>
            </w:r>
          </w:p>
        </w:tc>
        <w:tc>
          <w:tcPr>
            <w:tcW w:w="2211" w:type="dxa"/>
            <w:tcMar>
              <w:top w:w="113" w:type="dxa"/>
              <w:left w:w="113" w:type="dxa"/>
              <w:bottom w:w="113" w:type="dxa"/>
              <w:right w:w="113" w:type="dxa"/>
            </w:tcMar>
            <w:hideMark/>
          </w:tcPr>
          <w:p w14:paraId="6FF2C804" w14:textId="2C80D88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1.310 – 21.835</w:t>
            </w:r>
          </w:p>
        </w:tc>
        <w:tc>
          <w:tcPr>
            <w:tcW w:w="1039" w:type="dxa"/>
            <w:tcMar>
              <w:top w:w="113" w:type="dxa"/>
              <w:left w:w="113" w:type="dxa"/>
              <w:bottom w:w="113" w:type="dxa"/>
              <w:right w:w="113" w:type="dxa"/>
            </w:tcMar>
            <w:hideMark/>
          </w:tcPr>
          <w:p w14:paraId="4FF03E23" w14:textId="42F8FA8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0.027</w:t>
            </w:r>
          </w:p>
        </w:tc>
      </w:tr>
      <w:tr w:rsidR="003C5B74" w:rsidRPr="00171683" w14:paraId="3195A1E0" w14:textId="77777777" w:rsidTr="00643F3A">
        <w:trPr>
          <w:trHeight w:val="20"/>
        </w:trPr>
        <w:tc>
          <w:tcPr>
            <w:tcW w:w="4810" w:type="dxa"/>
            <w:tcMar>
              <w:top w:w="113" w:type="dxa"/>
              <w:left w:w="113" w:type="dxa"/>
              <w:bottom w:w="113" w:type="dxa"/>
              <w:right w:w="113" w:type="dxa"/>
            </w:tcMar>
            <w:hideMark/>
          </w:tcPr>
          <w:p w14:paraId="02D10917" w14:textId="0EE0E85C"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White (%)</w:t>
            </w:r>
          </w:p>
        </w:tc>
        <w:tc>
          <w:tcPr>
            <w:tcW w:w="989" w:type="dxa"/>
            <w:tcMar>
              <w:top w:w="113" w:type="dxa"/>
              <w:left w:w="113" w:type="dxa"/>
              <w:bottom w:w="113" w:type="dxa"/>
              <w:right w:w="113" w:type="dxa"/>
            </w:tcMar>
            <w:hideMark/>
          </w:tcPr>
          <w:p w14:paraId="285670AD" w14:textId="39B227A7"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17.567</w:t>
            </w:r>
          </w:p>
        </w:tc>
        <w:tc>
          <w:tcPr>
            <w:tcW w:w="2211" w:type="dxa"/>
            <w:tcMar>
              <w:top w:w="113" w:type="dxa"/>
              <w:left w:w="113" w:type="dxa"/>
              <w:bottom w:w="113" w:type="dxa"/>
              <w:right w:w="113" w:type="dxa"/>
            </w:tcMar>
            <w:hideMark/>
          </w:tcPr>
          <w:p w14:paraId="172D74F8" w14:textId="01EE418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8.316 – 26.817</w:t>
            </w:r>
          </w:p>
        </w:tc>
        <w:tc>
          <w:tcPr>
            <w:tcW w:w="1039" w:type="dxa"/>
            <w:tcMar>
              <w:top w:w="113" w:type="dxa"/>
              <w:left w:w="113" w:type="dxa"/>
              <w:bottom w:w="113" w:type="dxa"/>
              <w:right w:w="113" w:type="dxa"/>
            </w:tcMar>
            <w:hideMark/>
          </w:tcPr>
          <w:p w14:paraId="45ED0996" w14:textId="55CC364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2BC52009" w14:textId="77777777" w:rsidTr="00643F3A">
        <w:trPr>
          <w:trHeight w:val="20"/>
        </w:trPr>
        <w:tc>
          <w:tcPr>
            <w:tcW w:w="4810" w:type="dxa"/>
            <w:tcMar>
              <w:top w:w="113" w:type="dxa"/>
              <w:left w:w="113" w:type="dxa"/>
              <w:bottom w:w="113" w:type="dxa"/>
              <w:right w:w="113" w:type="dxa"/>
            </w:tcMar>
            <w:hideMark/>
          </w:tcPr>
          <w:p w14:paraId="546FD4CF" w14:textId="6683CC89"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Education less than high school (%)</w:t>
            </w:r>
            <w:r w:rsidRPr="00171683">
              <w:rPr>
                <w:rFonts w:ascii="Times New Roman" w:eastAsia="Times New Roman" w:hAnsi="Times New Roman" w:cs="Times New Roman"/>
                <w:sz w:val="24"/>
                <w:szCs w:val="24"/>
                <w:lang w:val="en-US" w:eastAsia="de-DE"/>
              </w:rPr>
              <w:br/>
            </w:r>
          </w:p>
        </w:tc>
        <w:tc>
          <w:tcPr>
            <w:tcW w:w="989" w:type="dxa"/>
            <w:tcMar>
              <w:top w:w="113" w:type="dxa"/>
              <w:left w:w="113" w:type="dxa"/>
              <w:bottom w:w="113" w:type="dxa"/>
              <w:right w:w="113" w:type="dxa"/>
            </w:tcMar>
            <w:hideMark/>
          </w:tcPr>
          <w:p w14:paraId="6143D925" w14:textId="0C947AD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02EE5961" w14:textId="12E658B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 – 0.001</w:t>
            </w:r>
          </w:p>
        </w:tc>
        <w:tc>
          <w:tcPr>
            <w:tcW w:w="1039" w:type="dxa"/>
            <w:tcMar>
              <w:top w:w="113" w:type="dxa"/>
              <w:left w:w="113" w:type="dxa"/>
              <w:bottom w:w="113" w:type="dxa"/>
              <w:right w:w="113" w:type="dxa"/>
            </w:tcMar>
            <w:hideMark/>
          </w:tcPr>
          <w:p w14:paraId="0CE79829" w14:textId="6352B69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0.170</w:t>
            </w:r>
          </w:p>
        </w:tc>
      </w:tr>
      <w:tr w:rsidR="003C5B74" w:rsidRPr="00171683" w14:paraId="213500EB" w14:textId="77777777" w:rsidTr="00643F3A">
        <w:trPr>
          <w:trHeight w:val="20"/>
        </w:trPr>
        <w:tc>
          <w:tcPr>
            <w:tcW w:w="4810" w:type="dxa"/>
            <w:tcMar>
              <w:top w:w="113" w:type="dxa"/>
              <w:left w:w="113" w:type="dxa"/>
              <w:bottom w:w="113" w:type="dxa"/>
              <w:right w:w="113" w:type="dxa"/>
            </w:tcMar>
            <w:hideMark/>
          </w:tcPr>
          <w:p w14:paraId="446ABA26" w14:textId="02F13691"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Poverty (%)</w:t>
            </w:r>
          </w:p>
        </w:tc>
        <w:tc>
          <w:tcPr>
            <w:tcW w:w="989" w:type="dxa"/>
            <w:tcMar>
              <w:top w:w="113" w:type="dxa"/>
              <w:left w:w="113" w:type="dxa"/>
              <w:bottom w:w="113" w:type="dxa"/>
              <w:right w:w="113" w:type="dxa"/>
            </w:tcMar>
            <w:hideMark/>
          </w:tcPr>
          <w:p w14:paraId="4D7419EF" w14:textId="41900C4E"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0.098</w:t>
            </w:r>
          </w:p>
        </w:tc>
        <w:tc>
          <w:tcPr>
            <w:tcW w:w="2211" w:type="dxa"/>
            <w:tcMar>
              <w:top w:w="113" w:type="dxa"/>
              <w:left w:w="113" w:type="dxa"/>
              <w:bottom w:w="113" w:type="dxa"/>
              <w:right w:w="113" w:type="dxa"/>
            </w:tcMar>
            <w:hideMark/>
          </w:tcPr>
          <w:p w14:paraId="7A13CAF9" w14:textId="5D442B7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-1.220 – 1.415</w:t>
            </w:r>
          </w:p>
        </w:tc>
        <w:tc>
          <w:tcPr>
            <w:tcW w:w="1039" w:type="dxa"/>
            <w:tcMar>
              <w:top w:w="113" w:type="dxa"/>
              <w:left w:w="113" w:type="dxa"/>
              <w:bottom w:w="113" w:type="dxa"/>
              <w:right w:w="113" w:type="dxa"/>
            </w:tcMar>
            <w:hideMark/>
          </w:tcPr>
          <w:p w14:paraId="645EBAE6" w14:textId="2D1F4D65"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0.884</w:t>
            </w:r>
          </w:p>
        </w:tc>
      </w:tr>
      <w:tr w:rsidR="003C5B74" w:rsidRPr="00171683" w14:paraId="13599EA6" w14:textId="77777777" w:rsidTr="00643F3A">
        <w:trPr>
          <w:trHeight w:val="20"/>
        </w:trPr>
        <w:tc>
          <w:tcPr>
            <w:tcW w:w="4810" w:type="dxa"/>
            <w:tcMar>
              <w:top w:w="113" w:type="dxa"/>
              <w:left w:w="113" w:type="dxa"/>
              <w:bottom w:w="113" w:type="dxa"/>
              <w:right w:w="113" w:type="dxa"/>
            </w:tcMar>
            <w:hideMark/>
          </w:tcPr>
          <w:p w14:paraId="0970F86A" w14:textId="0D2FF65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Unemployed (%)</w:t>
            </w:r>
          </w:p>
        </w:tc>
        <w:tc>
          <w:tcPr>
            <w:tcW w:w="989" w:type="dxa"/>
            <w:tcMar>
              <w:top w:w="113" w:type="dxa"/>
              <w:left w:w="113" w:type="dxa"/>
              <w:bottom w:w="113" w:type="dxa"/>
              <w:right w:w="113" w:type="dxa"/>
            </w:tcMar>
            <w:hideMark/>
          </w:tcPr>
          <w:p w14:paraId="4DF6A118" w14:textId="1368EA6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5.298</w:t>
            </w:r>
          </w:p>
        </w:tc>
        <w:tc>
          <w:tcPr>
            <w:tcW w:w="2211" w:type="dxa"/>
            <w:tcMar>
              <w:top w:w="113" w:type="dxa"/>
              <w:left w:w="113" w:type="dxa"/>
              <w:bottom w:w="113" w:type="dxa"/>
              <w:right w:w="113" w:type="dxa"/>
            </w:tcMar>
            <w:hideMark/>
          </w:tcPr>
          <w:p w14:paraId="098F0477" w14:textId="6470B21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0.398 – 10.199</w:t>
            </w:r>
          </w:p>
        </w:tc>
        <w:tc>
          <w:tcPr>
            <w:tcW w:w="1039" w:type="dxa"/>
            <w:tcMar>
              <w:top w:w="113" w:type="dxa"/>
              <w:left w:w="113" w:type="dxa"/>
              <w:bottom w:w="113" w:type="dxa"/>
              <w:right w:w="113" w:type="dxa"/>
            </w:tcMar>
            <w:hideMark/>
          </w:tcPr>
          <w:p w14:paraId="4EAB0E8A" w14:textId="40015F35"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0.034</w:t>
            </w:r>
          </w:p>
        </w:tc>
      </w:tr>
      <w:tr w:rsidR="003C5B74" w:rsidRPr="00171683" w14:paraId="17B93E77" w14:textId="77777777" w:rsidTr="00643F3A">
        <w:trPr>
          <w:trHeight w:val="20"/>
        </w:trPr>
        <w:tc>
          <w:tcPr>
            <w:tcW w:w="4810" w:type="dxa"/>
            <w:tcMar>
              <w:top w:w="113" w:type="dxa"/>
              <w:left w:w="113" w:type="dxa"/>
              <w:bottom w:w="113" w:type="dxa"/>
              <w:right w:w="113" w:type="dxa"/>
            </w:tcMar>
            <w:hideMark/>
          </w:tcPr>
          <w:p w14:paraId="702809F6" w14:textId="0A6C6062"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Age 0 to 19 (%)</w:t>
            </w:r>
          </w:p>
        </w:tc>
        <w:tc>
          <w:tcPr>
            <w:tcW w:w="989" w:type="dxa"/>
            <w:tcMar>
              <w:top w:w="113" w:type="dxa"/>
              <w:left w:w="113" w:type="dxa"/>
              <w:bottom w:w="113" w:type="dxa"/>
              <w:right w:w="113" w:type="dxa"/>
            </w:tcMar>
            <w:hideMark/>
          </w:tcPr>
          <w:p w14:paraId="4B132365" w14:textId="2B1995D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3841AB70" w14:textId="2BE3806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 – 0.000</w:t>
            </w:r>
          </w:p>
        </w:tc>
        <w:tc>
          <w:tcPr>
            <w:tcW w:w="1039" w:type="dxa"/>
            <w:tcMar>
              <w:top w:w="113" w:type="dxa"/>
              <w:left w:w="113" w:type="dxa"/>
              <w:bottom w:w="113" w:type="dxa"/>
              <w:right w:w="113" w:type="dxa"/>
            </w:tcMar>
            <w:hideMark/>
          </w:tcPr>
          <w:p w14:paraId="4A5AC80C" w14:textId="1D147EC2"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0.793</w:t>
            </w:r>
          </w:p>
        </w:tc>
      </w:tr>
      <w:tr w:rsidR="003C5B74" w:rsidRPr="00171683" w14:paraId="1F1DEBDF" w14:textId="77777777" w:rsidTr="00643F3A">
        <w:trPr>
          <w:trHeight w:val="20"/>
        </w:trPr>
        <w:tc>
          <w:tcPr>
            <w:tcW w:w="4810" w:type="dxa"/>
            <w:tcMar>
              <w:top w:w="113" w:type="dxa"/>
              <w:left w:w="113" w:type="dxa"/>
              <w:bottom w:w="113" w:type="dxa"/>
              <w:right w:w="113" w:type="dxa"/>
            </w:tcMar>
            <w:hideMark/>
          </w:tcPr>
          <w:p w14:paraId="389E275C" w14:textId="50B1767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Age 65 or over (%)</w:t>
            </w:r>
          </w:p>
        </w:tc>
        <w:tc>
          <w:tcPr>
            <w:tcW w:w="989" w:type="dxa"/>
            <w:tcMar>
              <w:top w:w="113" w:type="dxa"/>
              <w:left w:w="113" w:type="dxa"/>
              <w:bottom w:w="113" w:type="dxa"/>
              <w:right w:w="113" w:type="dxa"/>
            </w:tcMar>
            <w:hideMark/>
          </w:tcPr>
          <w:p w14:paraId="2658BCE1" w14:textId="252BDC2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3552D004" w14:textId="591A1F7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-0.001 – 0.000</w:t>
            </w:r>
          </w:p>
        </w:tc>
        <w:tc>
          <w:tcPr>
            <w:tcW w:w="1039" w:type="dxa"/>
            <w:tcMar>
              <w:top w:w="113" w:type="dxa"/>
              <w:left w:w="113" w:type="dxa"/>
              <w:bottom w:w="113" w:type="dxa"/>
              <w:right w:w="113" w:type="dxa"/>
            </w:tcMar>
            <w:hideMark/>
          </w:tcPr>
          <w:p w14:paraId="4502FFD8" w14:textId="739A2A2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0.461</w:t>
            </w:r>
          </w:p>
        </w:tc>
      </w:tr>
      <w:tr w:rsidR="003C5B74" w:rsidRPr="00171683" w14:paraId="3807C377" w14:textId="77777777" w:rsidTr="00643F3A">
        <w:trPr>
          <w:trHeight w:val="20"/>
        </w:trPr>
        <w:tc>
          <w:tcPr>
            <w:tcW w:w="4810" w:type="dxa"/>
            <w:tcMar>
              <w:top w:w="113" w:type="dxa"/>
              <w:left w:w="113" w:type="dxa"/>
              <w:bottom w:w="113" w:type="dxa"/>
              <w:right w:w="113" w:type="dxa"/>
            </w:tcMar>
            <w:hideMark/>
          </w:tcPr>
          <w:p w14:paraId="59EE7ACA" w14:textId="333547C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Northeast</w:t>
            </w:r>
          </w:p>
        </w:tc>
        <w:tc>
          <w:tcPr>
            <w:tcW w:w="989" w:type="dxa"/>
            <w:tcMar>
              <w:top w:w="113" w:type="dxa"/>
              <w:left w:w="113" w:type="dxa"/>
              <w:bottom w:w="113" w:type="dxa"/>
              <w:right w:w="113" w:type="dxa"/>
            </w:tcMar>
            <w:hideMark/>
          </w:tcPr>
          <w:p w14:paraId="2CE97ABD" w14:textId="2319F96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-0.968</w:t>
            </w:r>
          </w:p>
        </w:tc>
        <w:tc>
          <w:tcPr>
            <w:tcW w:w="2211" w:type="dxa"/>
            <w:tcMar>
              <w:top w:w="113" w:type="dxa"/>
              <w:left w:w="113" w:type="dxa"/>
              <w:bottom w:w="113" w:type="dxa"/>
              <w:right w:w="113" w:type="dxa"/>
            </w:tcMar>
            <w:hideMark/>
          </w:tcPr>
          <w:p w14:paraId="141678F5" w14:textId="452BC79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-1.456 – -0.480</w:t>
            </w:r>
          </w:p>
        </w:tc>
        <w:tc>
          <w:tcPr>
            <w:tcW w:w="1039" w:type="dxa"/>
            <w:tcMar>
              <w:top w:w="113" w:type="dxa"/>
              <w:left w:w="113" w:type="dxa"/>
              <w:bottom w:w="113" w:type="dxa"/>
              <w:right w:w="113" w:type="dxa"/>
            </w:tcMar>
            <w:hideMark/>
          </w:tcPr>
          <w:p w14:paraId="3D2B0FBE" w14:textId="164BB46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7E4A1198" w14:textId="77777777" w:rsidTr="00643F3A">
        <w:trPr>
          <w:trHeight w:val="20"/>
        </w:trPr>
        <w:tc>
          <w:tcPr>
            <w:tcW w:w="4810" w:type="dxa"/>
            <w:tcMar>
              <w:top w:w="113" w:type="dxa"/>
              <w:left w:w="113" w:type="dxa"/>
              <w:bottom w:w="113" w:type="dxa"/>
              <w:right w:w="113" w:type="dxa"/>
            </w:tcMar>
            <w:hideMark/>
          </w:tcPr>
          <w:p w14:paraId="1CE28519" w14:textId="77777777"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RegionOther</w:t>
            </w:r>
          </w:p>
        </w:tc>
        <w:tc>
          <w:tcPr>
            <w:tcW w:w="989" w:type="dxa"/>
            <w:tcMar>
              <w:top w:w="113" w:type="dxa"/>
              <w:left w:w="113" w:type="dxa"/>
              <w:bottom w:w="113" w:type="dxa"/>
              <w:right w:w="113" w:type="dxa"/>
            </w:tcMar>
            <w:hideMark/>
          </w:tcPr>
          <w:p w14:paraId="3918D3E5" w14:textId="55901B3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-5.303</w:t>
            </w:r>
          </w:p>
        </w:tc>
        <w:tc>
          <w:tcPr>
            <w:tcW w:w="2211" w:type="dxa"/>
            <w:tcMar>
              <w:top w:w="113" w:type="dxa"/>
              <w:left w:w="113" w:type="dxa"/>
              <w:bottom w:w="113" w:type="dxa"/>
              <w:right w:w="113" w:type="dxa"/>
            </w:tcMar>
            <w:hideMark/>
          </w:tcPr>
          <w:p w14:paraId="0885BA6F" w14:textId="7B2625A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-7.041 – -3.566</w:t>
            </w:r>
          </w:p>
        </w:tc>
        <w:tc>
          <w:tcPr>
            <w:tcW w:w="1039" w:type="dxa"/>
            <w:tcMar>
              <w:top w:w="113" w:type="dxa"/>
              <w:left w:w="113" w:type="dxa"/>
              <w:bottom w:w="113" w:type="dxa"/>
              <w:right w:w="113" w:type="dxa"/>
            </w:tcMar>
            <w:hideMark/>
          </w:tcPr>
          <w:p w14:paraId="0D4DD752" w14:textId="7154FFD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3A03D361" w14:textId="77777777" w:rsidTr="00643F3A">
        <w:trPr>
          <w:trHeight w:val="20"/>
        </w:trPr>
        <w:tc>
          <w:tcPr>
            <w:tcW w:w="4810" w:type="dxa"/>
            <w:tcMar>
              <w:top w:w="113" w:type="dxa"/>
              <w:left w:w="113" w:type="dxa"/>
              <w:bottom w:w="113" w:type="dxa"/>
              <w:right w:w="113" w:type="dxa"/>
            </w:tcMar>
            <w:hideMark/>
          </w:tcPr>
          <w:p w14:paraId="7A91E5E2" w14:textId="3D4C47FB"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South</w:t>
            </w:r>
          </w:p>
        </w:tc>
        <w:tc>
          <w:tcPr>
            <w:tcW w:w="989" w:type="dxa"/>
            <w:tcMar>
              <w:top w:w="113" w:type="dxa"/>
              <w:left w:w="113" w:type="dxa"/>
              <w:bottom w:w="113" w:type="dxa"/>
              <w:right w:w="113" w:type="dxa"/>
            </w:tcMar>
            <w:hideMark/>
          </w:tcPr>
          <w:p w14:paraId="4A2CFE12" w14:textId="7F3EB00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-0.619</w:t>
            </w:r>
          </w:p>
        </w:tc>
        <w:tc>
          <w:tcPr>
            <w:tcW w:w="2211" w:type="dxa"/>
            <w:tcMar>
              <w:top w:w="113" w:type="dxa"/>
              <w:left w:w="113" w:type="dxa"/>
              <w:bottom w:w="113" w:type="dxa"/>
              <w:right w:w="113" w:type="dxa"/>
            </w:tcMar>
            <w:hideMark/>
          </w:tcPr>
          <w:p w14:paraId="3B1BD2D4" w14:textId="6D85ADF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-1.030 – -0.208</w:t>
            </w:r>
          </w:p>
        </w:tc>
        <w:tc>
          <w:tcPr>
            <w:tcW w:w="1039" w:type="dxa"/>
            <w:tcMar>
              <w:top w:w="113" w:type="dxa"/>
              <w:left w:w="113" w:type="dxa"/>
              <w:bottom w:w="113" w:type="dxa"/>
              <w:right w:w="113" w:type="dxa"/>
            </w:tcMar>
            <w:hideMark/>
          </w:tcPr>
          <w:p w14:paraId="3573E423" w14:textId="18AF7BA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0.003</w:t>
            </w:r>
          </w:p>
        </w:tc>
      </w:tr>
      <w:tr w:rsidR="003C5B74" w:rsidRPr="00171683" w14:paraId="45026BE7" w14:textId="77777777" w:rsidTr="00643F3A">
        <w:trPr>
          <w:trHeight w:val="20"/>
        </w:trPr>
        <w:tc>
          <w:tcPr>
            <w:tcW w:w="4810" w:type="dxa"/>
            <w:tcMar>
              <w:top w:w="113" w:type="dxa"/>
              <w:left w:w="113" w:type="dxa"/>
              <w:bottom w:w="113" w:type="dxa"/>
              <w:right w:w="113" w:type="dxa"/>
            </w:tcMar>
            <w:hideMark/>
          </w:tcPr>
          <w:p w14:paraId="3FD100B6" w14:textId="3B70BA13"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West</w:t>
            </w:r>
          </w:p>
        </w:tc>
        <w:tc>
          <w:tcPr>
            <w:tcW w:w="989" w:type="dxa"/>
            <w:tcMar>
              <w:top w:w="113" w:type="dxa"/>
              <w:left w:w="113" w:type="dxa"/>
              <w:bottom w:w="113" w:type="dxa"/>
              <w:right w:w="113" w:type="dxa"/>
            </w:tcMar>
            <w:hideMark/>
          </w:tcPr>
          <w:p w14:paraId="5015231A" w14:textId="270486A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-1.526</w:t>
            </w:r>
          </w:p>
        </w:tc>
        <w:tc>
          <w:tcPr>
            <w:tcW w:w="2211" w:type="dxa"/>
            <w:tcMar>
              <w:top w:w="113" w:type="dxa"/>
              <w:left w:w="113" w:type="dxa"/>
              <w:bottom w:w="113" w:type="dxa"/>
              <w:right w:w="113" w:type="dxa"/>
            </w:tcMar>
            <w:hideMark/>
          </w:tcPr>
          <w:p w14:paraId="55F0863E" w14:textId="1CBA724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-2.017 – -1.034</w:t>
            </w:r>
          </w:p>
        </w:tc>
        <w:tc>
          <w:tcPr>
            <w:tcW w:w="1039" w:type="dxa"/>
            <w:tcMar>
              <w:top w:w="113" w:type="dxa"/>
              <w:left w:w="113" w:type="dxa"/>
              <w:bottom w:w="113" w:type="dxa"/>
              <w:right w:w="113" w:type="dxa"/>
            </w:tcMar>
            <w:hideMark/>
          </w:tcPr>
          <w:p w14:paraId="075AE4A6" w14:textId="64E7402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DA69C5" w:rsidRPr="00171683" w14:paraId="2F8ABDA9" w14:textId="77777777" w:rsidTr="00643F3A">
        <w:trPr>
          <w:trHeight w:val="20"/>
        </w:trPr>
        <w:tc>
          <w:tcPr>
            <w:tcW w:w="4810" w:type="dxa"/>
            <w:tcBorders>
              <w:top w:val="single" w:sz="6" w:space="0" w:color="auto"/>
            </w:tcBorders>
            <w:tcMar>
              <w:top w:w="57" w:type="dxa"/>
              <w:left w:w="113" w:type="dxa"/>
              <w:bottom w:w="57" w:type="dxa"/>
              <w:right w:w="113" w:type="dxa"/>
            </w:tcMar>
            <w:hideMark/>
          </w:tcPr>
          <w:p w14:paraId="08F24E38"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Observations</w:t>
            </w:r>
          </w:p>
        </w:tc>
        <w:tc>
          <w:tcPr>
            <w:tcW w:w="4239" w:type="dxa"/>
            <w:gridSpan w:val="3"/>
            <w:tcBorders>
              <w:top w:val="single" w:sz="6" w:space="0" w:color="auto"/>
            </w:tcBorders>
            <w:tcMar>
              <w:top w:w="57" w:type="dxa"/>
              <w:left w:w="113" w:type="dxa"/>
              <w:bottom w:w="57" w:type="dxa"/>
              <w:right w:w="113" w:type="dxa"/>
            </w:tcMar>
            <w:hideMark/>
          </w:tcPr>
          <w:p w14:paraId="52AF70E4"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885</w:t>
            </w:r>
          </w:p>
        </w:tc>
      </w:tr>
      <w:tr w:rsidR="00DA69C5" w:rsidRPr="00171683" w14:paraId="19BEF359" w14:textId="77777777" w:rsidTr="00643F3A">
        <w:trPr>
          <w:trHeight w:val="20"/>
        </w:trPr>
        <w:tc>
          <w:tcPr>
            <w:tcW w:w="4810" w:type="dxa"/>
            <w:tcMar>
              <w:top w:w="57" w:type="dxa"/>
              <w:left w:w="113" w:type="dxa"/>
              <w:bottom w:w="57" w:type="dxa"/>
              <w:right w:w="113" w:type="dxa"/>
            </w:tcMar>
            <w:hideMark/>
          </w:tcPr>
          <w:p w14:paraId="789AC645"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Nagelkerke's R</w:t>
            </w:r>
            <w:r w:rsidRPr="00171683">
              <w:rPr>
                <w:rFonts w:ascii="Times New Roman" w:eastAsia="Times New Roman" w:hAnsi="Times New Roman" w:cs="Times New Roman"/>
                <w:sz w:val="24"/>
                <w:szCs w:val="24"/>
                <w:vertAlign w:val="superscript"/>
                <w:lang w:eastAsia="de-DE"/>
              </w:rPr>
              <w:t>2</w:t>
            </w:r>
          </w:p>
        </w:tc>
        <w:tc>
          <w:tcPr>
            <w:tcW w:w="4239" w:type="dxa"/>
            <w:gridSpan w:val="3"/>
            <w:tcMar>
              <w:top w:w="57" w:type="dxa"/>
              <w:left w:w="113" w:type="dxa"/>
              <w:bottom w:w="57" w:type="dxa"/>
              <w:right w:w="113" w:type="dxa"/>
            </w:tcMar>
            <w:hideMark/>
          </w:tcPr>
          <w:p w14:paraId="64B54903" w14:textId="7D1BE0B5"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0.76</w:t>
            </w:r>
            <w:r w:rsidR="00D7784E">
              <w:rPr>
                <w:rFonts w:ascii="Times New Roman" w:eastAsia="Times New Roman" w:hAnsi="Times New Roman" w:cs="Times New Roman"/>
                <w:sz w:val="24"/>
                <w:szCs w:val="24"/>
                <w:lang w:eastAsia="de-DE"/>
              </w:rPr>
              <w:t>3</w:t>
            </w:r>
          </w:p>
        </w:tc>
      </w:tr>
    </w:tbl>
    <w:p w14:paraId="2DB3EF1C" w14:textId="77777777" w:rsidR="00DA69C5" w:rsidRDefault="00DA69C5">
      <w:pPr>
        <w:rPr>
          <w:rFonts w:ascii="Times New Roman" w:hAnsi="Times New Roman" w:cs="Times New Roman"/>
          <w:b/>
          <w:sz w:val="24"/>
          <w:szCs w:val="24"/>
          <w:lang w:val="en-US"/>
        </w:rPr>
      </w:pPr>
    </w:p>
    <w:p w14:paraId="30B51380" w14:textId="504E1F5F"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C5F7583" w14:textId="7A1AB0E4"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6b. Aluminum.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40"/>
        <w:gridCol w:w="270"/>
        <w:gridCol w:w="1260"/>
        <w:gridCol w:w="2250"/>
        <w:gridCol w:w="1129"/>
      </w:tblGrid>
      <w:tr w:rsidR="00C81C65" w:rsidRPr="00C81C65" w14:paraId="2BA4FC96" w14:textId="77777777" w:rsidTr="00017013">
        <w:tc>
          <w:tcPr>
            <w:tcW w:w="4410" w:type="dxa"/>
            <w:gridSpan w:val="2"/>
            <w:tcBorders>
              <w:top w:val="double" w:sz="6" w:space="0" w:color="auto"/>
            </w:tcBorders>
            <w:tcMar>
              <w:top w:w="113" w:type="dxa"/>
              <w:left w:w="113" w:type="dxa"/>
              <w:bottom w:w="113" w:type="dxa"/>
              <w:right w:w="113" w:type="dxa"/>
            </w:tcMar>
            <w:vAlign w:val="center"/>
            <w:hideMark/>
          </w:tcPr>
          <w:p w14:paraId="12EF3352" w14:textId="77777777" w:rsidR="00C81C65" w:rsidRPr="00C81C65" w:rsidRDefault="00C81C65" w:rsidP="00C81C65">
            <w:pPr>
              <w:spacing w:after="0" w:line="240" w:lineRule="auto"/>
              <w:rPr>
                <w:rFonts w:ascii="Times New Roman" w:eastAsia="Times New Roman" w:hAnsi="Times New Roman" w:cs="Times New Roman"/>
                <w:b/>
                <w:bCs/>
                <w:sz w:val="24"/>
                <w:szCs w:val="24"/>
                <w:lang w:eastAsia="de-DE"/>
              </w:rPr>
            </w:pPr>
            <w:r w:rsidRPr="00C81C65">
              <w:rPr>
                <w:rFonts w:ascii="Times New Roman" w:eastAsia="Times New Roman" w:hAnsi="Times New Roman" w:cs="Times New Roman"/>
                <w:b/>
                <w:bCs/>
                <w:sz w:val="24"/>
                <w:szCs w:val="24"/>
                <w:lang w:eastAsia="de-DE"/>
              </w:rPr>
              <w:t> </w:t>
            </w:r>
          </w:p>
        </w:tc>
        <w:tc>
          <w:tcPr>
            <w:tcW w:w="4639" w:type="dxa"/>
            <w:gridSpan w:val="3"/>
            <w:tcBorders>
              <w:top w:val="double" w:sz="6" w:space="0" w:color="auto"/>
            </w:tcBorders>
            <w:tcMar>
              <w:top w:w="113" w:type="dxa"/>
              <w:left w:w="113" w:type="dxa"/>
              <w:bottom w:w="113" w:type="dxa"/>
              <w:right w:w="113" w:type="dxa"/>
            </w:tcMar>
            <w:vAlign w:val="center"/>
            <w:hideMark/>
          </w:tcPr>
          <w:p w14:paraId="7D9080AA" w14:textId="1E37AB61" w:rsidR="00C81C65" w:rsidRPr="00C81C65" w:rsidRDefault="00C81C65" w:rsidP="00C81C65">
            <w:pPr>
              <w:spacing w:after="0" w:line="240" w:lineRule="auto"/>
              <w:jc w:val="center"/>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Aluminum</w:t>
            </w:r>
          </w:p>
        </w:tc>
      </w:tr>
      <w:tr w:rsidR="00C81C65" w:rsidRPr="00C81C65" w14:paraId="17A5AE25" w14:textId="77777777" w:rsidTr="00017013">
        <w:tc>
          <w:tcPr>
            <w:tcW w:w="4410" w:type="dxa"/>
            <w:gridSpan w:val="2"/>
            <w:tcBorders>
              <w:bottom w:val="single" w:sz="6" w:space="0" w:color="auto"/>
            </w:tcBorders>
            <w:vAlign w:val="center"/>
            <w:hideMark/>
          </w:tcPr>
          <w:p w14:paraId="737ABFA9" w14:textId="77777777" w:rsidR="00C81C65" w:rsidRPr="00C81C65" w:rsidRDefault="00C81C65" w:rsidP="00C81C65">
            <w:pPr>
              <w:spacing w:after="0" w:line="240" w:lineRule="auto"/>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Predictors</w:t>
            </w:r>
          </w:p>
        </w:tc>
        <w:tc>
          <w:tcPr>
            <w:tcW w:w="1260" w:type="dxa"/>
            <w:tcBorders>
              <w:bottom w:val="single" w:sz="6" w:space="0" w:color="auto"/>
            </w:tcBorders>
            <w:vAlign w:val="center"/>
            <w:hideMark/>
          </w:tcPr>
          <w:p w14:paraId="4717A6F0"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Estimates</w:t>
            </w:r>
          </w:p>
        </w:tc>
        <w:tc>
          <w:tcPr>
            <w:tcW w:w="2250" w:type="dxa"/>
            <w:tcBorders>
              <w:bottom w:val="single" w:sz="6" w:space="0" w:color="auto"/>
            </w:tcBorders>
            <w:vAlign w:val="center"/>
            <w:hideMark/>
          </w:tcPr>
          <w:p w14:paraId="716C186E"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CI</w:t>
            </w:r>
          </w:p>
        </w:tc>
        <w:tc>
          <w:tcPr>
            <w:tcW w:w="1129" w:type="dxa"/>
            <w:tcBorders>
              <w:bottom w:val="single" w:sz="6" w:space="0" w:color="auto"/>
            </w:tcBorders>
            <w:vAlign w:val="center"/>
            <w:hideMark/>
          </w:tcPr>
          <w:p w14:paraId="5AF22C98"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p</w:t>
            </w:r>
          </w:p>
        </w:tc>
      </w:tr>
      <w:tr w:rsidR="000C7879" w:rsidRPr="00C81C65" w14:paraId="6B4AF68F" w14:textId="77777777" w:rsidTr="00017013">
        <w:tc>
          <w:tcPr>
            <w:tcW w:w="4140" w:type="dxa"/>
            <w:tcMar>
              <w:top w:w="113" w:type="dxa"/>
              <w:left w:w="113" w:type="dxa"/>
              <w:bottom w:w="113" w:type="dxa"/>
              <w:right w:w="113" w:type="dxa"/>
            </w:tcMar>
            <w:hideMark/>
          </w:tcPr>
          <w:p w14:paraId="4A167CA2" w14:textId="192EFD8E"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Intercept (Midwest)</w:t>
            </w:r>
          </w:p>
        </w:tc>
        <w:tc>
          <w:tcPr>
            <w:tcW w:w="1530" w:type="dxa"/>
            <w:gridSpan w:val="2"/>
            <w:tcMar>
              <w:top w:w="113" w:type="dxa"/>
              <w:left w:w="113" w:type="dxa"/>
              <w:bottom w:w="113" w:type="dxa"/>
              <w:right w:w="113" w:type="dxa"/>
            </w:tcMar>
            <w:hideMark/>
          </w:tcPr>
          <w:p w14:paraId="5BB83FB9" w14:textId="55C1493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-0.19601</w:t>
            </w:r>
          </w:p>
        </w:tc>
        <w:tc>
          <w:tcPr>
            <w:tcW w:w="2250" w:type="dxa"/>
            <w:tcMar>
              <w:top w:w="113" w:type="dxa"/>
              <w:left w:w="113" w:type="dxa"/>
              <w:bottom w:w="113" w:type="dxa"/>
              <w:right w:w="113" w:type="dxa"/>
            </w:tcMar>
            <w:hideMark/>
          </w:tcPr>
          <w:p w14:paraId="46717320" w14:textId="3A13E73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-0.34073 – -0.05130</w:t>
            </w:r>
          </w:p>
        </w:tc>
        <w:tc>
          <w:tcPr>
            <w:tcW w:w="1129" w:type="dxa"/>
            <w:tcMar>
              <w:top w:w="113" w:type="dxa"/>
              <w:left w:w="113" w:type="dxa"/>
              <w:bottom w:w="113" w:type="dxa"/>
              <w:right w:w="113" w:type="dxa"/>
            </w:tcMar>
            <w:hideMark/>
          </w:tcPr>
          <w:p w14:paraId="095A6114" w14:textId="520D5133"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0.008</w:t>
            </w:r>
          </w:p>
        </w:tc>
      </w:tr>
      <w:tr w:rsidR="000C7879" w:rsidRPr="00C81C65" w14:paraId="2A958898" w14:textId="77777777" w:rsidTr="00017013">
        <w:tc>
          <w:tcPr>
            <w:tcW w:w="4140" w:type="dxa"/>
            <w:tcMar>
              <w:top w:w="113" w:type="dxa"/>
              <w:left w:w="113" w:type="dxa"/>
              <w:bottom w:w="113" w:type="dxa"/>
              <w:right w:w="113" w:type="dxa"/>
            </w:tcMar>
            <w:hideMark/>
          </w:tcPr>
          <w:p w14:paraId="35E1B1ED" w14:textId="1D33404D" w:rsidR="000C7879" w:rsidRPr="000F3D9E" w:rsidRDefault="000C7879" w:rsidP="000C7879">
            <w:pPr>
              <w:spacing w:after="0" w:line="240" w:lineRule="auto"/>
              <w:rPr>
                <w:rFonts w:ascii="Times New Roman" w:eastAsia="Times New Roman" w:hAnsi="Times New Roman" w:cs="Times New Roman"/>
                <w:sz w:val="24"/>
                <w:szCs w:val="24"/>
                <w:lang w:val="en-US" w:eastAsia="de-DE"/>
              </w:rPr>
            </w:pPr>
            <w:r w:rsidRPr="000F3D9E">
              <w:rPr>
                <w:rFonts w:ascii="Times New Roman" w:eastAsia="Times New Roman" w:hAnsi="Times New Roman" w:cs="Times New Roman"/>
                <w:sz w:val="24"/>
                <w:szCs w:val="24"/>
                <w:lang w:val="en-US" w:eastAsia="de-DE"/>
              </w:rPr>
              <w:t xml:space="preserve">Racial isolation </w:t>
            </w:r>
            <w:r>
              <w:rPr>
                <w:rFonts w:ascii="Times New Roman" w:eastAsia="Times New Roman" w:hAnsi="Times New Roman" w:cs="Times New Roman"/>
                <w:sz w:val="24"/>
                <w:szCs w:val="24"/>
                <w:lang w:val="en-US" w:eastAsia="de-DE"/>
              </w:rPr>
              <w:t>quintile</w:t>
            </w:r>
          </w:p>
        </w:tc>
        <w:tc>
          <w:tcPr>
            <w:tcW w:w="1530" w:type="dxa"/>
            <w:gridSpan w:val="2"/>
            <w:tcMar>
              <w:top w:w="113" w:type="dxa"/>
              <w:left w:w="113" w:type="dxa"/>
              <w:bottom w:w="113" w:type="dxa"/>
              <w:right w:w="113" w:type="dxa"/>
            </w:tcMar>
            <w:hideMark/>
          </w:tcPr>
          <w:p w14:paraId="2E73B32E" w14:textId="2D907AAA"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-0.00542</w:t>
            </w:r>
          </w:p>
        </w:tc>
        <w:tc>
          <w:tcPr>
            <w:tcW w:w="2250" w:type="dxa"/>
            <w:tcMar>
              <w:top w:w="113" w:type="dxa"/>
              <w:left w:w="113" w:type="dxa"/>
              <w:bottom w:w="113" w:type="dxa"/>
              <w:right w:w="113" w:type="dxa"/>
            </w:tcMar>
            <w:hideMark/>
          </w:tcPr>
          <w:p w14:paraId="27ADBCA3" w14:textId="1E42B78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-0.00923 – -0.00161</w:t>
            </w:r>
          </w:p>
        </w:tc>
        <w:tc>
          <w:tcPr>
            <w:tcW w:w="1129" w:type="dxa"/>
            <w:tcMar>
              <w:top w:w="113" w:type="dxa"/>
              <w:left w:w="113" w:type="dxa"/>
              <w:bottom w:w="113" w:type="dxa"/>
              <w:right w:w="113" w:type="dxa"/>
            </w:tcMar>
            <w:hideMark/>
          </w:tcPr>
          <w:p w14:paraId="4F2A7349" w14:textId="3DAF743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0.006</w:t>
            </w:r>
          </w:p>
        </w:tc>
      </w:tr>
      <w:tr w:rsidR="000C7879" w:rsidRPr="00C81C65" w14:paraId="325E8320" w14:textId="77777777" w:rsidTr="00017013">
        <w:tc>
          <w:tcPr>
            <w:tcW w:w="4140" w:type="dxa"/>
            <w:tcMar>
              <w:top w:w="113" w:type="dxa"/>
              <w:left w:w="113" w:type="dxa"/>
              <w:bottom w:w="113" w:type="dxa"/>
              <w:right w:w="113" w:type="dxa"/>
            </w:tcMar>
            <w:hideMark/>
          </w:tcPr>
          <w:p w14:paraId="45A5F73A" w14:textId="3167E81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Black or African American (%)</w:t>
            </w:r>
          </w:p>
        </w:tc>
        <w:tc>
          <w:tcPr>
            <w:tcW w:w="1530" w:type="dxa"/>
            <w:gridSpan w:val="2"/>
            <w:tcMar>
              <w:top w:w="113" w:type="dxa"/>
              <w:left w:w="113" w:type="dxa"/>
              <w:bottom w:w="113" w:type="dxa"/>
              <w:right w:w="113" w:type="dxa"/>
            </w:tcMar>
            <w:hideMark/>
          </w:tcPr>
          <w:p w14:paraId="0B0A34E7" w14:textId="3217085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0.25124</w:t>
            </w:r>
          </w:p>
        </w:tc>
        <w:tc>
          <w:tcPr>
            <w:tcW w:w="2250" w:type="dxa"/>
            <w:tcMar>
              <w:top w:w="113" w:type="dxa"/>
              <w:left w:w="113" w:type="dxa"/>
              <w:bottom w:w="113" w:type="dxa"/>
              <w:right w:w="113" w:type="dxa"/>
            </w:tcMar>
            <w:hideMark/>
          </w:tcPr>
          <w:p w14:paraId="219C4AAD" w14:textId="2AD56F8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0.10508 – 0.39741</w:t>
            </w:r>
          </w:p>
        </w:tc>
        <w:tc>
          <w:tcPr>
            <w:tcW w:w="1129" w:type="dxa"/>
            <w:tcMar>
              <w:top w:w="113" w:type="dxa"/>
              <w:left w:w="113" w:type="dxa"/>
              <w:bottom w:w="113" w:type="dxa"/>
              <w:right w:w="113" w:type="dxa"/>
            </w:tcMar>
            <w:hideMark/>
          </w:tcPr>
          <w:p w14:paraId="03E990A4" w14:textId="6EE70537"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0.001</w:t>
            </w:r>
          </w:p>
        </w:tc>
      </w:tr>
      <w:tr w:rsidR="000C7879" w:rsidRPr="00C81C65" w14:paraId="6364F9E4" w14:textId="77777777" w:rsidTr="00017013">
        <w:tc>
          <w:tcPr>
            <w:tcW w:w="4140" w:type="dxa"/>
            <w:tcMar>
              <w:top w:w="113" w:type="dxa"/>
              <w:left w:w="113" w:type="dxa"/>
              <w:bottom w:w="113" w:type="dxa"/>
              <w:right w:w="113" w:type="dxa"/>
            </w:tcMar>
            <w:hideMark/>
          </w:tcPr>
          <w:p w14:paraId="6ED92828" w14:textId="7A1E4F0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Hispanic or Latino (%)</w:t>
            </w:r>
          </w:p>
        </w:tc>
        <w:tc>
          <w:tcPr>
            <w:tcW w:w="1530" w:type="dxa"/>
            <w:gridSpan w:val="2"/>
            <w:tcMar>
              <w:top w:w="113" w:type="dxa"/>
              <w:left w:w="113" w:type="dxa"/>
              <w:bottom w:w="113" w:type="dxa"/>
              <w:right w:w="113" w:type="dxa"/>
            </w:tcMar>
            <w:hideMark/>
          </w:tcPr>
          <w:p w14:paraId="1BE675F4" w14:textId="724A9B7A"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0.31038</w:t>
            </w:r>
          </w:p>
        </w:tc>
        <w:tc>
          <w:tcPr>
            <w:tcW w:w="2250" w:type="dxa"/>
            <w:tcMar>
              <w:top w:w="113" w:type="dxa"/>
              <w:left w:w="113" w:type="dxa"/>
              <w:bottom w:w="113" w:type="dxa"/>
              <w:right w:w="113" w:type="dxa"/>
            </w:tcMar>
            <w:hideMark/>
          </w:tcPr>
          <w:p w14:paraId="7347C903" w14:textId="0D9E7F1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0.16614 – 0.45463</w:t>
            </w:r>
          </w:p>
        </w:tc>
        <w:tc>
          <w:tcPr>
            <w:tcW w:w="1129" w:type="dxa"/>
            <w:tcMar>
              <w:top w:w="113" w:type="dxa"/>
              <w:left w:w="113" w:type="dxa"/>
              <w:bottom w:w="113" w:type="dxa"/>
              <w:right w:w="113" w:type="dxa"/>
            </w:tcMar>
            <w:hideMark/>
          </w:tcPr>
          <w:p w14:paraId="23F75AD9" w14:textId="7972F69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&lt;0.001</w:t>
            </w:r>
          </w:p>
        </w:tc>
      </w:tr>
      <w:tr w:rsidR="000C7879" w:rsidRPr="00C81C65" w14:paraId="21A340AF" w14:textId="77777777" w:rsidTr="00017013">
        <w:tc>
          <w:tcPr>
            <w:tcW w:w="4140" w:type="dxa"/>
            <w:tcMar>
              <w:top w:w="113" w:type="dxa"/>
              <w:left w:w="113" w:type="dxa"/>
              <w:bottom w:w="113" w:type="dxa"/>
              <w:right w:w="113" w:type="dxa"/>
            </w:tcMar>
            <w:hideMark/>
          </w:tcPr>
          <w:p w14:paraId="33D38F79" w14:textId="451443FA"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Asian (%)</w:t>
            </w:r>
          </w:p>
        </w:tc>
        <w:tc>
          <w:tcPr>
            <w:tcW w:w="1530" w:type="dxa"/>
            <w:gridSpan w:val="2"/>
            <w:tcMar>
              <w:top w:w="113" w:type="dxa"/>
              <w:left w:w="113" w:type="dxa"/>
              <w:bottom w:w="113" w:type="dxa"/>
              <w:right w:w="113" w:type="dxa"/>
            </w:tcMar>
            <w:hideMark/>
          </w:tcPr>
          <w:p w14:paraId="5633E128" w14:textId="5BA9793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0.23135</w:t>
            </w:r>
          </w:p>
        </w:tc>
        <w:tc>
          <w:tcPr>
            <w:tcW w:w="2250" w:type="dxa"/>
            <w:tcMar>
              <w:top w:w="113" w:type="dxa"/>
              <w:left w:w="113" w:type="dxa"/>
              <w:bottom w:w="113" w:type="dxa"/>
              <w:right w:w="113" w:type="dxa"/>
            </w:tcMar>
            <w:hideMark/>
          </w:tcPr>
          <w:p w14:paraId="1F51B152" w14:textId="7BB9C65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0.06469 – 0.39802</w:t>
            </w:r>
          </w:p>
        </w:tc>
        <w:tc>
          <w:tcPr>
            <w:tcW w:w="1129" w:type="dxa"/>
            <w:tcMar>
              <w:top w:w="113" w:type="dxa"/>
              <w:left w:w="113" w:type="dxa"/>
              <w:bottom w:w="113" w:type="dxa"/>
              <w:right w:w="113" w:type="dxa"/>
            </w:tcMar>
            <w:hideMark/>
          </w:tcPr>
          <w:p w14:paraId="1C0C5EF3" w14:textId="2E8CC3D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0.007</w:t>
            </w:r>
          </w:p>
        </w:tc>
      </w:tr>
      <w:tr w:rsidR="000C7879" w:rsidRPr="00C81C65" w14:paraId="5D139363" w14:textId="77777777" w:rsidTr="00017013">
        <w:tc>
          <w:tcPr>
            <w:tcW w:w="4140" w:type="dxa"/>
            <w:tcMar>
              <w:top w:w="113" w:type="dxa"/>
              <w:left w:w="113" w:type="dxa"/>
              <w:bottom w:w="113" w:type="dxa"/>
              <w:right w:w="113" w:type="dxa"/>
            </w:tcMar>
            <w:hideMark/>
          </w:tcPr>
          <w:p w14:paraId="0EF53A17" w14:textId="48A59114" w:rsidR="000C7879" w:rsidRPr="000F3D9E" w:rsidRDefault="000C7879" w:rsidP="000C7879">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American Indian, Alaska Native, Native Hawaiian, or Pacific Islander (%)</w:t>
            </w:r>
          </w:p>
        </w:tc>
        <w:tc>
          <w:tcPr>
            <w:tcW w:w="1530" w:type="dxa"/>
            <w:gridSpan w:val="2"/>
            <w:tcMar>
              <w:top w:w="113" w:type="dxa"/>
              <w:left w:w="113" w:type="dxa"/>
              <w:bottom w:w="113" w:type="dxa"/>
              <w:right w:w="113" w:type="dxa"/>
            </w:tcMar>
            <w:hideMark/>
          </w:tcPr>
          <w:p w14:paraId="70C246E4" w14:textId="153E001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0.27069</w:t>
            </w:r>
          </w:p>
        </w:tc>
        <w:tc>
          <w:tcPr>
            <w:tcW w:w="2250" w:type="dxa"/>
            <w:tcMar>
              <w:top w:w="113" w:type="dxa"/>
              <w:left w:w="113" w:type="dxa"/>
              <w:bottom w:w="113" w:type="dxa"/>
              <w:right w:w="113" w:type="dxa"/>
            </w:tcMar>
            <w:hideMark/>
          </w:tcPr>
          <w:p w14:paraId="68267E0E" w14:textId="3A21BBB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0.10058 – 0.44080</w:t>
            </w:r>
          </w:p>
        </w:tc>
        <w:tc>
          <w:tcPr>
            <w:tcW w:w="1129" w:type="dxa"/>
            <w:tcMar>
              <w:top w:w="113" w:type="dxa"/>
              <w:left w:w="113" w:type="dxa"/>
              <w:bottom w:w="113" w:type="dxa"/>
              <w:right w:w="113" w:type="dxa"/>
            </w:tcMar>
            <w:hideMark/>
          </w:tcPr>
          <w:p w14:paraId="27BEC836" w14:textId="21E0A072"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0.002</w:t>
            </w:r>
          </w:p>
        </w:tc>
      </w:tr>
      <w:tr w:rsidR="000C7879" w:rsidRPr="00C81C65" w14:paraId="075DC6E7" w14:textId="77777777" w:rsidTr="00017013">
        <w:tc>
          <w:tcPr>
            <w:tcW w:w="4140" w:type="dxa"/>
            <w:tcMar>
              <w:top w:w="113" w:type="dxa"/>
              <w:left w:w="113" w:type="dxa"/>
              <w:bottom w:w="113" w:type="dxa"/>
              <w:right w:w="113" w:type="dxa"/>
            </w:tcMar>
            <w:hideMark/>
          </w:tcPr>
          <w:p w14:paraId="530A19A6" w14:textId="58EF981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White (%)</w:t>
            </w:r>
          </w:p>
        </w:tc>
        <w:tc>
          <w:tcPr>
            <w:tcW w:w="1530" w:type="dxa"/>
            <w:gridSpan w:val="2"/>
            <w:tcMar>
              <w:top w:w="113" w:type="dxa"/>
              <w:left w:w="113" w:type="dxa"/>
              <w:bottom w:w="113" w:type="dxa"/>
              <w:right w:w="113" w:type="dxa"/>
            </w:tcMar>
            <w:hideMark/>
          </w:tcPr>
          <w:p w14:paraId="4586E998" w14:textId="357267D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0.23585</w:t>
            </w:r>
          </w:p>
        </w:tc>
        <w:tc>
          <w:tcPr>
            <w:tcW w:w="2250" w:type="dxa"/>
            <w:tcMar>
              <w:top w:w="113" w:type="dxa"/>
              <w:left w:w="113" w:type="dxa"/>
              <w:bottom w:w="113" w:type="dxa"/>
              <w:right w:w="113" w:type="dxa"/>
            </w:tcMar>
            <w:hideMark/>
          </w:tcPr>
          <w:p w14:paraId="63BC4276" w14:textId="7A31D72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0.08976 – 0.38193</w:t>
            </w:r>
          </w:p>
        </w:tc>
        <w:tc>
          <w:tcPr>
            <w:tcW w:w="1129" w:type="dxa"/>
            <w:tcMar>
              <w:top w:w="113" w:type="dxa"/>
              <w:left w:w="113" w:type="dxa"/>
              <w:bottom w:w="113" w:type="dxa"/>
              <w:right w:w="113" w:type="dxa"/>
            </w:tcMar>
            <w:hideMark/>
          </w:tcPr>
          <w:p w14:paraId="484E8554" w14:textId="5AB69EB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0.002</w:t>
            </w:r>
          </w:p>
        </w:tc>
      </w:tr>
      <w:tr w:rsidR="000C7879" w:rsidRPr="00C81C65" w14:paraId="7D902153" w14:textId="77777777" w:rsidTr="00017013">
        <w:tc>
          <w:tcPr>
            <w:tcW w:w="4140" w:type="dxa"/>
            <w:tcMar>
              <w:top w:w="113" w:type="dxa"/>
              <w:left w:w="113" w:type="dxa"/>
              <w:bottom w:w="113" w:type="dxa"/>
              <w:right w:w="113" w:type="dxa"/>
            </w:tcMar>
            <w:hideMark/>
          </w:tcPr>
          <w:p w14:paraId="33A44829" w14:textId="23848649" w:rsidR="000C7879" w:rsidRPr="00C81C65" w:rsidRDefault="000C7879" w:rsidP="000C7879">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Education less than high school (%) </w:t>
            </w:r>
          </w:p>
        </w:tc>
        <w:tc>
          <w:tcPr>
            <w:tcW w:w="1530" w:type="dxa"/>
            <w:gridSpan w:val="2"/>
            <w:tcMar>
              <w:top w:w="113" w:type="dxa"/>
              <w:left w:w="113" w:type="dxa"/>
              <w:bottom w:w="113" w:type="dxa"/>
              <w:right w:w="113" w:type="dxa"/>
            </w:tcMar>
            <w:hideMark/>
          </w:tcPr>
          <w:p w14:paraId="4071283B" w14:textId="09B8243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w:t>
            </w:r>
          </w:p>
        </w:tc>
        <w:tc>
          <w:tcPr>
            <w:tcW w:w="2250" w:type="dxa"/>
            <w:tcMar>
              <w:top w:w="113" w:type="dxa"/>
              <w:left w:w="113" w:type="dxa"/>
              <w:bottom w:w="113" w:type="dxa"/>
              <w:right w:w="113" w:type="dxa"/>
            </w:tcMar>
            <w:hideMark/>
          </w:tcPr>
          <w:p w14:paraId="50214962" w14:textId="772D95C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 – 0.00000</w:t>
            </w:r>
          </w:p>
        </w:tc>
        <w:tc>
          <w:tcPr>
            <w:tcW w:w="1129" w:type="dxa"/>
            <w:tcMar>
              <w:top w:w="113" w:type="dxa"/>
              <w:left w:w="113" w:type="dxa"/>
              <w:bottom w:w="113" w:type="dxa"/>
              <w:right w:w="113" w:type="dxa"/>
            </w:tcMar>
            <w:hideMark/>
          </w:tcPr>
          <w:p w14:paraId="2809084C" w14:textId="507BD9D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0.169</w:t>
            </w:r>
          </w:p>
        </w:tc>
      </w:tr>
      <w:tr w:rsidR="000C7879" w:rsidRPr="00C81C65" w14:paraId="13CD04E5" w14:textId="77777777" w:rsidTr="00017013">
        <w:tc>
          <w:tcPr>
            <w:tcW w:w="4140" w:type="dxa"/>
            <w:tcMar>
              <w:top w:w="113" w:type="dxa"/>
              <w:left w:w="113" w:type="dxa"/>
              <w:bottom w:w="113" w:type="dxa"/>
              <w:right w:w="113" w:type="dxa"/>
            </w:tcMar>
            <w:hideMark/>
          </w:tcPr>
          <w:p w14:paraId="1D5B6591" w14:textId="6C599D7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Poverty (%)</w:t>
            </w:r>
          </w:p>
        </w:tc>
        <w:tc>
          <w:tcPr>
            <w:tcW w:w="1530" w:type="dxa"/>
            <w:gridSpan w:val="2"/>
            <w:tcMar>
              <w:top w:w="113" w:type="dxa"/>
              <w:left w:w="113" w:type="dxa"/>
              <w:bottom w:w="113" w:type="dxa"/>
              <w:right w:w="113" w:type="dxa"/>
            </w:tcMar>
            <w:hideMark/>
          </w:tcPr>
          <w:p w14:paraId="56541B41" w14:textId="2AE8DB6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0.02417</w:t>
            </w:r>
          </w:p>
        </w:tc>
        <w:tc>
          <w:tcPr>
            <w:tcW w:w="2250" w:type="dxa"/>
            <w:tcMar>
              <w:top w:w="113" w:type="dxa"/>
              <w:left w:w="113" w:type="dxa"/>
              <w:bottom w:w="113" w:type="dxa"/>
              <w:right w:w="113" w:type="dxa"/>
            </w:tcMar>
            <w:hideMark/>
          </w:tcPr>
          <w:p w14:paraId="73A67390" w14:textId="208C14A7"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-0.00615 – 0.05449</w:t>
            </w:r>
          </w:p>
        </w:tc>
        <w:tc>
          <w:tcPr>
            <w:tcW w:w="1129" w:type="dxa"/>
            <w:tcMar>
              <w:top w:w="113" w:type="dxa"/>
              <w:left w:w="113" w:type="dxa"/>
              <w:bottom w:w="113" w:type="dxa"/>
              <w:right w:w="113" w:type="dxa"/>
            </w:tcMar>
            <w:hideMark/>
          </w:tcPr>
          <w:p w14:paraId="53AC4B2E" w14:textId="75EC0591"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0.119</w:t>
            </w:r>
          </w:p>
        </w:tc>
      </w:tr>
      <w:tr w:rsidR="000C7879" w:rsidRPr="00C81C65" w14:paraId="1651D960" w14:textId="77777777" w:rsidTr="00017013">
        <w:tc>
          <w:tcPr>
            <w:tcW w:w="4140" w:type="dxa"/>
            <w:tcMar>
              <w:top w:w="113" w:type="dxa"/>
              <w:left w:w="113" w:type="dxa"/>
              <w:bottom w:w="113" w:type="dxa"/>
              <w:right w:w="113" w:type="dxa"/>
            </w:tcMar>
            <w:hideMark/>
          </w:tcPr>
          <w:p w14:paraId="3B418F39" w14:textId="3F5E1A8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Unemployed (%)</w:t>
            </w:r>
          </w:p>
        </w:tc>
        <w:tc>
          <w:tcPr>
            <w:tcW w:w="1530" w:type="dxa"/>
            <w:gridSpan w:val="2"/>
            <w:tcMar>
              <w:top w:w="113" w:type="dxa"/>
              <w:left w:w="113" w:type="dxa"/>
              <w:bottom w:w="113" w:type="dxa"/>
              <w:right w:w="113" w:type="dxa"/>
            </w:tcMar>
            <w:hideMark/>
          </w:tcPr>
          <w:p w14:paraId="5D2042DD" w14:textId="2F94269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-0.08530</w:t>
            </w:r>
          </w:p>
        </w:tc>
        <w:tc>
          <w:tcPr>
            <w:tcW w:w="2250" w:type="dxa"/>
            <w:tcMar>
              <w:top w:w="113" w:type="dxa"/>
              <w:left w:w="113" w:type="dxa"/>
              <w:bottom w:w="113" w:type="dxa"/>
              <w:right w:w="113" w:type="dxa"/>
            </w:tcMar>
            <w:hideMark/>
          </w:tcPr>
          <w:p w14:paraId="39B20B3A" w14:textId="7D0925A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-0.19103 – 0.02043</w:t>
            </w:r>
          </w:p>
        </w:tc>
        <w:tc>
          <w:tcPr>
            <w:tcW w:w="1129" w:type="dxa"/>
            <w:tcMar>
              <w:top w:w="113" w:type="dxa"/>
              <w:left w:w="113" w:type="dxa"/>
              <w:bottom w:w="113" w:type="dxa"/>
              <w:right w:w="113" w:type="dxa"/>
            </w:tcMar>
            <w:hideMark/>
          </w:tcPr>
          <w:p w14:paraId="7E657BF8" w14:textId="53569AE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0.115</w:t>
            </w:r>
          </w:p>
        </w:tc>
      </w:tr>
      <w:tr w:rsidR="000C7879" w:rsidRPr="00C81C65" w14:paraId="68C43345" w14:textId="77777777" w:rsidTr="00017013">
        <w:tc>
          <w:tcPr>
            <w:tcW w:w="4140" w:type="dxa"/>
            <w:tcMar>
              <w:top w:w="113" w:type="dxa"/>
              <w:left w:w="113" w:type="dxa"/>
              <w:bottom w:w="113" w:type="dxa"/>
              <w:right w:w="113" w:type="dxa"/>
            </w:tcMar>
            <w:hideMark/>
          </w:tcPr>
          <w:p w14:paraId="5D0CEA27" w14:textId="69C79E14"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0 to 19 (%)</w:t>
            </w:r>
          </w:p>
        </w:tc>
        <w:tc>
          <w:tcPr>
            <w:tcW w:w="1530" w:type="dxa"/>
            <w:gridSpan w:val="2"/>
            <w:tcMar>
              <w:top w:w="113" w:type="dxa"/>
              <w:left w:w="113" w:type="dxa"/>
              <w:bottom w:w="113" w:type="dxa"/>
              <w:right w:w="113" w:type="dxa"/>
            </w:tcMar>
            <w:hideMark/>
          </w:tcPr>
          <w:p w14:paraId="537FAF6F" w14:textId="625D64D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w:t>
            </w:r>
          </w:p>
        </w:tc>
        <w:tc>
          <w:tcPr>
            <w:tcW w:w="2250" w:type="dxa"/>
            <w:tcMar>
              <w:top w:w="113" w:type="dxa"/>
              <w:left w:w="113" w:type="dxa"/>
              <w:bottom w:w="113" w:type="dxa"/>
              <w:right w:w="113" w:type="dxa"/>
            </w:tcMar>
            <w:hideMark/>
          </w:tcPr>
          <w:p w14:paraId="647A2A49" w14:textId="514C848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 – 0.00001</w:t>
            </w:r>
          </w:p>
        </w:tc>
        <w:tc>
          <w:tcPr>
            <w:tcW w:w="1129" w:type="dxa"/>
            <w:tcMar>
              <w:top w:w="113" w:type="dxa"/>
              <w:left w:w="113" w:type="dxa"/>
              <w:bottom w:w="113" w:type="dxa"/>
              <w:right w:w="113" w:type="dxa"/>
            </w:tcMar>
            <w:hideMark/>
          </w:tcPr>
          <w:p w14:paraId="3DB5211D" w14:textId="5ACD704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0.746</w:t>
            </w:r>
          </w:p>
        </w:tc>
      </w:tr>
      <w:tr w:rsidR="000C7879" w:rsidRPr="00C81C65" w14:paraId="35CBE804" w14:textId="77777777" w:rsidTr="00017013">
        <w:tc>
          <w:tcPr>
            <w:tcW w:w="4140" w:type="dxa"/>
            <w:tcMar>
              <w:top w:w="113" w:type="dxa"/>
              <w:left w:w="113" w:type="dxa"/>
              <w:bottom w:w="113" w:type="dxa"/>
              <w:right w:w="113" w:type="dxa"/>
            </w:tcMar>
            <w:hideMark/>
          </w:tcPr>
          <w:p w14:paraId="49EFC0D2" w14:textId="5904ECE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65 or over (%)</w:t>
            </w:r>
          </w:p>
        </w:tc>
        <w:tc>
          <w:tcPr>
            <w:tcW w:w="1530" w:type="dxa"/>
            <w:gridSpan w:val="2"/>
            <w:tcMar>
              <w:top w:w="113" w:type="dxa"/>
              <w:left w:w="113" w:type="dxa"/>
              <w:bottom w:w="113" w:type="dxa"/>
              <w:right w:w="113" w:type="dxa"/>
            </w:tcMar>
            <w:hideMark/>
          </w:tcPr>
          <w:p w14:paraId="0DC52191" w14:textId="6D76566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w:t>
            </w:r>
          </w:p>
        </w:tc>
        <w:tc>
          <w:tcPr>
            <w:tcW w:w="2250" w:type="dxa"/>
            <w:tcMar>
              <w:top w:w="113" w:type="dxa"/>
              <w:left w:w="113" w:type="dxa"/>
              <w:bottom w:w="113" w:type="dxa"/>
              <w:right w:w="113" w:type="dxa"/>
            </w:tcMar>
            <w:hideMark/>
          </w:tcPr>
          <w:p w14:paraId="5EA57304" w14:textId="199351A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 – 0.00002</w:t>
            </w:r>
          </w:p>
        </w:tc>
        <w:tc>
          <w:tcPr>
            <w:tcW w:w="1129" w:type="dxa"/>
            <w:tcMar>
              <w:top w:w="113" w:type="dxa"/>
              <w:left w:w="113" w:type="dxa"/>
              <w:bottom w:w="113" w:type="dxa"/>
              <w:right w:w="113" w:type="dxa"/>
            </w:tcMar>
            <w:hideMark/>
          </w:tcPr>
          <w:p w14:paraId="0C3A5B44" w14:textId="083F9AB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0.520</w:t>
            </w:r>
          </w:p>
        </w:tc>
      </w:tr>
      <w:tr w:rsidR="000C7879" w:rsidRPr="00C81C65" w14:paraId="4580ED88" w14:textId="77777777" w:rsidTr="00017013">
        <w:tc>
          <w:tcPr>
            <w:tcW w:w="4140" w:type="dxa"/>
            <w:tcMar>
              <w:top w:w="113" w:type="dxa"/>
              <w:left w:w="113" w:type="dxa"/>
              <w:bottom w:w="113" w:type="dxa"/>
              <w:right w:w="113" w:type="dxa"/>
            </w:tcMar>
            <w:hideMark/>
          </w:tcPr>
          <w:p w14:paraId="6A90B0A6" w14:textId="3C65F483"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Northeast</w:t>
            </w:r>
          </w:p>
        </w:tc>
        <w:tc>
          <w:tcPr>
            <w:tcW w:w="1530" w:type="dxa"/>
            <w:gridSpan w:val="2"/>
            <w:tcMar>
              <w:top w:w="113" w:type="dxa"/>
              <w:left w:w="113" w:type="dxa"/>
              <w:bottom w:w="113" w:type="dxa"/>
              <w:right w:w="113" w:type="dxa"/>
            </w:tcMar>
            <w:hideMark/>
          </w:tcPr>
          <w:p w14:paraId="4BD5D048" w14:textId="4D80313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-0.01094</w:t>
            </w:r>
          </w:p>
        </w:tc>
        <w:tc>
          <w:tcPr>
            <w:tcW w:w="2250" w:type="dxa"/>
            <w:tcMar>
              <w:top w:w="113" w:type="dxa"/>
              <w:left w:w="113" w:type="dxa"/>
              <w:bottom w:w="113" w:type="dxa"/>
              <w:right w:w="113" w:type="dxa"/>
            </w:tcMar>
            <w:hideMark/>
          </w:tcPr>
          <w:p w14:paraId="64A43D49" w14:textId="4DFFCD0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-0.02177 – -0.00011</w:t>
            </w:r>
          </w:p>
        </w:tc>
        <w:tc>
          <w:tcPr>
            <w:tcW w:w="1129" w:type="dxa"/>
            <w:tcMar>
              <w:top w:w="113" w:type="dxa"/>
              <w:left w:w="113" w:type="dxa"/>
              <w:bottom w:w="113" w:type="dxa"/>
              <w:right w:w="113" w:type="dxa"/>
            </w:tcMar>
            <w:hideMark/>
          </w:tcPr>
          <w:p w14:paraId="0BCFFF47" w14:textId="7CE12103"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0.049</w:t>
            </w:r>
          </w:p>
        </w:tc>
      </w:tr>
      <w:tr w:rsidR="000C7879" w:rsidRPr="00C81C65" w14:paraId="67D52E8C" w14:textId="77777777" w:rsidTr="00017013">
        <w:tc>
          <w:tcPr>
            <w:tcW w:w="4140" w:type="dxa"/>
            <w:tcMar>
              <w:top w:w="113" w:type="dxa"/>
              <w:left w:w="113" w:type="dxa"/>
              <w:bottom w:w="113" w:type="dxa"/>
              <w:right w:w="113" w:type="dxa"/>
            </w:tcMar>
            <w:hideMark/>
          </w:tcPr>
          <w:p w14:paraId="7E2550B8" w14:textId="27199730"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South</w:t>
            </w:r>
          </w:p>
        </w:tc>
        <w:tc>
          <w:tcPr>
            <w:tcW w:w="1530" w:type="dxa"/>
            <w:gridSpan w:val="2"/>
            <w:tcMar>
              <w:top w:w="113" w:type="dxa"/>
              <w:left w:w="113" w:type="dxa"/>
              <w:bottom w:w="113" w:type="dxa"/>
              <w:right w:w="113" w:type="dxa"/>
            </w:tcMar>
            <w:hideMark/>
          </w:tcPr>
          <w:p w14:paraId="7896ACA2" w14:textId="503AF2D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0.02859</w:t>
            </w:r>
          </w:p>
        </w:tc>
        <w:tc>
          <w:tcPr>
            <w:tcW w:w="2250" w:type="dxa"/>
            <w:tcMar>
              <w:top w:w="113" w:type="dxa"/>
              <w:left w:w="113" w:type="dxa"/>
              <w:bottom w:w="113" w:type="dxa"/>
              <w:right w:w="113" w:type="dxa"/>
            </w:tcMar>
            <w:hideMark/>
          </w:tcPr>
          <w:p w14:paraId="4769C48D" w14:textId="36B2E20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0.01883 – 0.03836</w:t>
            </w:r>
          </w:p>
        </w:tc>
        <w:tc>
          <w:tcPr>
            <w:tcW w:w="1129" w:type="dxa"/>
            <w:tcMar>
              <w:top w:w="113" w:type="dxa"/>
              <w:left w:w="113" w:type="dxa"/>
              <w:bottom w:w="113" w:type="dxa"/>
              <w:right w:w="113" w:type="dxa"/>
            </w:tcMar>
            <w:hideMark/>
          </w:tcPr>
          <w:p w14:paraId="3FA63F3F" w14:textId="0F6E727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&lt;0.001</w:t>
            </w:r>
          </w:p>
        </w:tc>
      </w:tr>
      <w:tr w:rsidR="000C7879" w:rsidRPr="00C81C65" w14:paraId="761CC251" w14:textId="77777777" w:rsidTr="00017013">
        <w:tc>
          <w:tcPr>
            <w:tcW w:w="4140" w:type="dxa"/>
            <w:tcMar>
              <w:top w:w="113" w:type="dxa"/>
              <w:left w:w="113" w:type="dxa"/>
              <w:bottom w:w="113" w:type="dxa"/>
              <w:right w:w="113" w:type="dxa"/>
            </w:tcMar>
            <w:hideMark/>
          </w:tcPr>
          <w:p w14:paraId="7867A8D1" w14:textId="626A683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West</w:t>
            </w:r>
          </w:p>
        </w:tc>
        <w:tc>
          <w:tcPr>
            <w:tcW w:w="1530" w:type="dxa"/>
            <w:gridSpan w:val="2"/>
            <w:tcMar>
              <w:top w:w="113" w:type="dxa"/>
              <w:left w:w="113" w:type="dxa"/>
              <w:bottom w:w="113" w:type="dxa"/>
              <w:right w:w="113" w:type="dxa"/>
            </w:tcMar>
            <w:hideMark/>
          </w:tcPr>
          <w:p w14:paraId="3BC452B6" w14:textId="4A7810C1"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0.01548</w:t>
            </w:r>
          </w:p>
        </w:tc>
        <w:tc>
          <w:tcPr>
            <w:tcW w:w="2250" w:type="dxa"/>
            <w:tcMar>
              <w:top w:w="113" w:type="dxa"/>
              <w:left w:w="113" w:type="dxa"/>
              <w:bottom w:w="113" w:type="dxa"/>
              <w:right w:w="113" w:type="dxa"/>
            </w:tcMar>
            <w:hideMark/>
          </w:tcPr>
          <w:p w14:paraId="75A5E276" w14:textId="3B79633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0.00482 – 0.02613</w:t>
            </w:r>
          </w:p>
        </w:tc>
        <w:tc>
          <w:tcPr>
            <w:tcW w:w="1129" w:type="dxa"/>
            <w:tcMar>
              <w:top w:w="113" w:type="dxa"/>
              <w:left w:w="113" w:type="dxa"/>
              <w:bottom w:w="113" w:type="dxa"/>
              <w:right w:w="113" w:type="dxa"/>
            </w:tcMar>
            <w:hideMark/>
          </w:tcPr>
          <w:p w14:paraId="77EDBA9B" w14:textId="65293B6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0.005</w:t>
            </w:r>
          </w:p>
        </w:tc>
      </w:tr>
      <w:tr w:rsidR="00C81C65" w:rsidRPr="00C81C65" w14:paraId="063B4059" w14:textId="77777777" w:rsidTr="00017013">
        <w:tc>
          <w:tcPr>
            <w:tcW w:w="4410" w:type="dxa"/>
            <w:gridSpan w:val="2"/>
            <w:tcBorders>
              <w:top w:val="single" w:sz="6" w:space="0" w:color="auto"/>
            </w:tcBorders>
            <w:tcMar>
              <w:top w:w="57" w:type="dxa"/>
              <w:left w:w="113" w:type="dxa"/>
              <w:bottom w:w="57" w:type="dxa"/>
              <w:right w:w="113" w:type="dxa"/>
            </w:tcMar>
            <w:hideMark/>
          </w:tcPr>
          <w:p w14:paraId="4857A0ED" w14:textId="77777777" w:rsidR="00C81C65" w:rsidRPr="00C81C65" w:rsidRDefault="00C81C65" w:rsidP="00C81C65">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Observations</w:t>
            </w:r>
          </w:p>
        </w:tc>
        <w:tc>
          <w:tcPr>
            <w:tcW w:w="4639" w:type="dxa"/>
            <w:gridSpan w:val="3"/>
            <w:tcBorders>
              <w:top w:val="single" w:sz="6" w:space="0" w:color="auto"/>
            </w:tcBorders>
            <w:tcMar>
              <w:top w:w="57" w:type="dxa"/>
              <w:left w:w="113" w:type="dxa"/>
              <w:bottom w:w="57" w:type="dxa"/>
              <w:right w:w="113" w:type="dxa"/>
            </w:tcMar>
            <w:vAlign w:val="center"/>
            <w:hideMark/>
          </w:tcPr>
          <w:p w14:paraId="64C5758B" w14:textId="77777777" w:rsidR="00C81C65" w:rsidRPr="00C81C65" w:rsidRDefault="00C81C65" w:rsidP="00643F3A">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274</w:t>
            </w:r>
          </w:p>
        </w:tc>
      </w:tr>
      <w:tr w:rsidR="00C81C65" w:rsidRPr="00C81C65" w14:paraId="2ADD764F" w14:textId="77777777" w:rsidTr="00017013">
        <w:tc>
          <w:tcPr>
            <w:tcW w:w="4410" w:type="dxa"/>
            <w:gridSpan w:val="2"/>
            <w:tcMar>
              <w:top w:w="57" w:type="dxa"/>
              <w:left w:w="113" w:type="dxa"/>
              <w:bottom w:w="57" w:type="dxa"/>
              <w:right w:w="113" w:type="dxa"/>
            </w:tcMar>
            <w:hideMark/>
          </w:tcPr>
          <w:p w14:paraId="2A204A8F" w14:textId="77777777" w:rsidR="00C81C65" w:rsidRPr="00C81C65" w:rsidRDefault="00C81C65" w:rsidP="00C81C65">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Nagelkerke's R</w:t>
            </w:r>
            <w:r w:rsidRPr="00C81C65">
              <w:rPr>
                <w:rFonts w:ascii="Times New Roman" w:eastAsia="Times New Roman" w:hAnsi="Times New Roman" w:cs="Times New Roman"/>
                <w:sz w:val="24"/>
                <w:szCs w:val="24"/>
                <w:vertAlign w:val="superscript"/>
                <w:lang w:eastAsia="de-DE"/>
              </w:rPr>
              <w:t>2</w:t>
            </w:r>
          </w:p>
        </w:tc>
        <w:tc>
          <w:tcPr>
            <w:tcW w:w="4639" w:type="dxa"/>
            <w:gridSpan w:val="3"/>
            <w:tcMar>
              <w:top w:w="57" w:type="dxa"/>
              <w:left w:w="113" w:type="dxa"/>
              <w:bottom w:w="57" w:type="dxa"/>
              <w:right w:w="113" w:type="dxa"/>
            </w:tcMar>
            <w:vAlign w:val="center"/>
            <w:hideMark/>
          </w:tcPr>
          <w:p w14:paraId="33D91A94" w14:textId="197B68CE" w:rsidR="00C81C65" w:rsidRPr="00C81C65" w:rsidRDefault="00C81C65" w:rsidP="00643F3A">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0.40</w:t>
            </w:r>
            <w:r w:rsidR="00D7784E">
              <w:rPr>
                <w:rFonts w:ascii="Times New Roman" w:eastAsia="Times New Roman" w:hAnsi="Times New Roman" w:cs="Times New Roman"/>
                <w:sz w:val="24"/>
                <w:szCs w:val="24"/>
                <w:lang w:eastAsia="de-DE"/>
              </w:rPr>
              <w:t>8</w:t>
            </w:r>
          </w:p>
        </w:tc>
      </w:tr>
    </w:tbl>
    <w:p w14:paraId="6D0115A2" w14:textId="77777777" w:rsidR="00C81C65" w:rsidRDefault="00C81C65" w:rsidP="005076A2">
      <w:pPr>
        <w:rPr>
          <w:rFonts w:ascii="Times New Roman" w:hAnsi="Times New Roman" w:cs="Times New Roman"/>
          <w:b/>
          <w:sz w:val="24"/>
          <w:szCs w:val="24"/>
          <w:lang w:val="en-US"/>
        </w:rPr>
      </w:pPr>
    </w:p>
    <w:p w14:paraId="17DE97C5"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5ABA7E7" w14:textId="757C0527"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6c. Arsenic.</w:t>
      </w:r>
    </w:p>
    <w:tbl>
      <w:tblPr>
        <w:tblW w:w="0" w:type="auto"/>
        <w:tblCellMar>
          <w:top w:w="15" w:type="dxa"/>
          <w:left w:w="15" w:type="dxa"/>
          <w:bottom w:w="15" w:type="dxa"/>
          <w:right w:w="15" w:type="dxa"/>
        </w:tblCellMar>
        <w:tblLook w:val="04A0" w:firstRow="1" w:lastRow="0" w:firstColumn="1" w:lastColumn="0" w:noHBand="0" w:noVBand="1"/>
      </w:tblPr>
      <w:tblGrid>
        <w:gridCol w:w="3780"/>
        <w:gridCol w:w="1260"/>
        <w:gridCol w:w="2980"/>
        <w:gridCol w:w="1029"/>
      </w:tblGrid>
      <w:tr w:rsidR="00C81C65" w:rsidRPr="003C5B74" w14:paraId="6D65CB4C" w14:textId="77777777" w:rsidTr="0070716D">
        <w:tc>
          <w:tcPr>
            <w:tcW w:w="3780" w:type="dxa"/>
            <w:tcBorders>
              <w:top w:val="double" w:sz="6" w:space="0" w:color="auto"/>
            </w:tcBorders>
            <w:tcMar>
              <w:top w:w="113" w:type="dxa"/>
              <w:left w:w="113" w:type="dxa"/>
              <w:bottom w:w="113" w:type="dxa"/>
              <w:right w:w="113" w:type="dxa"/>
            </w:tcMar>
            <w:vAlign w:val="center"/>
            <w:hideMark/>
          </w:tcPr>
          <w:p w14:paraId="0A448258" w14:textId="77777777" w:rsidR="00C81C65" w:rsidRPr="003C5B74" w:rsidRDefault="00C81C65" w:rsidP="00C81C65">
            <w:pPr>
              <w:spacing w:after="0" w:line="240" w:lineRule="auto"/>
              <w:rPr>
                <w:rFonts w:ascii="Times New Roman" w:eastAsia="Times New Roman" w:hAnsi="Times New Roman" w:cs="Times New Roman"/>
                <w:b/>
                <w:bCs/>
                <w:lang w:eastAsia="de-DE"/>
              </w:rPr>
            </w:pPr>
            <w:r w:rsidRPr="003C5B74">
              <w:rPr>
                <w:rFonts w:ascii="Times New Roman" w:eastAsia="Times New Roman" w:hAnsi="Times New Roman" w:cs="Times New Roman"/>
                <w:b/>
                <w:bCs/>
                <w:lang w:eastAsia="de-DE"/>
              </w:rPr>
              <w:t> </w:t>
            </w:r>
          </w:p>
        </w:tc>
        <w:tc>
          <w:tcPr>
            <w:tcW w:w="5269" w:type="dxa"/>
            <w:gridSpan w:val="3"/>
            <w:tcBorders>
              <w:top w:val="double" w:sz="6" w:space="0" w:color="auto"/>
            </w:tcBorders>
            <w:tcMar>
              <w:top w:w="113" w:type="dxa"/>
              <w:left w:w="113" w:type="dxa"/>
              <w:bottom w:w="113" w:type="dxa"/>
              <w:right w:w="113" w:type="dxa"/>
            </w:tcMar>
            <w:vAlign w:val="center"/>
            <w:hideMark/>
          </w:tcPr>
          <w:p w14:paraId="01492039" w14:textId="77777777" w:rsidR="00C81C65" w:rsidRPr="003C5B74" w:rsidRDefault="00C81C65" w:rsidP="00C81C65">
            <w:pPr>
              <w:spacing w:after="0" w:line="240" w:lineRule="auto"/>
              <w:jc w:val="center"/>
              <w:rPr>
                <w:rFonts w:ascii="Times New Roman" w:eastAsia="Times New Roman" w:hAnsi="Times New Roman" w:cs="Times New Roman"/>
                <w:b/>
                <w:bCs/>
                <w:lang w:eastAsia="de-DE"/>
              </w:rPr>
            </w:pPr>
            <w:r w:rsidRPr="003C5B74">
              <w:rPr>
                <w:rFonts w:ascii="Times New Roman" w:eastAsia="Times New Roman" w:hAnsi="Times New Roman" w:cs="Times New Roman"/>
                <w:b/>
                <w:bCs/>
                <w:lang w:eastAsia="de-DE"/>
              </w:rPr>
              <w:t>Arsenic</w:t>
            </w:r>
          </w:p>
        </w:tc>
      </w:tr>
      <w:tr w:rsidR="00C81C65" w:rsidRPr="003C5B74" w14:paraId="0C4BF737" w14:textId="77777777" w:rsidTr="0070716D">
        <w:tc>
          <w:tcPr>
            <w:tcW w:w="3780" w:type="dxa"/>
            <w:tcBorders>
              <w:bottom w:val="single" w:sz="6" w:space="0" w:color="auto"/>
            </w:tcBorders>
            <w:vAlign w:val="center"/>
            <w:hideMark/>
          </w:tcPr>
          <w:p w14:paraId="75352356" w14:textId="77777777" w:rsidR="00C81C65" w:rsidRPr="003C5B74" w:rsidRDefault="00C81C65" w:rsidP="00C81C65">
            <w:pPr>
              <w:spacing w:after="0" w:line="240" w:lineRule="auto"/>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29981DF"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Estimates</w:t>
            </w:r>
          </w:p>
        </w:tc>
        <w:tc>
          <w:tcPr>
            <w:tcW w:w="2980" w:type="dxa"/>
            <w:tcBorders>
              <w:bottom w:val="single" w:sz="6" w:space="0" w:color="auto"/>
            </w:tcBorders>
            <w:vAlign w:val="center"/>
            <w:hideMark/>
          </w:tcPr>
          <w:p w14:paraId="26180395"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CI</w:t>
            </w:r>
          </w:p>
        </w:tc>
        <w:tc>
          <w:tcPr>
            <w:tcW w:w="1029" w:type="dxa"/>
            <w:tcBorders>
              <w:bottom w:val="single" w:sz="6" w:space="0" w:color="auto"/>
            </w:tcBorders>
            <w:vAlign w:val="center"/>
            <w:hideMark/>
          </w:tcPr>
          <w:p w14:paraId="024E2E1E"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p</w:t>
            </w:r>
          </w:p>
        </w:tc>
      </w:tr>
      <w:tr w:rsidR="000C7879" w:rsidRPr="003C5B74" w14:paraId="496091DF" w14:textId="77777777" w:rsidTr="0070716D">
        <w:tc>
          <w:tcPr>
            <w:tcW w:w="3780" w:type="dxa"/>
            <w:tcMar>
              <w:top w:w="113" w:type="dxa"/>
              <w:left w:w="113" w:type="dxa"/>
              <w:bottom w:w="113" w:type="dxa"/>
              <w:right w:w="113" w:type="dxa"/>
            </w:tcMar>
            <w:hideMark/>
          </w:tcPr>
          <w:p w14:paraId="5957A2F1" w14:textId="3D766A0C"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1212DD99" w14:textId="64C6EEC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0.0003873</w:t>
            </w:r>
          </w:p>
        </w:tc>
        <w:tc>
          <w:tcPr>
            <w:tcW w:w="2980" w:type="dxa"/>
            <w:tcMar>
              <w:top w:w="113" w:type="dxa"/>
              <w:left w:w="113" w:type="dxa"/>
              <w:bottom w:w="113" w:type="dxa"/>
              <w:right w:w="113" w:type="dxa"/>
            </w:tcMar>
            <w:hideMark/>
          </w:tcPr>
          <w:p w14:paraId="78CBE9E8" w14:textId="0C97B6F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-0.0018105 – 0.0025851</w:t>
            </w:r>
          </w:p>
        </w:tc>
        <w:tc>
          <w:tcPr>
            <w:tcW w:w="1029" w:type="dxa"/>
            <w:tcMar>
              <w:top w:w="113" w:type="dxa"/>
              <w:left w:w="113" w:type="dxa"/>
              <w:bottom w:w="113" w:type="dxa"/>
              <w:right w:w="113" w:type="dxa"/>
            </w:tcMar>
            <w:hideMark/>
          </w:tcPr>
          <w:p w14:paraId="41D95361" w14:textId="0AF56D8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0.730</w:t>
            </w:r>
          </w:p>
        </w:tc>
      </w:tr>
      <w:tr w:rsidR="000C7879" w:rsidRPr="003C5B74" w14:paraId="0845A7CB" w14:textId="77777777" w:rsidTr="0070716D">
        <w:tc>
          <w:tcPr>
            <w:tcW w:w="3780" w:type="dxa"/>
            <w:tcMar>
              <w:top w:w="113" w:type="dxa"/>
              <w:left w:w="113" w:type="dxa"/>
              <w:bottom w:w="113" w:type="dxa"/>
              <w:right w:w="113" w:type="dxa"/>
            </w:tcMar>
            <w:hideMark/>
          </w:tcPr>
          <w:p w14:paraId="18C8E57E" w14:textId="0F213A55"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6E18BF34" w14:textId="4FFC9EA1"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0.0000735</w:t>
            </w:r>
          </w:p>
        </w:tc>
        <w:tc>
          <w:tcPr>
            <w:tcW w:w="2980" w:type="dxa"/>
            <w:tcMar>
              <w:top w:w="113" w:type="dxa"/>
              <w:left w:w="113" w:type="dxa"/>
              <w:bottom w:w="113" w:type="dxa"/>
              <w:right w:w="113" w:type="dxa"/>
            </w:tcMar>
            <w:hideMark/>
          </w:tcPr>
          <w:p w14:paraId="466C2314" w14:textId="2714EBF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0.0000156 – 0.0001314</w:t>
            </w:r>
          </w:p>
        </w:tc>
        <w:tc>
          <w:tcPr>
            <w:tcW w:w="1029" w:type="dxa"/>
            <w:tcMar>
              <w:top w:w="113" w:type="dxa"/>
              <w:left w:w="113" w:type="dxa"/>
              <w:bottom w:w="113" w:type="dxa"/>
              <w:right w:w="113" w:type="dxa"/>
            </w:tcMar>
            <w:hideMark/>
          </w:tcPr>
          <w:p w14:paraId="3D8A9367" w14:textId="047F097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0.014</w:t>
            </w:r>
          </w:p>
        </w:tc>
      </w:tr>
      <w:tr w:rsidR="000C7879" w:rsidRPr="003C5B74" w14:paraId="4D0911AE" w14:textId="77777777" w:rsidTr="0070716D">
        <w:tc>
          <w:tcPr>
            <w:tcW w:w="3780" w:type="dxa"/>
            <w:tcMar>
              <w:top w:w="113" w:type="dxa"/>
              <w:left w:w="113" w:type="dxa"/>
              <w:bottom w:w="113" w:type="dxa"/>
              <w:right w:w="113" w:type="dxa"/>
            </w:tcMar>
            <w:hideMark/>
          </w:tcPr>
          <w:p w14:paraId="7342D442" w14:textId="6BAD664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65D5ED0C" w14:textId="6CA5CC5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-0.0000393</w:t>
            </w:r>
          </w:p>
        </w:tc>
        <w:tc>
          <w:tcPr>
            <w:tcW w:w="2980" w:type="dxa"/>
            <w:tcMar>
              <w:top w:w="113" w:type="dxa"/>
              <w:left w:w="113" w:type="dxa"/>
              <w:bottom w:w="113" w:type="dxa"/>
              <w:right w:w="113" w:type="dxa"/>
            </w:tcMar>
            <w:hideMark/>
          </w:tcPr>
          <w:p w14:paraId="5AF3D5FA" w14:textId="67C1419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-0.0022590 – 0.0021804</w:t>
            </w:r>
          </w:p>
        </w:tc>
        <w:tc>
          <w:tcPr>
            <w:tcW w:w="1029" w:type="dxa"/>
            <w:tcMar>
              <w:top w:w="113" w:type="dxa"/>
              <w:left w:w="113" w:type="dxa"/>
              <w:bottom w:w="113" w:type="dxa"/>
              <w:right w:w="113" w:type="dxa"/>
            </w:tcMar>
            <w:hideMark/>
          </w:tcPr>
          <w:p w14:paraId="5764B1E2" w14:textId="7873C738"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0.972</w:t>
            </w:r>
          </w:p>
        </w:tc>
      </w:tr>
      <w:tr w:rsidR="000C7879" w:rsidRPr="003C5B74" w14:paraId="5D535C40" w14:textId="77777777" w:rsidTr="0070716D">
        <w:tc>
          <w:tcPr>
            <w:tcW w:w="3780" w:type="dxa"/>
            <w:tcMar>
              <w:top w:w="113" w:type="dxa"/>
              <w:left w:w="113" w:type="dxa"/>
              <w:bottom w:w="113" w:type="dxa"/>
              <w:right w:w="113" w:type="dxa"/>
            </w:tcMar>
            <w:hideMark/>
          </w:tcPr>
          <w:p w14:paraId="6FF80D3C" w14:textId="3D049C4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1A20AC83" w14:textId="22F931F9"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-0.0000353</w:t>
            </w:r>
          </w:p>
        </w:tc>
        <w:tc>
          <w:tcPr>
            <w:tcW w:w="2980" w:type="dxa"/>
            <w:tcMar>
              <w:top w:w="113" w:type="dxa"/>
              <w:left w:w="113" w:type="dxa"/>
              <w:bottom w:w="113" w:type="dxa"/>
              <w:right w:w="113" w:type="dxa"/>
            </w:tcMar>
            <w:hideMark/>
          </w:tcPr>
          <w:p w14:paraId="7286DEDA" w14:textId="6911F66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-0.0022259 – 0.0021554</w:t>
            </w:r>
          </w:p>
        </w:tc>
        <w:tc>
          <w:tcPr>
            <w:tcW w:w="1029" w:type="dxa"/>
            <w:tcMar>
              <w:top w:w="113" w:type="dxa"/>
              <w:left w:w="113" w:type="dxa"/>
              <w:bottom w:w="113" w:type="dxa"/>
              <w:right w:w="113" w:type="dxa"/>
            </w:tcMar>
            <w:hideMark/>
          </w:tcPr>
          <w:p w14:paraId="3B20330D" w14:textId="1F0F044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0.975</w:t>
            </w:r>
          </w:p>
        </w:tc>
      </w:tr>
      <w:tr w:rsidR="000C7879" w:rsidRPr="003C5B74" w14:paraId="1F146277" w14:textId="77777777" w:rsidTr="0070716D">
        <w:tc>
          <w:tcPr>
            <w:tcW w:w="3780" w:type="dxa"/>
            <w:tcMar>
              <w:top w:w="113" w:type="dxa"/>
              <w:left w:w="113" w:type="dxa"/>
              <w:bottom w:w="113" w:type="dxa"/>
              <w:right w:w="113" w:type="dxa"/>
            </w:tcMar>
            <w:hideMark/>
          </w:tcPr>
          <w:p w14:paraId="6206FDFB" w14:textId="23B56FAE"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14A7441" w14:textId="56D67C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0.0000621</w:t>
            </w:r>
          </w:p>
        </w:tc>
        <w:tc>
          <w:tcPr>
            <w:tcW w:w="2980" w:type="dxa"/>
            <w:tcMar>
              <w:top w:w="113" w:type="dxa"/>
              <w:left w:w="113" w:type="dxa"/>
              <w:bottom w:w="113" w:type="dxa"/>
              <w:right w:w="113" w:type="dxa"/>
            </w:tcMar>
            <w:hideMark/>
          </w:tcPr>
          <w:p w14:paraId="605AB4EF" w14:textId="2F66F68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-0.0024690 – 0.0025933</w:t>
            </w:r>
          </w:p>
        </w:tc>
        <w:tc>
          <w:tcPr>
            <w:tcW w:w="1029" w:type="dxa"/>
            <w:tcMar>
              <w:top w:w="113" w:type="dxa"/>
              <w:left w:w="113" w:type="dxa"/>
              <w:bottom w:w="113" w:type="dxa"/>
              <w:right w:w="113" w:type="dxa"/>
            </w:tcMar>
            <w:hideMark/>
          </w:tcPr>
          <w:p w14:paraId="12DC0E11" w14:textId="24D9973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0.962</w:t>
            </w:r>
          </w:p>
        </w:tc>
      </w:tr>
      <w:tr w:rsidR="000C7879" w:rsidRPr="003C5B74" w14:paraId="0CE695C4" w14:textId="77777777" w:rsidTr="0070716D">
        <w:tc>
          <w:tcPr>
            <w:tcW w:w="3780" w:type="dxa"/>
            <w:tcMar>
              <w:top w:w="113" w:type="dxa"/>
              <w:left w:w="113" w:type="dxa"/>
              <w:bottom w:w="113" w:type="dxa"/>
              <w:right w:w="113" w:type="dxa"/>
            </w:tcMar>
            <w:hideMark/>
          </w:tcPr>
          <w:p w14:paraId="6C124339" w14:textId="3DDB3994" w:rsidR="000C7879" w:rsidRPr="003C5B74" w:rsidRDefault="000C7879" w:rsidP="000C7879">
            <w:pPr>
              <w:spacing w:after="0" w:line="240" w:lineRule="auto"/>
              <w:rPr>
                <w:rFonts w:ascii="Times New Roman" w:eastAsia="Times New Roman" w:hAnsi="Times New Roman" w:cs="Times New Roman"/>
                <w:lang w:val="en-US" w:eastAsia="de-DE"/>
              </w:rPr>
            </w:pPr>
            <w:r w:rsidRPr="003C5B74">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13A9D34D" w14:textId="26684E12"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-0.0011378</w:t>
            </w:r>
          </w:p>
        </w:tc>
        <w:tc>
          <w:tcPr>
            <w:tcW w:w="2980" w:type="dxa"/>
            <w:tcMar>
              <w:top w:w="113" w:type="dxa"/>
              <w:left w:w="113" w:type="dxa"/>
              <w:bottom w:w="113" w:type="dxa"/>
              <w:right w:w="113" w:type="dxa"/>
            </w:tcMar>
            <w:hideMark/>
          </w:tcPr>
          <w:p w14:paraId="751BF288" w14:textId="18D9825D"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-0.0037212 – 0.0014456</w:t>
            </w:r>
          </w:p>
        </w:tc>
        <w:tc>
          <w:tcPr>
            <w:tcW w:w="1029" w:type="dxa"/>
            <w:tcMar>
              <w:top w:w="113" w:type="dxa"/>
              <w:left w:w="113" w:type="dxa"/>
              <w:bottom w:w="113" w:type="dxa"/>
              <w:right w:w="113" w:type="dxa"/>
            </w:tcMar>
            <w:hideMark/>
          </w:tcPr>
          <w:p w14:paraId="4C344923" w14:textId="7EA2DA6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0.389</w:t>
            </w:r>
          </w:p>
        </w:tc>
      </w:tr>
      <w:tr w:rsidR="000C7879" w:rsidRPr="003C5B74" w14:paraId="6588EB45" w14:textId="77777777" w:rsidTr="0070716D">
        <w:tc>
          <w:tcPr>
            <w:tcW w:w="3780" w:type="dxa"/>
            <w:tcMar>
              <w:top w:w="113" w:type="dxa"/>
              <w:left w:w="113" w:type="dxa"/>
              <w:bottom w:w="113" w:type="dxa"/>
              <w:right w:w="113" w:type="dxa"/>
            </w:tcMar>
            <w:hideMark/>
          </w:tcPr>
          <w:p w14:paraId="050C2FB6" w14:textId="05126B70"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3F8F12BD" w14:textId="7CCA969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0.0002264</w:t>
            </w:r>
          </w:p>
        </w:tc>
        <w:tc>
          <w:tcPr>
            <w:tcW w:w="2980" w:type="dxa"/>
            <w:tcMar>
              <w:top w:w="113" w:type="dxa"/>
              <w:left w:w="113" w:type="dxa"/>
              <w:bottom w:w="113" w:type="dxa"/>
              <w:right w:w="113" w:type="dxa"/>
            </w:tcMar>
            <w:hideMark/>
          </w:tcPr>
          <w:p w14:paraId="6ECEAA49" w14:textId="4F59D86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-0.0019922 – 0.0024450</w:t>
            </w:r>
          </w:p>
        </w:tc>
        <w:tc>
          <w:tcPr>
            <w:tcW w:w="1029" w:type="dxa"/>
            <w:tcMar>
              <w:top w:w="113" w:type="dxa"/>
              <w:left w:w="113" w:type="dxa"/>
              <w:bottom w:w="113" w:type="dxa"/>
              <w:right w:w="113" w:type="dxa"/>
            </w:tcMar>
            <w:hideMark/>
          </w:tcPr>
          <w:p w14:paraId="09679341" w14:textId="6EAF26B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0.842</w:t>
            </w:r>
          </w:p>
        </w:tc>
      </w:tr>
      <w:tr w:rsidR="000C7879" w:rsidRPr="003C5B74" w14:paraId="78A1CE58" w14:textId="77777777" w:rsidTr="0070716D">
        <w:tc>
          <w:tcPr>
            <w:tcW w:w="3780" w:type="dxa"/>
            <w:tcMar>
              <w:top w:w="113" w:type="dxa"/>
              <w:left w:w="113" w:type="dxa"/>
              <w:bottom w:w="113" w:type="dxa"/>
              <w:right w:w="113" w:type="dxa"/>
            </w:tcMar>
            <w:hideMark/>
          </w:tcPr>
          <w:p w14:paraId="50B69AEB" w14:textId="2D4363C7" w:rsidR="000C7879" w:rsidRPr="003C5B74" w:rsidRDefault="000C7879" w:rsidP="000C7879">
            <w:pPr>
              <w:spacing w:after="0" w:line="240" w:lineRule="auto"/>
              <w:rPr>
                <w:rFonts w:ascii="Times New Roman" w:eastAsia="Times New Roman" w:hAnsi="Times New Roman" w:cs="Times New Roman"/>
                <w:lang w:val="en-US" w:eastAsia="de-DE"/>
              </w:rPr>
            </w:pPr>
            <w:r w:rsidRPr="003C5B74">
              <w:rPr>
                <w:rFonts w:ascii="Times New Roman" w:eastAsia="Times New Roman" w:hAnsi="Times New Roman" w:cs="Times New Roman"/>
                <w:lang w:val="en-US" w:eastAsia="de-DE"/>
              </w:rPr>
              <w:t>Education less than high school (%)</w:t>
            </w:r>
            <w:r w:rsidRPr="003C5B74">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086215F2" w14:textId="36FC10C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0.0000000</w:t>
            </w:r>
          </w:p>
        </w:tc>
        <w:tc>
          <w:tcPr>
            <w:tcW w:w="2980" w:type="dxa"/>
            <w:tcMar>
              <w:top w:w="113" w:type="dxa"/>
              <w:left w:w="113" w:type="dxa"/>
              <w:bottom w:w="113" w:type="dxa"/>
              <w:right w:w="113" w:type="dxa"/>
            </w:tcMar>
            <w:hideMark/>
          </w:tcPr>
          <w:p w14:paraId="35F09FF5" w14:textId="7FC2395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 – 0.0000002</w:t>
            </w:r>
          </w:p>
        </w:tc>
        <w:tc>
          <w:tcPr>
            <w:tcW w:w="1029" w:type="dxa"/>
            <w:tcMar>
              <w:top w:w="113" w:type="dxa"/>
              <w:left w:w="113" w:type="dxa"/>
              <w:bottom w:w="113" w:type="dxa"/>
              <w:right w:w="113" w:type="dxa"/>
            </w:tcMar>
            <w:hideMark/>
          </w:tcPr>
          <w:p w14:paraId="6B3558F0" w14:textId="765D90D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0.746</w:t>
            </w:r>
          </w:p>
        </w:tc>
      </w:tr>
      <w:tr w:rsidR="000C7879" w:rsidRPr="003C5B74" w14:paraId="57B72BAC" w14:textId="77777777" w:rsidTr="0070716D">
        <w:tc>
          <w:tcPr>
            <w:tcW w:w="3780" w:type="dxa"/>
            <w:tcMar>
              <w:top w:w="113" w:type="dxa"/>
              <w:left w:w="113" w:type="dxa"/>
              <w:bottom w:w="113" w:type="dxa"/>
              <w:right w:w="113" w:type="dxa"/>
            </w:tcMar>
            <w:hideMark/>
          </w:tcPr>
          <w:p w14:paraId="7275FA2E" w14:textId="6833EE7C"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330BAC6D" w14:textId="3385391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0.0000966</w:t>
            </w:r>
          </w:p>
        </w:tc>
        <w:tc>
          <w:tcPr>
            <w:tcW w:w="2980" w:type="dxa"/>
            <w:tcMar>
              <w:top w:w="113" w:type="dxa"/>
              <w:left w:w="113" w:type="dxa"/>
              <w:bottom w:w="113" w:type="dxa"/>
              <w:right w:w="113" w:type="dxa"/>
            </w:tcMar>
            <w:hideMark/>
          </w:tcPr>
          <w:p w14:paraId="61E292DC" w14:textId="57E76C5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-0.0003638 – 0.0005570</w:t>
            </w:r>
          </w:p>
        </w:tc>
        <w:tc>
          <w:tcPr>
            <w:tcW w:w="1029" w:type="dxa"/>
            <w:tcMar>
              <w:top w:w="113" w:type="dxa"/>
              <w:left w:w="113" w:type="dxa"/>
              <w:bottom w:w="113" w:type="dxa"/>
              <w:right w:w="113" w:type="dxa"/>
            </w:tcMar>
            <w:hideMark/>
          </w:tcPr>
          <w:p w14:paraId="4C28E3C7" w14:textId="35BCD0C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0.681</w:t>
            </w:r>
          </w:p>
        </w:tc>
      </w:tr>
      <w:tr w:rsidR="000C7879" w:rsidRPr="003C5B74" w14:paraId="505A3ED1" w14:textId="77777777" w:rsidTr="0070716D">
        <w:tc>
          <w:tcPr>
            <w:tcW w:w="3780" w:type="dxa"/>
            <w:tcMar>
              <w:top w:w="113" w:type="dxa"/>
              <w:left w:w="113" w:type="dxa"/>
              <w:bottom w:w="113" w:type="dxa"/>
              <w:right w:w="113" w:type="dxa"/>
            </w:tcMar>
            <w:hideMark/>
          </w:tcPr>
          <w:p w14:paraId="29135248" w14:textId="09772817"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6548641A" w14:textId="0C0827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0.0022054</w:t>
            </w:r>
          </w:p>
        </w:tc>
        <w:tc>
          <w:tcPr>
            <w:tcW w:w="2980" w:type="dxa"/>
            <w:tcMar>
              <w:top w:w="113" w:type="dxa"/>
              <w:left w:w="113" w:type="dxa"/>
              <w:bottom w:w="113" w:type="dxa"/>
              <w:right w:w="113" w:type="dxa"/>
            </w:tcMar>
            <w:hideMark/>
          </w:tcPr>
          <w:p w14:paraId="25353262" w14:textId="2D0545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0.0005997 – 0.0038110</w:t>
            </w:r>
          </w:p>
        </w:tc>
        <w:tc>
          <w:tcPr>
            <w:tcW w:w="1029" w:type="dxa"/>
            <w:tcMar>
              <w:top w:w="113" w:type="dxa"/>
              <w:left w:w="113" w:type="dxa"/>
              <w:bottom w:w="113" w:type="dxa"/>
              <w:right w:w="113" w:type="dxa"/>
            </w:tcMar>
            <w:hideMark/>
          </w:tcPr>
          <w:p w14:paraId="04DA9386" w14:textId="544C9AD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0.008</w:t>
            </w:r>
          </w:p>
        </w:tc>
      </w:tr>
      <w:tr w:rsidR="000C7879" w:rsidRPr="003C5B74" w14:paraId="4C2A7C5A" w14:textId="77777777" w:rsidTr="0070716D">
        <w:tc>
          <w:tcPr>
            <w:tcW w:w="3780" w:type="dxa"/>
            <w:tcMar>
              <w:top w:w="113" w:type="dxa"/>
              <w:left w:w="113" w:type="dxa"/>
              <w:bottom w:w="113" w:type="dxa"/>
              <w:right w:w="113" w:type="dxa"/>
            </w:tcMar>
            <w:hideMark/>
          </w:tcPr>
          <w:p w14:paraId="3128A82D" w14:textId="1E604752"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7FC88E6D" w14:textId="27EB2DD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w:t>
            </w:r>
          </w:p>
        </w:tc>
        <w:tc>
          <w:tcPr>
            <w:tcW w:w="2980" w:type="dxa"/>
            <w:tcMar>
              <w:top w:w="113" w:type="dxa"/>
              <w:left w:w="113" w:type="dxa"/>
              <w:bottom w:w="113" w:type="dxa"/>
              <w:right w:w="113" w:type="dxa"/>
            </w:tcMar>
            <w:hideMark/>
          </w:tcPr>
          <w:p w14:paraId="4C0CE1C2" w14:textId="5970FEE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-0.0000002 – 0.0000000</w:t>
            </w:r>
          </w:p>
        </w:tc>
        <w:tc>
          <w:tcPr>
            <w:tcW w:w="1029" w:type="dxa"/>
            <w:tcMar>
              <w:top w:w="113" w:type="dxa"/>
              <w:left w:w="113" w:type="dxa"/>
              <w:bottom w:w="113" w:type="dxa"/>
              <w:right w:w="113" w:type="dxa"/>
            </w:tcMar>
            <w:hideMark/>
          </w:tcPr>
          <w:p w14:paraId="253DBA8D" w14:textId="42A26312"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0.136</w:t>
            </w:r>
          </w:p>
        </w:tc>
      </w:tr>
      <w:tr w:rsidR="000C7879" w:rsidRPr="003C5B74" w14:paraId="002404AF" w14:textId="77777777" w:rsidTr="0070716D">
        <w:tc>
          <w:tcPr>
            <w:tcW w:w="3780" w:type="dxa"/>
            <w:tcMar>
              <w:top w:w="113" w:type="dxa"/>
              <w:left w:w="113" w:type="dxa"/>
              <w:bottom w:w="113" w:type="dxa"/>
              <w:right w:w="113" w:type="dxa"/>
            </w:tcMar>
            <w:hideMark/>
          </w:tcPr>
          <w:p w14:paraId="14F16D54" w14:textId="2B04853E"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0CFBE0D2" w14:textId="4D908F6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w:t>
            </w:r>
          </w:p>
        </w:tc>
        <w:tc>
          <w:tcPr>
            <w:tcW w:w="2980" w:type="dxa"/>
            <w:tcMar>
              <w:top w:w="113" w:type="dxa"/>
              <w:left w:w="113" w:type="dxa"/>
              <w:bottom w:w="113" w:type="dxa"/>
              <w:right w:w="113" w:type="dxa"/>
            </w:tcMar>
            <w:hideMark/>
          </w:tcPr>
          <w:p w14:paraId="35EC9FB2" w14:textId="6F8A264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-0.0000003 – 0.0000001</w:t>
            </w:r>
          </w:p>
        </w:tc>
        <w:tc>
          <w:tcPr>
            <w:tcW w:w="1029" w:type="dxa"/>
            <w:tcMar>
              <w:top w:w="113" w:type="dxa"/>
              <w:left w:w="113" w:type="dxa"/>
              <w:bottom w:w="113" w:type="dxa"/>
              <w:right w:w="113" w:type="dxa"/>
            </w:tcMar>
            <w:hideMark/>
          </w:tcPr>
          <w:p w14:paraId="51B74D79" w14:textId="46FE3B3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0.412</w:t>
            </w:r>
          </w:p>
        </w:tc>
      </w:tr>
      <w:tr w:rsidR="000C7879" w:rsidRPr="003C5B74" w14:paraId="2BA3D328" w14:textId="77777777" w:rsidTr="0070716D">
        <w:tc>
          <w:tcPr>
            <w:tcW w:w="3780" w:type="dxa"/>
            <w:tcMar>
              <w:top w:w="113" w:type="dxa"/>
              <w:left w:w="113" w:type="dxa"/>
              <w:bottom w:w="113" w:type="dxa"/>
              <w:right w:w="113" w:type="dxa"/>
            </w:tcMar>
            <w:hideMark/>
          </w:tcPr>
          <w:p w14:paraId="00D46C5E" w14:textId="0681C372"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704E0DDD" w14:textId="03014AC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-0.0000314</w:t>
            </w:r>
          </w:p>
        </w:tc>
        <w:tc>
          <w:tcPr>
            <w:tcW w:w="2980" w:type="dxa"/>
            <w:tcMar>
              <w:top w:w="113" w:type="dxa"/>
              <w:left w:w="113" w:type="dxa"/>
              <w:bottom w:w="113" w:type="dxa"/>
              <w:right w:w="113" w:type="dxa"/>
            </w:tcMar>
            <w:hideMark/>
          </w:tcPr>
          <w:p w14:paraId="7D76DCF1" w14:textId="616CCE04"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-0.0001960 – 0.0001331</w:t>
            </w:r>
          </w:p>
        </w:tc>
        <w:tc>
          <w:tcPr>
            <w:tcW w:w="1029" w:type="dxa"/>
            <w:tcMar>
              <w:top w:w="113" w:type="dxa"/>
              <w:left w:w="113" w:type="dxa"/>
              <w:bottom w:w="113" w:type="dxa"/>
              <w:right w:w="113" w:type="dxa"/>
            </w:tcMar>
            <w:hideMark/>
          </w:tcPr>
          <w:p w14:paraId="54070050" w14:textId="7456BF7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0.708</w:t>
            </w:r>
          </w:p>
        </w:tc>
      </w:tr>
      <w:tr w:rsidR="000C7879" w:rsidRPr="003C5B74" w14:paraId="29E47B9D" w14:textId="77777777" w:rsidTr="0070716D">
        <w:tc>
          <w:tcPr>
            <w:tcW w:w="3780" w:type="dxa"/>
            <w:tcMar>
              <w:top w:w="113" w:type="dxa"/>
              <w:left w:w="113" w:type="dxa"/>
              <w:bottom w:w="113" w:type="dxa"/>
              <w:right w:w="113" w:type="dxa"/>
            </w:tcMar>
            <w:hideMark/>
          </w:tcPr>
          <w:p w14:paraId="46E8740E" w14:textId="2A4C5236"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5EB924B6" w14:textId="0423C22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-0.0001954</w:t>
            </w:r>
          </w:p>
        </w:tc>
        <w:tc>
          <w:tcPr>
            <w:tcW w:w="2980" w:type="dxa"/>
            <w:tcMar>
              <w:top w:w="113" w:type="dxa"/>
              <w:left w:w="113" w:type="dxa"/>
              <w:bottom w:w="113" w:type="dxa"/>
              <w:right w:w="113" w:type="dxa"/>
            </w:tcMar>
            <w:hideMark/>
          </w:tcPr>
          <w:p w14:paraId="7FC23BF8" w14:textId="3FD8988C"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-0.0003437 – -0.0000471</w:t>
            </w:r>
          </w:p>
        </w:tc>
        <w:tc>
          <w:tcPr>
            <w:tcW w:w="1029" w:type="dxa"/>
            <w:tcMar>
              <w:top w:w="113" w:type="dxa"/>
              <w:left w:w="113" w:type="dxa"/>
              <w:bottom w:w="113" w:type="dxa"/>
              <w:right w:w="113" w:type="dxa"/>
            </w:tcMar>
            <w:hideMark/>
          </w:tcPr>
          <w:p w14:paraId="5983A1D6" w14:textId="6CACC6A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0.010</w:t>
            </w:r>
          </w:p>
        </w:tc>
      </w:tr>
      <w:tr w:rsidR="000C7879" w:rsidRPr="003C5B74" w14:paraId="225A952F" w14:textId="77777777" w:rsidTr="0070716D">
        <w:tc>
          <w:tcPr>
            <w:tcW w:w="3780" w:type="dxa"/>
            <w:tcMar>
              <w:top w:w="113" w:type="dxa"/>
              <w:left w:w="113" w:type="dxa"/>
              <w:bottom w:w="113" w:type="dxa"/>
              <w:right w:w="113" w:type="dxa"/>
            </w:tcMar>
            <w:hideMark/>
          </w:tcPr>
          <w:p w14:paraId="3D670CF4" w14:textId="0E5D02A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3568BB17" w14:textId="2CD0E9D8"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-0.0003254</w:t>
            </w:r>
          </w:p>
        </w:tc>
        <w:tc>
          <w:tcPr>
            <w:tcW w:w="2980" w:type="dxa"/>
            <w:tcMar>
              <w:top w:w="113" w:type="dxa"/>
              <w:left w:w="113" w:type="dxa"/>
              <w:bottom w:w="113" w:type="dxa"/>
              <w:right w:w="113" w:type="dxa"/>
            </w:tcMar>
            <w:hideMark/>
          </w:tcPr>
          <w:p w14:paraId="0DDE4204" w14:textId="74188EE9"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-0.0004872 – -0.0001636</w:t>
            </w:r>
          </w:p>
        </w:tc>
        <w:tc>
          <w:tcPr>
            <w:tcW w:w="1029" w:type="dxa"/>
            <w:tcMar>
              <w:top w:w="113" w:type="dxa"/>
              <w:left w:w="113" w:type="dxa"/>
              <w:bottom w:w="113" w:type="dxa"/>
              <w:right w:w="113" w:type="dxa"/>
            </w:tcMar>
            <w:hideMark/>
          </w:tcPr>
          <w:p w14:paraId="22975312" w14:textId="522139F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&lt;0.001</w:t>
            </w:r>
          </w:p>
        </w:tc>
      </w:tr>
      <w:tr w:rsidR="00C81C65" w:rsidRPr="003C5B74" w14:paraId="11E742C8" w14:textId="77777777" w:rsidTr="0070716D">
        <w:tc>
          <w:tcPr>
            <w:tcW w:w="3780" w:type="dxa"/>
            <w:tcBorders>
              <w:top w:val="single" w:sz="6" w:space="0" w:color="auto"/>
            </w:tcBorders>
            <w:tcMar>
              <w:top w:w="57" w:type="dxa"/>
              <w:left w:w="113" w:type="dxa"/>
              <w:bottom w:w="57" w:type="dxa"/>
              <w:right w:w="113" w:type="dxa"/>
            </w:tcMar>
            <w:hideMark/>
          </w:tcPr>
          <w:p w14:paraId="0819F608"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Observations</w:t>
            </w:r>
          </w:p>
        </w:tc>
        <w:tc>
          <w:tcPr>
            <w:tcW w:w="5269" w:type="dxa"/>
            <w:gridSpan w:val="3"/>
            <w:tcBorders>
              <w:top w:val="single" w:sz="6" w:space="0" w:color="auto"/>
            </w:tcBorders>
            <w:tcMar>
              <w:top w:w="57" w:type="dxa"/>
              <w:left w:w="113" w:type="dxa"/>
              <w:bottom w:w="57" w:type="dxa"/>
              <w:right w:w="113" w:type="dxa"/>
            </w:tcMar>
            <w:hideMark/>
          </w:tcPr>
          <w:p w14:paraId="67004F18"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274</w:t>
            </w:r>
          </w:p>
        </w:tc>
      </w:tr>
      <w:tr w:rsidR="00C81C65" w:rsidRPr="003C5B74" w14:paraId="7427DE8B" w14:textId="77777777" w:rsidTr="0070716D">
        <w:tc>
          <w:tcPr>
            <w:tcW w:w="3780" w:type="dxa"/>
            <w:tcMar>
              <w:top w:w="57" w:type="dxa"/>
              <w:left w:w="113" w:type="dxa"/>
              <w:bottom w:w="57" w:type="dxa"/>
              <w:right w:w="113" w:type="dxa"/>
            </w:tcMar>
            <w:hideMark/>
          </w:tcPr>
          <w:p w14:paraId="6FF9BE2E"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Nagelkerke's R</w:t>
            </w:r>
            <w:r w:rsidRPr="003C5B74">
              <w:rPr>
                <w:rFonts w:ascii="Times New Roman" w:eastAsia="Times New Roman" w:hAnsi="Times New Roman" w:cs="Times New Roman"/>
                <w:vertAlign w:val="superscript"/>
                <w:lang w:eastAsia="de-DE"/>
              </w:rPr>
              <w:t>2</w:t>
            </w:r>
          </w:p>
        </w:tc>
        <w:tc>
          <w:tcPr>
            <w:tcW w:w="5269" w:type="dxa"/>
            <w:gridSpan w:val="3"/>
            <w:tcMar>
              <w:top w:w="57" w:type="dxa"/>
              <w:left w:w="113" w:type="dxa"/>
              <w:bottom w:w="57" w:type="dxa"/>
              <w:right w:w="113" w:type="dxa"/>
            </w:tcMar>
            <w:hideMark/>
          </w:tcPr>
          <w:p w14:paraId="5B01EE82"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0.258</w:t>
            </w:r>
          </w:p>
        </w:tc>
      </w:tr>
    </w:tbl>
    <w:p w14:paraId="31DEADF1" w14:textId="77777777" w:rsidR="00C81C65" w:rsidRDefault="00C81C65" w:rsidP="005076A2">
      <w:pPr>
        <w:rPr>
          <w:rFonts w:ascii="Times New Roman" w:hAnsi="Times New Roman" w:cs="Times New Roman"/>
          <w:b/>
          <w:sz w:val="24"/>
          <w:szCs w:val="24"/>
          <w:lang w:val="en-US"/>
        </w:rPr>
      </w:pPr>
    </w:p>
    <w:p w14:paraId="403115F2" w14:textId="77777777" w:rsidR="00C81C65" w:rsidRDefault="00C81C65" w:rsidP="005076A2">
      <w:pPr>
        <w:rPr>
          <w:rFonts w:ascii="Times New Roman" w:hAnsi="Times New Roman" w:cs="Times New Roman"/>
          <w:b/>
          <w:sz w:val="24"/>
          <w:szCs w:val="24"/>
          <w:lang w:val="en-US"/>
        </w:rPr>
      </w:pPr>
    </w:p>
    <w:p w14:paraId="120C7E4D"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C09D301" w14:textId="045603D4"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6d. Bromine.</w:t>
      </w:r>
    </w:p>
    <w:tbl>
      <w:tblPr>
        <w:tblW w:w="0" w:type="auto"/>
        <w:tblCellMar>
          <w:top w:w="15" w:type="dxa"/>
          <w:left w:w="15" w:type="dxa"/>
          <w:bottom w:w="15" w:type="dxa"/>
          <w:right w:w="15" w:type="dxa"/>
        </w:tblCellMar>
        <w:tblLook w:val="04A0" w:firstRow="1" w:lastRow="0" w:firstColumn="1" w:lastColumn="0" w:noHBand="0" w:noVBand="1"/>
      </w:tblPr>
      <w:tblGrid>
        <w:gridCol w:w="3870"/>
        <w:gridCol w:w="1289"/>
        <w:gridCol w:w="2858"/>
        <w:gridCol w:w="1032"/>
      </w:tblGrid>
      <w:tr w:rsidR="00C81C65" w:rsidRPr="000C7879" w14:paraId="78008758" w14:textId="77777777" w:rsidTr="00D7784E">
        <w:tc>
          <w:tcPr>
            <w:tcW w:w="3870" w:type="dxa"/>
            <w:tcBorders>
              <w:top w:val="double" w:sz="6" w:space="0" w:color="auto"/>
            </w:tcBorders>
            <w:tcMar>
              <w:top w:w="113" w:type="dxa"/>
              <w:left w:w="113" w:type="dxa"/>
              <w:bottom w:w="113" w:type="dxa"/>
              <w:right w:w="113" w:type="dxa"/>
            </w:tcMar>
            <w:vAlign w:val="center"/>
            <w:hideMark/>
          </w:tcPr>
          <w:p w14:paraId="4FC1EEBE" w14:textId="77777777" w:rsidR="00C81C65" w:rsidRPr="000C7879" w:rsidRDefault="00C81C65" w:rsidP="00C81C65">
            <w:pPr>
              <w:spacing w:after="0" w:line="240" w:lineRule="auto"/>
              <w:rPr>
                <w:rFonts w:ascii="Times New Roman" w:eastAsia="Times New Roman" w:hAnsi="Times New Roman" w:cs="Times New Roman"/>
                <w:b/>
                <w:bCs/>
                <w:lang w:eastAsia="de-DE"/>
              </w:rPr>
            </w:pPr>
            <w:r w:rsidRPr="000C7879">
              <w:rPr>
                <w:rFonts w:ascii="Times New Roman" w:eastAsia="Times New Roman" w:hAnsi="Times New Roman" w:cs="Times New Roman"/>
                <w:b/>
                <w:bCs/>
                <w:lang w:eastAsia="de-DE"/>
              </w:rPr>
              <w:t> </w:t>
            </w:r>
          </w:p>
        </w:tc>
        <w:tc>
          <w:tcPr>
            <w:tcW w:w="5179" w:type="dxa"/>
            <w:gridSpan w:val="3"/>
            <w:tcBorders>
              <w:top w:val="double" w:sz="6" w:space="0" w:color="auto"/>
            </w:tcBorders>
            <w:tcMar>
              <w:top w:w="113" w:type="dxa"/>
              <w:left w:w="113" w:type="dxa"/>
              <w:bottom w:w="113" w:type="dxa"/>
              <w:right w:w="113" w:type="dxa"/>
            </w:tcMar>
            <w:vAlign w:val="center"/>
            <w:hideMark/>
          </w:tcPr>
          <w:p w14:paraId="5DF0BFF2" w14:textId="5CF730EA" w:rsidR="00C81C65" w:rsidRPr="000C7879" w:rsidRDefault="00643F3A" w:rsidP="00C81C65">
            <w:pPr>
              <w:spacing w:after="0" w:line="240" w:lineRule="auto"/>
              <w:jc w:val="center"/>
              <w:rPr>
                <w:rFonts w:ascii="Times New Roman" w:eastAsia="Times New Roman" w:hAnsi="Times New Roman" w:cs="Times New Roman"/>
                <w:b/>
                <w:bCs/>
                <w:lang w:eastAsia="de-DE"/>
              </w:rPr>
            </w:pPr>
            <w:r w:rsidRPr="000C7879">
              <w:rPr>
                <w:rFonts w:ascii="Times New Roman" w:eastAsia="Times New Roman" w:hAnsi="Times New Roman" w:cs="Times New Roman"/>
                <w:b/>
                <w:bCs/>
                <w:lang w:eastAsia="de-DE"/>
              </w:rPr>
              <w:t>Bromine</w:t>
            </w:r>
          </w:p>
        </w:tc>
      </w:tr>
      <w:tr w:rsidR="00C81C65" w:rsidRPr="000C7879" w14:paraId="424E83DA" w14:textId="77777777" w:rsidTr="00D7784E">
        <w:tc>
          <w:tcPr>
            <w:tcW w:w="3870" w:type="dxa"/>
            <w:tcBorders>
              <w:bottom w:val="single" w:sz="6" w:space="0" w:color="auto"/>
            </w:tcBorders>
            <w:vAlign w:val="center"/>
            <w:hideMark/>
          </w:tcPr>
          <w:p w14:paraId="47553268" w14:textId="77777777" w:rsidR="00C81C65" w:rsidRPr="000C7879" w:rsidRDefault="00C81C65" w:rsidP="00C81C65">
            <w:pPr>
              <w:spacing w:after="0" w:line="240" w:lineRule="auto"/>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Predictors</w:t>
            </w:r>
          </w:p>
        </w:tc>
        <w:tc>
          <w:tcPr>
            <w:tcW w:w="1289" w:type="dxa"/>
            <w:tcBorders>
              <w:bottom w:val="single" w:sz="6" w:space="0" w:color="auto"/>
            </w:tcBorders>
            <w:vAlign w:val="center"/>
            <w:hideMark/>
          </w:tcPr>
          <w:p w14:paraId="2A7B87F0"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Estimates</w:t>
            </w:r>
          </w:p>
        </w:tc>
        <w:tc>
          <w:tcPr>
            <w:tcW w:w="2858" w:type="dxa"/>
            <w:tcBorders>
              <w:bottom w:val="single" w:sz="6" w:space="0" w:color="auto"/>
            </w:tcBorders>
            <w:vAlign w:val="center"/>
            <w:hideMark/>
          </w:tcPr>
          <w:p w14:paraId="601AD8F4"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CI</w:t>
            </w:r>
          </w:p>
        </w:tc>
        <w:tc>
          <w:tcPr>
            <w:tcW w:w="1032" w:type="dxa"/>
            <w:tcBorders>
              <w:bottom w:val="single" w:sz="6" w:space="0" w:color="auto"/>
            </w:tcBorders>
            <w:vAlign w:val="center"/>
            <w:hideMark/>
          </w:tcPr>
          <w:p w14:paraId="0101EF85"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p</w:t>
            </w:r>
          </w:p>
        </w:tc>
      </w:tr>
      <w:tr w:rsidR="00D7784E" w:rsidRPr="000C7879" w14:paraId="1BA3AB9F" w14:textId="77777777" w:rsidTr="00D7784E">
        <w:tc>
          <w:tcPr>
            <w:tcW w:w="3870" w:type="dxa"/>
            <w:tcMar>
              <w:top w:w="113" w:type="dxa"/>
              <w:left w:w="113" w:type="dxa"/>
              <w:bottom w:w="113" w:type="dxa"/>
              <w:right w:w="113" w:type="dxa"/>
            </w:tcMar>
            <w:hideMark/>
          </w:tcPr>
          <w:p w14:paraId="5925276C" w14:textId="5D1B62AB"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Intercept (Midwest)</w:t>
            </w:r>
          </w:p>
        </w:tc>
        <w:tc>
          <w:tcPr>
            <w:tcW w:w="1289" w:type="dxa"/>
            <w:tcMar>
              <w:top w:w="113" w:type="dxa"/>
              <w:left w:w="113" w:type="dxa"/>
              <w:bottom w:w="113" w:type="dxa"/>
              <w:right w:w="113" w:type="dxa"/>
            </w:tcMar>
            <w:hideMark/>
          </w:tcPr>
          <w:p w14:paraId="01664EC1" w14:textId="4A592BE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-0.003702</w:t>
            </w:r>
          </w:p>
        </w:tc>
        <w:tc>
          <w:tcPr>
            <w:tcW w:w="2858" w:type="dxa"/>
            <w:tcMar>
              <w:top w:w="113" w:type="dxa"/>
              <w:left w:w="113" w:type="dxa"/>
              <w:bottom w:w="113" w:type="dxa"/>
              <w:right w:w="113" w:type="dxa"/>
            </w:tcMar>
            <w:hideMark/>
          </w:tcPr>
          <w:p w14:paraId="4CE7E089" w14:textId="6720A14E"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-0.010309 – 0.002906</w:t>
            </w:r>
          </w:p>
        </w:tc>
        <w:tc>
          <w:tcPr>
            <w:tcW w:w="1032" w:type="dxa"/>
            <w:tcMar>
              <w:top w:w="113" w:type="dxa"/>
              <w:left w:w="113" w:type="dxa"/>
              <w:bottom w:w="113" w:type="dxa"/>
              <w:right w:w="113" w:type="dxa"/>
            </w:tcMar>
            <w:hideMark/>
          </w:tcPr>
          <w:p w14:paraId="769DB7DE" w14:textId="49AF701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0.273</w:t>
            </w:r>
          </w:p>
        </w:tc>
      </w:tr>
      <w:tr w:rsidR="00D7784E" w:rsidRPr="000C7879" w14:paraId="1FCAF075" w14:textId="77777777" w:rsidTr="00D7784E">
        <w:tc>
          <w:tcPr>
            <w:tcW w:w="3870" w:type="dxa"/>
            <w:tcMar>
              <w:top w:w="113" w:type="dxa"/>
              <w:left w:w="113" w:type="dxa"/>
              <w:bottom w:w="113" w:type="dxa"/>
              <w:right w:w="113" w:type="dxa"/>
            </w:tcMar>
            <w:hideMark/>
          </w:tcPr>
          <w:p w14:paraId="70FBC2DB" w14:textId="6A1720C3"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Racial isolation quintile</w:t>
            </w:r>
          </w:p>
        </w:tc>
        <w:tc>
          <w:tcPr>
            <w:tcW w:w="1289" w:type="dxa"/>
            <w:tcMar>
              <w:top w:w="113" w:type="dxa"/>
              <w:left w:w="113" w:type="dxa"/>
              <w:bottom w:w="113" w:type="dxa"/>
              <w:right w:w="113" w:type="dxa"/>
            </w:tcMar>
            <w:hideMark/>
          </w:tcPr>
          <w:p w14:paraId="056F526F" w14:textId="42148AC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0.000085</w:t>
            </w:r>
          </w:p>
        </w:tc>
        <w:tc>
          <w:tcPr>
            <w:tcW w:w="2858" w:type="dxa"/>
            <w:tcMar>
              <w:top w:w="113" w:type="dxa"/>
              <w:left w:w="113" w:type="dxa"/>
              <w:bottom w:w="113" w:type="dxa"/>
              <w:right w:w="113" w:type="dxa"/>
            </w:tcMar>
            <w:hideMark/>
          </w:tcPr>
          <w:p w14:paraId="1ABA1E01" w14:textId="6EC16A9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-0.000089 – 0.000260</w:t>
            </w:r>
          </w:p>
        </w:tc>
        <w:tc>
          <w:tcPr>
            <w:tcW w:w="1032" w:type="dxa"/>
            <w:tcMar>
              <w:top w:w="113" w:type="dxa"/>
              <w:left w:w="113" w:type="dxa"/>
              <w:bottom w:w="113" w:type="dxa"/>
              <w:right w:w="113" w:type="dxa"/>
            </w:tcMar>
            <w:hideMark/>
          </w:tcPr>
          <w:p w14:paraId="711DD03F" w14:textId="25C8E9A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0.338</w:t>
            </w:r>
          </w:p>
        </w:tc>
      </w:tr>
      <w:tr w:rsidR="00D7784E" w:rsidRPr="000C7879" w14:paraId="33ADAD70" w14:textId="77777777" w:rsidTr="00D7784E">
        <w:tc>
          <w:tcPr>
            <w:tcW w:w="3870" w:type="dxa"/>
            <w:tcMar>
              <w:top w:w="113" w:type="dxa"/>
              <w:left w:w="113" w:type="dxa"/>
              <w:bottom w:w="113" w:type="dxa"/>
              <w:right w:w="113" w:type="dxa"/>
            </w:tcMar>
            <w:hideMark/>
          </w:tcPr>
          <w:p w14:paraId="47777DD0" w14:textId="0C602558"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Black or African American (%)</w:t>
            </w:r>
          </w:p>
        </w:tc>
        <w:tc>
          <w:tcPr>
            <w:tcW w:w="1289" w:type="dxa"/>
            <w:tcMar>
              <w:top w:w="113" w:type="dxa"/>
              <w:left w:w="113" w:type="dxa"/>
              <w:bottom w:w="113" w:type="dxa"/>
              <w:right w:w="113" w:type="dxa"/>
            </w:tcMar>
            <w:hideMark/>
          </w:tcPr>
          <w:p w14:paraId="4E226F13" w14:textId="5E5C256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0.007053</w:t>
            </w:r>
          </w:p>
        </w:tc>
        <w:tc>
          <w:tcPr>
            <w:tcW w:w="2858" w:type="dxa"/>
            <w:tcMar>
              <w:top w:w="113" w:type="dxa"/>
              <w:left w:w="113" w:type="dxa"/>
              <w:bottom w:w="113" w:type="dxa"/>
              <w:right w:w="113" w:type="dxa"/>
            </w:tcMar>
            <w:hideMark/>
          </w:tcPr>
          <w:p w14:paraId="1A0C15EE" w14:textId="3831B08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0.000382 – 0.013724</w:t>
            </w:r>
          </w:p>
        </w:tc>
        <w:tc>
          <w:tcPr>
            <w:tcW w:w="1032" w:type="dxa"/>
            <w:tcMar>
              <w:top w:w="113" w:type="dxa"/>
              <w:left w:w="113" w:type="dxa"/>
              <w:bottom w:w="113" w:type="dxa"/>
              <w:right w:w="113" w:type="dxa"/>
            </w:tcMar>
            <w:hideMark/>
          </w:tcPr>
          <w:p w14:paraId="5CB1FFC2" w14:textId="284A928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0.039</w:t>
            </w:r>
          </w:p>
        </w:tc>
      </w:tr>
      <w:tr w:rsidR="00D7784E" w:rsidRPr="000C7879" w14:paraId="54EC2F62" w14:textId="77777777" w:rsidTr="00D7784E">
        <w:tc>
          <w:tcPr>
            <w:tcW w:w="3870" w:type="dxa"/>
            <w:tcMar>
              <w:top w:w="113" w:type="dxa"/>
              <w:left w:w="113" w:type="dxa"/>
              <w:bottom w:w="113" w:type="dxa"/>
              <w:right w:w="113" w:type="dxa"/>
            </w:tcMar>
            <w:hideMark/>
          </w:tcPr>
          <w:p w14:paraId="28E3741C" w14:textId="106DD3B1"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Hispanic or Latino (%)</w:t>
            </w:r>
          </w:p>
        </w:tc>
        <w:tc>
          <w:tcPr>
            <w:tcW w:w="1289" w:type="dxa"/>
            <w:tcMar>
              <w:top w:w="113" w:type="dxa"/>
              <w:left w:w="113" w:type="dxa"/>
              <w:bottom w:w="113" w:type="dxa"/>
              <w:right w:w="113" w:type="dxa"/>
            </w:tcMar>
            <w:hideMark/>
          </w:tcPr>
          <w:p w14:paraId="38EA2885" w14:textId="6BFA7FA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0.008609</w:t>
            </w:r>
          </w:p>
        </w:tc>
        <w:tc>
          <w:tcPr>
            <w:tcW w:w="2858" w:type="dxa"/>
            <w:tcMar>
              <w:top w:w="113" w:type="dxa"/>
              <w:left w:w="113" w:type="dxa"/>
              <w:bottom w:w="113" w:type="dxa"/>
              <w:right w:w="113" w:type="dxa"/>
            </w:tcMar>
            <w:hideMark/>
          </w:tcPr>
          <w:p w14:paraId="0A2141B3" w14:textId="0DB3598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0.002013 – 0.015204</w:t>
            </w:r>
          </w:p>
        </w:tc>
        <w:tc>
          <w:tcPr>
            <w:tcW w:w="1032" w:type="dxa"/>
            <w:tcMar>
              <w:top w:w="113" w:type="dxa"/>
              <w:left w:w="113" w:type="dxa"/>
              <w:bottom w:w="113" w:type="dxa"/>
              <w:right w:w="113" w:type="dxa"/>
            </w:tcMar>
            <w:hideMark/>
          </w:tcPr>
          <w:p w14:paraId="38E2192A" w14:textId="42488B4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0.011</w:t>
            </w:r>
          </w:p>
        </w:tc>
      </w:tr>
      <w:tr w:rsidR="00D7784E" w:rsidRPr="000C7879" w14:paraId="5B96BA87" w14:textId="77777777" w:rsidTr="00D7784E">
        <w:tc>
          <w:tcPr>
            <w:tcW w:w="3870" w:type="dxa"/>
            <w:tcMar>
              <w:top w:w="113" w:type="dxa"/>
              <w:left w:w="113" w:type="dxa"/>
              <w:bottom w:w="113" w:type="dxa"/>
              <w:right w:w="113" w:type="dxa"/>
            </w:tcMar>
            <w:hideMark/>
          </w:tcPr>
          <w:p w14:paraId="03E29540" w14:textId="0ADC7A83"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Asian (%)</w:t>
            </w:r>
          </w:p>
        </w:tc>
        <w:tc>
          <w:tcPr>
            <w:tcW w:w="1289" w:type="dxa"/>
            <w:tcMar>
              <w:top w:w="113" w:type="dxa"/>
              <w:left w:w="113" w:type="dxa"/>
              <w:bottom w:w="113" w:type="dxa"/>
              <w:right w:w="113" w:type="dxa"/>
            </w:tcMar>
            <w:hideMark/>
          </w:tcPr>
          <w:p w14:paraId="26847924" w14:textId="3D9906F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0.008038</w:t>
            </w:r>
          </w:p>
        </w:tc>
        <w:tc>
          <w:tcPr>
            <w:tcW w:w="2858" w:type="dxa"/>
            <w:tcMar>
              <w:top w:w="113" w:type="dxa"/>
              <w:left w:w="113" w:type="dxa"/>
              <w:bottom w:w="113" w:type="dxa"/>
              <w:right w:w="113" w:type="dxa"/>
            </w:tcMar>
            <w:hideMark/>
          </w:tcPr>
          <w:p w14:paraId="43281918" w14:textId="4ACEA6C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0.000411 – 0.015665</w:t>
            </w:r>
          </w:p>
        </w:tc>
        <w:tc>
          <w:tcPr>
            <w:tcW w:w="1032" w:type="dxa"/>
            <w:tcMar>
              <w:top w:w="113" w:type="dxa"/>
              <w:left w:w="113" w:type="dxa"/>
              <w:bottom w:w="113" w:type="dxa"/>
              <w:right w:w="113" w:type="dxa"/>
            </w:tcMar>
            <w:hideMark/>
          </w:tcPr>
          <w:p w14:paraId="74577E57" w14:textId="7D3527F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0.040</w:t>
            </w:r>
          </w:p>
        </w:tc>
      </w:tr>
      <w:tr w:rsidR="00D7784E" w:rsidRPr="000C7879" w14:paraId="6B76F994" w14:textId="77777777" w:rsidTr="00D7784E">
        <w:tc>
          <w:tcPr>
            <w:tcW w:w="3870" w:type="dxa"/>
            <w:tcMar>
              <w:top w:w="113" w:type="dxa"/>
              <w:left w:w="113" w:type="dxa"/>
              <w:bottom w:w="113" w:type="dxa"/>
              <w:right w:w="113" w:type="dxa"/>
            </w:tcMar>
            <w:hideMark/>
          </w:tcPr>
          <w:p w14:paraId="407EAEAD" w14:textId="195ECC07" w:rsidR="00D7784E" w:rsidRPr="000C7879" w:rsidRDefault="00D7784E" w:rsidP="00D7784E">
            <w:pPr>
              <w:spacing w:after="0" w:line="240" w:lineRule="auto"/>
              <w:rPr>
                <w:rFonts w:ascii="Times New Roman" w:eastAsia="Times New Roman" w:hAnsi="Times New Roman" w:cs="Times New Roman"/>
                <w:lang w:val="en-US" w:eastAsia="de-DE"/>
              </w:rPr>
            </w:pPr>
            <w:r w:rsidRPr="000C7879">
              <w:rPr>
                <w:rFonts w:ascii="Times New Roman" w:eastAsia="Times New Roman" w:hAnsi="Times New Roman" w:cs="Times New Roman"/>
                <w:lang w:val="en-US" w:eastAsia="de-DE"/>
              </w:rPr>
              <w:t>American Indian, Alaska Native, Native Hawaiian, or Pacific Islander (%)</w:t>
            </w:r>
          </w:p>
        </w:tc>
        <w:tc>
          <w:tcPr>
            <w:tcW w:w="1289" w:type="dxa"/>
            <w:tcMar>
              <w:top w:w="113" w:type="dxa"/>
              <w:left w:w="113" w:type="dxa"/>
              <w:bottom w:w="113" w:type="dxa"/>
              <w:right w:w="113" w:type="dxa"/>
            </w:tcMar>
            <w:hideMark/>
          </w:tcPr>
          <w:p w14:paraId="56FFF053" w14:textId="03C6522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0.004316</w:t>
            </w:r>
          </w:p>
        </w:tc>
        <w:tc>
          <w:tcPr>
            <w:tcW w:w="2858" w:type="dxa"/>
            <w:tcMar>
              <w:top w:w="113" w:type="dxa"/>
              <w:left w:w="113" w:type="dxa"/>
              <w:bottom w:w="113" w:type="dxa"/>
              <w:right w:w="113" w:type="dxa"/>
            </w:tcMar>
            <w:hideMark/>
          </w:tcPr>
          <w:p w14:paraId="33B372F3" w14:textId="305FA96E"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-0.003443 – 0.012075</w:t>
            </w:r>
          </w:p>
        </w:tc>
        <w:tc>
          <w:tcPr>
            <w:tcW w:w="1032" w:type="dxa"/>
            <w:tcMar>
              <w:top w:w="113" w:type="dxa"/>
              <w:left w:w="113" w:type="dxa"/>
              <w:bottom w:w="113" w:type="dxa"/>
              <w:right w:w="113" w:type="dxa"/>
            </w:tcMar>
            <w:hideMark/>
          </w:tcPr>
          <w:p w14:paraId="064DA31B" w14:textId="004F67C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0.277</w:t>
            </w:r>
          </w:p>
        </w:tc>
      </w:tr>
      <w:tr w:rsidR="00D7784E" w:rsidRPr="000C7879" w14:paraId="1E25B2E1" w14:textId="77777777" w:rsidTr="00D7784E">
        <w:tc>
          <w:tcPr>
            <w:tcW w:w="3870" w:type="dxa"/>
            <w:tcMar>
              <w:top w:w="113" w:type="dxa"/>
              <w:left w:w="113" w:type="dxa"/>
              <w:bottom w:w="113" w:type="dxa"/>
              <w:right w:w="113" w:type="dxa"/>
            </w:tcMar>
            <w:hideMark/>
          </w:tcPr>
          <w:p w14:paraId="4E519A80" w14:textId="3E896D39"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White (%)</w:t>
            </w:r>
          </w:p>
        </w:tc>
        <w:tc>
          <w:tcPr>
            <w:tcW w:w="1289" w:type="dxa"/>
            <w:tcMar>
              <w:top w:w="113" w:type="dxa"/>
              <w:left w:w="113" w:type="dxa"/>
              <w:bottom w:w="113" w:type="dxa"/>
              <w:right w:w="113" w:type="dxa"/>
            </w:tcMar>
            <w:hideMark/>
          </w:tcPr>
          <w:p w14:paraId="2BA10488" w14:textId="0F02D75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0.006713</w:t>
            </w:r>
          </w:p>
        </w:tc>
        <w:tc>
          <w:tcPr>
            <w:tcW w:w="2858" w:type="dxa"/>
            <w:tcMar>
              <w:top w:w="113" w:type="dxa"/>
              <w:left w:w="113" w:type="dxa"/>
              <w:bottom w:w="113" w:type="dxa"/>
              <w:right w:w="113" w:type="dxa"/>
            </w:tcMar>
            <w:hideMark/>
          </w:tcPr>
          <w:p w14:paraId="5B379BB0" w14:textId="2EB853E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0.000045 – 0.013380</w:t>
            </w:r>
          </w:p>
        </w:tc>
        <w:tc>
          <w:tcPr>
            <w:tcW w:w="1032" w:type="dxa"/>
            <w:tcMar>
              <w:top w:w="113" w:type="dxa"/>
              <w:left w:w="113" w:type="dxa"/>
              <w:bottom w:w="113" w:type="dxa"/>
              <w:right w:w="113" w:type="dxa"/>
            </w:tcMar>
            <w:hideMark/>
          </w:tcPr>
          <w:p w14:paraId="7F5C974F" w14:textId="3582E7A3"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0.050</w:t>
            </w:r>
          </w:p>
        </w:tc>
      </w:tr>
      <w:tr w:rsidR="00D7784E" w:rsidRPr="000C7879" w14:paraId="341AB1A5" w14:textId="77777777" w:rsidTr="00D7784E">
        <w:tc>
          <w:tcPr>
            <w:tcW w:w="3870" w:type="dxa"/>
            <w:tcMar>
              <w:top w:w="113" w:type="dxa"/>
              <w:left w:w="113" w:type="dxa"/>
              <w:bottom w:w="113" w:type="dxa"/>
              <w:right w:w="113" w:type="dxa"/>
            </w:tcMar>
            <w:hideMark/>
          </w:tcPr>
          <w:p w14:paraId="274C1AE9" w14:textId="75370B3D" w:rsidR="00D7784E" w:rsidRPr="000C7879" w:rsidRDefault="00D7784E" w:rsidP="00D7784E">
            <w:pPr>
              <w:spacing w:after="0" w:line="240" w:lineRule="auto"/>
              <w:rPr>
                <w:rFonts w:ascii="Times New Roman" w:eastAsia="Times New Roman" w:hAnsi="Times New Roman" w:cs="Times New Roman"/>
                <w:lang w:val="en-US" w:eastAsia="de-DE"/>
              </w:rPr>
            </w:pPr>
            <w:r w:rsidRPr="000C7879">
              <w:rPr>
                <w:rFonts w:ascii="Times New Roman" w:eastAsia="Times New Roman" w:hAnsi="Times New Roman" w:cs="Times New Roman"/>
                <w:lang w:val="en-US" w:eastAsia="de-DE"/>
              </w:rPr>
              <w:t>Education less than high school (%)</w:t>
            </w:r>
            <w:r w:rsidRPr="000C7879">
              <w:rPr>
                <w:rFonts w:ascii="Times New Roman" w:eastAsia="Times New Roman" w:hAnsi="Times New Roman" w:cs="Times New Roman"/>
                <w:lang w:val="en-US" w:eastAsia="de-DE"/>
              </w:rPr>
              <w:br/>
            </w:r>
          </w:p>
        </w:tc>
        <w:tc>
          <w:tcPr>
            <w:tcW w:w="1289" w:type="dxa"/>
            <w:tcMar>
              <w:top w:w="113" w:type="dxa"/>
              <w:left w:w="113" w:type="dxa"/>
              <w:bottom w:w="113" w:type="dxa"/>
              <w:right w:w="113" w:type="dxa"/>
            </w:tcMar>
            <w:hideMark/>
          </w:tcPr>
          <w:p w14:paraId="2DB126D3" w14:textId="7E7F36E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002B3FC1" w14:textId="0A17302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-0.000001 – 0.000000</w:t>
            </w:r>
          </w:p>
        </w:tc>
        <w:tc>
          <w:tcPr>
            <w:tcW w:w="1032" w:type="dxa"/>
            <w:tcMar>
              <w:top w:w="113" w:type="dxa"/>
              <w:left w:w="113" w:type="dxa"/>
              <w:bottom w:w="113" w:type="dxa"/>
              <w:right w:w="113" w:type="dxa"/>
            </w:tcMar>
            <w:hideMark/>
          </w:tcPr>
          <w:p w14:paraId="16396D16" w14:textId="1C767ED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0.293</w:t>
            </w:r>
          </w:p>
        </w:tc>
      </w:tr>
      <w:tr w:rsidR="00D7784E" w:rsidRPr="000C7879" w14:paraId="7614457F" w14:textId="77777777" w:rsidTr="00D7784E">
        <w:tc>
          <w:tcPr>
            <w:tcW w:w="3870" w:type="dxa"/>
            <w:tcMar>
              <w:top w:w="113" w:type="dxa"/>
              <w:left w:w="113" w:type="dxa"/>
              <w:bottom w:w="113" w:type="dxa"/>
              <w:right w:w="113" w:type="dxa"/>
            </w:tcMar>
            <w:hideMark/>
          </w:tcPr>
          <w:p w14:paraId="7F1DE82D" w14:textId="5BDF2DD0"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Poverty (%)</w:t>
            </w:r>
          </w:p>
        </w:tc>
        <w:tc>
          <w:tcPr>
            <w:tcW w:w="1289" w:type="dxa"/>
            <w:tcMar>
              <w:top w:w="113" w:type="dxa"/>
              <w:left w:w="113" w:type="dxa"/>
              <w:bottom w:w="113" w:type="dxa"/>
              <w:right w:w="113" w:type="dxa"/>
            </w:tcMar>
            <w:hideMark/>
          </w:tcPr>
          <w:p w14:paraId="39610594" w14:textId="75B6F43D"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0.000063</w:t>
            </w:r>
          </w:p>
        </w:tc>
        <w:tc>
          <w:tcPr>
            <w:tcW w:w="2858" w:type="dxa"/>
            <w:tcMar>
              <w:top w:w="113" w:type="dxa"/>
              <w:left w:w="113" w:type="dxa"/>
              <w:bottom w:w="113" w:type="dxa"/>
              <w:right w:w="113" w:type="dxa"/>
            </w:tcMar>
            <w:hideMark/>
          </w:tcPr>
          <w:p w14:paraId="5A1FC2B9" w14:textId="428194F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-0.001323 – 0.001449</w:t>
            </w:r>
          </w:p>
        </w:tc>
        <w:tc>
          <w:tcPr>
            <w:tcW w:w="1032" w:type="dxa"/>
            <w:tcMar>
              <w:top w:w="113" w:type="dxa"/>
              <w:left w:w="113" w:type="dxa"/>
              <w:bottom w:w="113" w:type="dxa"/>
              <w:right w:w="113" w:type="dxa"/>
            </w:tcMar>
            <w:hideMark/>
          </w:tcPr>
          <w:p w14:paraId="0F7E29BF" w14:textId="4F51F32D"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0.929</w:t>
            </w:r>
          </w:p>
        </w:tc>
      </w:tr>
      <w:tr w:rsidR="00D7784E" w:rsidRPr="000C7879" w14:paraId="187601E0" w14:textId="77777777" w:rsidTr="00D7784E">
        <w:tc>
          <w:tcPr>
            <w:tcW w:w="3870" w:type="dxa"/>
            <w:tcMar>
              <w:top w:w="113" w:type="dxa"/>
              <w:left w:w="113" w:type="dxa"/>
              <w:bottom w:w="113" w:type="dxa"/>
              <w:right w:w="113" w:type="dxa"/>
            </w:tcMar>
            <w:hideMark/>
          </w:tcPr>
          <w:p w14:paraId="02BB136C" w14:textId="15F78689"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Unemployed (%)</w:t>
            </w:r>
          </w:p>
        </w:tc>
        <w:tc>
          <w:tcPr>
            <w:tcW w:w="1289" w:type="dxa"/>
            <w:tcMar>
              <w:top w:w="113" w:type="dxa"/>
              <w:left w:w="113" w:type="dxa"/>
              <w:bottom w:w="113" w:type="dxa"/>
              <w:right w:w="113" w:type="dxa"/>
            </w:tcMar>
            <w:hideMark/>
          </w:tcPr>
          <w:p w14:paraId="5DE4DA7E" w14:textId="714CD44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0.001799</w:t>
            </w:r>
          </w:p>
        </w:tc>
        <w:tc>
          <w:tcPr>
            <w:tcW w:w="2858" w:type="dxa"/>
            <w:tcMar>
              <w:top w:w="113" w:type="dxa"/>
              <w:left w:w="113" w:type="dxa"/>
              <w:bottom w:w="113" w:type="dxa"/>
              <w:right w:w="113" w:type="dxa"/>
            </w:tcMar>
            <w:hideMark/>
          </w:tcPr>
          <w:p w14:paraId="2F9EFFD3" w14:textId="60BA852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-0.003046 – 0.006644</w:t>
            </w:r>
          </w:p>
        </w:tc>
        <w:tc>
          <w:tcPr>
            <w:tcW w:w="1032" w:type="dxa"/>
            <w:tcMar>
              <w:top w:w="113" w:type="dxa"/>
              <w:left w:w="113" w:type="dxa"/>
              <w:bottom w:w="113" w:type="dxa"/>
              <w:right w:w="113" w:type="dxa"/>
            </w:tcMar>
            <w:hideMark/>
          </w:tcPr>
          <w:p w14:paraId="01C9094A" w14:textId="46F942C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0.467</w:t>
            </w:r>
          </w:p>
        </w:tc>
      </w:tr>
      <w:tr w:rsidR="00D7784E" w:rsidRPr="000C7879" w14:paraId="12875891" w14:textId="77777777" w:rsidTr="00D7784E">
        <w:tc>
          <w:tcPr>
            <w:tcW w:w="3870" w:type="dxa"/>
            <w:tcMar>
              <w:top w:w="113" w:type="dxa"/>
              <w:left w:w="113" w:type="dxa"/>
              <w:bottom w:w="113" w:type="dxa"/>
              <w:right w:w="113" w:type="dxa"/>
            </w:tcMar>
            <w:hideMark/>
          </w:tcPr>
          <w:p w14:paraId="0232A561" w14:textId="12A708C1"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Age 0 to 19 (%)</w:t>
            </w:r>
          </w:p>
        </w:tc>
        <w:tc>
          <w:tcPr>
            <w:tcW w:w="1289" w:type="dxa"/>
            <w:tcMar>
              <w:top w:w="113" w:type="dxa"/>
              <w:left w:w="113" w:type="dxa"/>
              <w:bottom w:w="113" w:type="dxa"/>
              <w:right w:w="113" w:type="dxa"/>
            </w:tcMar>
            <w:hideMark/>
          </w:tcPr>
          <w:p w14:paraId="6BFF2ACA" w14:textId="48282A7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37197C33" w14:textId="214DDB3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 – 0.000000</w:t>
            </w:r>
          </w:p>
        </w:tc>
        <w:tc>
          <w:tcPr>
            <w:tcW w:w="1032" w:type="dxa"/>
            <w:tcMar>
              <w:top w:w="113" w:type="dxa"/>
              <w:left w:w="113" w:type="dxa"/>
              <w:bottom w:w="113" w:type="dxa"/>
              <w:right w:w="113" w:type="dxa"/>
            </w:tcMar>
            <w:hideMark/>
          </w:tcPr>
          <w:p w14:paraId="67BE81D3" w14:textId="6D8FCCF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0.937</w:t>
            </w:r>
          </w:p>
        </w:tc>
      </w:tr>
      <w:tr w:rsidR="00D7784E" w:rsidRPr="000C7879" w14:paraId="76002D98" w14:textId="77777777" w:rsidTr="00D7784E">
        <w:tc>
          <w:tcPr>
            <w:tcW w:w="3870" w:type="dxa"/>
            <w:tcMar>
              <w:top w:w="113" w:type="dxa"/>
              <w:left w:w="113" w:type="dxa"/>
              <w:bottom w:w="113" w:type="dxa"/>
              <w:right w:w="113" w:type="dxa"/>
            </w:tcMar>
            <w:hideMark/>
          </w:tcPr>
          <w:p w14:paraId="6D5D6F24" w14:textId="0F6FAE2C"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Age 65 or over (%)</w:t>
            </w:r>
          </w:p>
        </w:tc>
        <w:tc>
          <w:tcPr>
            <w:tcW w:w="1289" w:type="dxa"/>
            <w:tcMar>
              <w:top w:w="113" w:type="dxa"/>
              <w:left w:w="113" w:type="dxa"/>
              <w:bottom w:w="113" w:type="dxa"/>
              <w:right w:w="113" w:type="dxa"/>
            </w:tcMar>
            <w:hideMark/>
          </w:tcPr>
          <w:p w14:paraId="347DA852" w14:textId="4D1FDC42"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53AF2F86" w14:textId="0C6D8BC3"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-0.000001 – 0.000001</w:t>
            </w:r>
          </w:p>
        </w:tc>
        <w:tc>
          <w:tcPr>
            <w:tcW w:w="1032" w:type="dxa"/>
            <w:tcMar>
              <w:top w:w="113" w:type="dxa"/>
              <w:left w:w="113" w:type="dxa"/>
              <w:bottom w:w="113" w:type="dxa"/>
              <w:right w:w="113" w:type="dxa"/>
            </w:tcMar>
            <w:hideMark/>
          </w:tcPr>
          <w:p w14:paraId="02BF0A70" w14:textId="092DB1E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0.859</w:t>
            </w:r>
          </w:p>
        </w:tc>
      </w:tr>
      <w:tr w:rsidR="00D7784E" w:rsidRPr="000C7879" w14:paraId="048B78F6" w14:textId="77777777" w:rsidTr="00D7784E">
        <w:tc>
          <w:tcPr>
            <w:tcW w:w="3870" w:type="dxa"/>
            <w:tcMar>
              <w:top w:w="113" w:type="dxa"/>
              <w:left w:w="113" w:type="dxa"/>
              <w:bottom w:w="113" w:type="dxa"/>
              <w:right w:w="113" w:type="dxa"/>
            </w:tcMar>
            <w:hideMark/>
          </w:tcPr>
          <w:p w14:paraId="7FE2284A" w14:textId="46B7BD6E"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Northeast</w:t>
            </w:r>
          </w:p>
        </w:tc>
        <w:tc>
          <w:tcPr>
            <w:tcW w:w="1289" w:type="dxa"/>
            <w:tcMar>
              <w:top w:w="113" w:type="dxa"/>
              <w:left w:w="113" w:type="dxa"/>
              <w:bottom w:w="113" w:type="dxa"/>
              <w:right w:w="113" w:type="dxa"/>
            </w:tcMar>
            <w:hideMark/>
          </w:tcPr>
          <w:p w14:paraId="22308A68" w14:textId="01CDEFA2"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-0.000277</w:t>
            </w:r>
          </w:p>
        </w:tc>
        <w:tc>
          <w:tcPr>
            <w:tcW w:w="2858" w:type="dxa"/>
            <w:tcMar>
              <w:top w:w="113" w:type="dxa"/>
              <w:left w:w="113" w:type="dxa"/>
              <w:bottom w:w="113" w:type="dxa"/>
              <w:right w:w="113" w:type="dxa"/>
            </w:tcMar>
            <w:hideMark/>
          </w:tcPr>
          <w:p w14:paraId="3B3A846F" w14:textId="3A323C6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-0.000770 – 0.000216</w:t>
            </w:r>
          </w:p>
        </w:tc>
        <w:tc>
          <w:tcPr>
            <w:tcW w:w="1032" w:type="dxa"/>
            <w:tcMar>
              <w:top w:w="113" w:type="dxa"/>
              <w:left w:w="113" w:type="dxa"/>
              <w:bottom w:w="113" w:type="dxa"/>
              <w:right w:w="113" w:type="dxa"/>
            </w:tcMar>
            <w:hideMark/>
          </w:tcPr>
          <w:p w14:paraId="4EF76932" w14:textId="3676EE0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0.272</w:t>
            </w:r>
          </w:p>
        </w:tc>
      </w:tr>
      <w:tr w:rsidR="00D7784E" w:rsidRPr="000C7879" w14:paraId="62ADB7DF" w14:textId="77777777" w:rsidTr="00D7784E">
        <w:tc>
          <w:tcPr>
            <w:tcW w:w="3870" w:type="dxa"/>
            <w:tcMar>
              <w:top w:w="113" w:type="dxa"/>
              <w:left w:w="113" w:type="dxa"/>
              <w:bottom w:w="113" w:type="dxa"/>
              <w:right w:w="113" w:type="dxa"/>
            </w:tcMar>
            <w:hideMark/>
          </w:tcPr>
          <w:p w14:paraId="75AC2804" w14:textId="458F7BDF"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South</w:t>
            </w:r>
          </w:p>
        </w:tc>
        <w:tc>
          <w:tcPr>
            <w:tcW w:w="1289" w:type="dxa"/>
            <w:tcMar>
              <w:top w:w="113" w:type="dxa"/>
              <w:left w:w="113" w:type="dxa"/>
              <w:bottom w:w="113" w:type="dxa"/>
              <w:right w:w="113" w:type="dxa"/>
            </w:tcMar>
            <w:hideMark/>
          </w:tcPr>
          <w:p w14:paraId="68881990" w14:textId="351D958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-0.000259</w:t>
            </w:r>
          </w:p>
        </w:tc>
        <w:tc>
          <w:tcPr>
            <w:tcW w:w="2858" w:type="dxa"/>
            <w:tcMar>
              <w:top w:w="113" w:type="dxa"/>
              <w:left w:w="113" w:type="dxa"/>
              <w:bottom w:w="113" w:type="dxa"/>
              <w:right w:w="113" w:type="dxa"/>
            </w:tcMar>
            <w:hideMark/>
          </w:tcPr>
          <w:p w14:paraId="484989BF" w14:textId="424A2BB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-0.000703 – 0.000185</w:t>
            </w:r>
          </w:p>
        </w:tc>
        <w:tc>
          <w:tcPr>
            <w:tcW w:w="1032" w:type="dxa"/>
            <w:tcMar>
              <w:top w:w="113" w:type="dxa"/>
              <w:left w:w="113" w:type="dxa"/>
              <w:bottom w:w="113" w:type="dxa"/>
              <w:right w:w="113" w:type="dxa"/>
            </w:tcMar>
            <w:hideMark/>
          </w:tcPr>
          <w:p w14:paraId="48363575" w14:textId="6A4F63A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0.254</w:t>
            </w:r>
          </w:p>
        </w:tc>
      </w:tr>
      <w:tr w:rsidR="00D7784E" w:rsidRPr="000C7879" w14:paraId="175469D7" w14:textId="77777777" w:rsidTr="00D7784E">
        <w:tc>
          <w:tcPr>
            <w:tcW w:w="3870" w:type="dxa"/>
            <w:tcMar>
              <w:top w:w="113" w:type="dxa"/>
              <w:left w:w="113" w:type="dxa"/>
              <w:bottom w:w="113" w:type="dxa"/>
              <w:right w:w="113" w:type="dxa"/>
            </w:tcMar>
            <w:hideMark/>
          </w:tcPr>
          <w:p w14:paraId="3D73D535" w14:textId="729845BE"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West</w:t>
            </w:r>
          </w:p>
        </w:tc>
        <w:tc>
          <w:tcPr>
            <w:tcW w:w="1289" w:type="dxa"/>
            <w:tcMar>
              <w:top w:w="113" w:type="dxa"/>
              <w:left w:w="113" w:type="dxa"/>
              <w:bottom w:w="113" w:type="dxa"/>
              <w:right w:w="113" w:type="dxa"/>
            </w:tcMar>
            <w:hideMark/>
          </w:tcPr>
          <w:p w14:paraId="1FC71B03" w14:textId="28EAB32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-0.000989</w:t>
            </w:r>
          </w:p>
        </w:tc>
        <w:tc>
          <w:tcPr>
            <w:tcW w:w="2858" w:type="dxa"/>
            <w:tcMar>
              <w:top w:w="113" w:type="dxa"/>
              <w:left w:w="113" w:type="dxa"/>
              <w:bottom w:w="113" w:type="dxa"/>
              <w:right w:w="113" w:type="dxa"/>
            </w:tcMar>
            <w:hideMark/>
          </w:tcPr>
          <w:p w14:paraId="346403E1" w14:textId="553A008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-0.001475 – -0.000503</w:t>
            </w:r>
          </w:p>
        </w:tc>
        <w:tc>
          <w:tcPr>
            <w:tcW w:w="1032" w:type="dxa"/>
            <w:tcMar>
              <w:top w:w="113" w:type="dxa"/>
              <w:left w:w="113" w:type="dxa"/>
              <w:bottom w:w="113" w:type="dxa"/>
              <w:right w:w="113" w:type="dxa"/>
            </w:tcMar>
            <w:hideMark/>
          </w:tcPr>
          <w:p w14:paraId="7BF594A5" w14:textId="20A91F5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&lt;</w:t>
            </w:r>
            <w:r>
              <w:rPr>
                <w:rStyle w:val="Strong"/>
                <w:rFonts w:ascii="Times New Roman" w:eastAsia="Times New Roman" w:hAnsi="Times New Roman" w:cs="Times New Roman"/>
              </w:rPr>
              <w:t xml:space="preserve"> </w:t>
            </w:r>
            <w:r w:rsidRPr="00D7784E">
              <w:rPr>
                <w:rStyle w:val="Strong"/>
                <w:rFonts w:ascii="Times New Roman" w:eastAsia="Times New Roman" w:hAnsi="Times New Roman" w:cs="Times New Roman"/>
              </w:rPr>
              <w:t>0.001</w:t>
            </w:r>
          </w:p>
        </w:tc>
      </w:tr>
      <w:tr w:rsidR="00C81C65" w:rsidRPr="000C7879" w14:paraId="0416B361" w14:textId="77777777" w:rsidTr="00D7784E">
        <w:tc>
          <w:tcPr>
            <w:tcW w:w="3870" w:type="dxa"/>
            <w:tcBorders>
              <w:top w:val="single" w:sz="6" w:space="0" w:color="auto"/>
            </w:tcBorders>
            <w:tcMar>
              <w:top w:w="57" w:type="dxa"/>
              <w:left w:w="113" w:type="dxa"/>
              <w:bottom w:w="57" w:type="dxa"/>
              <w:right w:w="113" w:type="dxa"/>
            </w:tcMar>
            <w:hideMark/>
          </w:tcPr>
          <w:p w14:paraId="1C6D262A"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Observations</w:t>
            </w:r>
          </w:p>
        </w:tc>
        <w:tc>
          <w:tcPr>
            <w:tcW w:w="5179" w:type="dxa"/>
            <w:gridSpan w:val="3"/>
            <w:tcBorders>
              <w:top w:val="single" w:sz="6" w:space="0" w:color="auto"/>
            </w:tcBorders>
            <w:tcMar>
              <w:top w:w="57" w:type="dxa"/>
              <w:left w:w="113" w:type="dxa"/>
              <w:bottom w:w="57" w:type="dxa"/>
              <w:right w:w="113" w:type="dxa"/>
            </w:tcMar>
            <w:hideMark/>
          </w:tcPr>
          <w:p w14:paraId="225DD08F"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272</w:t>
            </w:r>
          </w:p>
        </w:tc>
      </w:tr>
      <w:tr w:rsidR="00C81C65" w:rsidRPr="000C7879" w14:paraId="53D30013" w14:textId="77777777" w:rsidTr="00D7784E">
        <w:tc>
          <w:tcPr>
            <w:tcW w:w="3870" w:type="dxa"/>
            <w:tcMar>
              <w:top w:w="57" w:type="dxa"/>
              <w:left w:w="113" w:type="dxa"/>
              <w:bottom w:w="57" w:type="dxa"/>
              <w:right w:w="113" w:type="dxa"/>
            </w:tcMar>
            <w:hideMark/>
          </w:tcPr>
          <w:p w14:paraId="75EC30E7"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Nagelkerke's R</w:t>
            </w:r>
            <w:r w:rsidRPr="000C7879">
              <w:rPr>
                <w:rFonts w:ascii="Times New Roman" w:eastAsia="Times New Roman" w:hAnsi="Times New Roman" w:cs="Times New Roman"/>
                <w:vertAlign w:val="superscript"/>
                <w:lang w:eastAsia="de-DE"/>
              </w:rPr>
              <w:t>2</w:t>
            </w:r>
          </w:p>
        </w:tc>
        <w:tc>
          <w:tcPr>
            <w:tcW w:w="5179" w:type="dxa"/>
            <w:gridSpan w:val="3"/>
            <w:tcMar>
              <w:top w:w="57" w:type="dxa"/>
              <w:left w:w="113" w:type="dxa"/>
              <w:bottom w:w="57" w:type="dxa"/>
              <w:right w:w="113" w:type="dxa"/>
            </w:tcMar>
            <w:hideMark/>
          </w:tcPr>
          <w:p w14:paraId="011D159E" w14:textId="336392D3"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0.22</w:t>
            </w:r>
            <w:r w:rsidR="00D7784E">
              <w:rPr>
                <w:rFonts w:ascii="Times New Roman" w:eastAsia="Times New Roman" w:hAnsi="Times New Roman" w:cs="Times New Roman"/>
                <w:lang w:eastAsia="de-DE"/>
              </w:rPr>
              <w:t>7</w:t>
            </w:r>
          </w:p>
        </w:tc>
      </w:tr>
    </w:tbl>
    <w:p w14:paraId="72DD83CD" w14:textId="37163A9F" w:rsidR="00C81C65" w:rsidRDefault="00C81C65" w:rsidP="005076A2">
      <w:pPr>
        <w:rPr>
          <w:rFonts w:ascii="Times New Roman" w:hAnsi="Times New Roman" w:cs="Times New Roman"/>
          <w:b/>
          <w:sz w:val="24"/>
          <w:szCs w:val="24"/>
          <w:lang w:val="en-US"/>
        </w:rPr>
      </w:pPr>
    </w:p>
    <w:p w14:paraId="6AD3B602" w14:textId="77777777" w:rsidR="00C81C65" w:rsidRDefault="00C81C65" w:rsidP="005076A2">
      <w:pPr>
        <w:rPr>
          <w:rFonts w:ascii="Times New Roman" w:hAnsi="Times New Roman" w:cs="Times New Roman"/>
          <w:b/>
          <w:sz w:val="24"/>
          <w:szCs w:val="24"/>
          <w:lang w:val="en-US"/>
        </w:rPr>
      </w:pPr>
    </w:p>
    <w:p w14:paraId="6950E98A"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DE2DF92" w14:textId="0A81CFF3"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6e. Cadmium.</w:t>
      </w:r>
    </w:p>
    <w:tbl>
      <w:tblPr>
        <w:tblW w:w="0" w:type="auto"/>
        <w:tblCellMar>
          <w:top w:w="15" w:type="dxa"/>
          <w:left w:w="15" w:type="dxa"/>
          <w:bottom w:w="15" w:type="dxa"/>
          <w:right w:w="15" w:type="dxa"/>
        </w:tblCellMar>
        <w:tblLook w:val="04A0" w:firstRow="1" w:lastRow="0" w:firstColumn="1" w:lastColumn="0" w:noHBand="0" w:noVBand="1"/>
      </w:tblPr>
      <w:tblGrid>
        <w:gridCol w:w="4235"/>
        <w:gridCol w:w="964"/>
        <w:gridCol w:w="196"/>
        <w:gridCol w:w="2933"/>
        <w:gridCol w:w="721"/>
      </w:tblGrid>
      <w:tr w:rsidR="000631FC" w:rsidRPr="000631FC" w14:paraId="2A5534A2" w14:textId="77777777" w:rsidTr="000F3D9E">
        <w:tc>
          <w:tcPr>
            <w:tcW w:w="0" w:type="auto"/>
            <w:tcBorders>
              <w:top w:val="double" w:sz="6" w:space="0" w:color="auto"/>
            </w:tcBorders>
            <w:tcMar>
              <w:top w:w="113" w:type="dxa"/>
              <w:left w:w="113" w:type="dxa"/>
              <w:bottom w:w="113" w:type="dxa"/>
              <w:right w:w="113" w:type="dxa"/>
            </w:tcMar>
            <w:vAlign w:val="center"/>
            <w:hideMark/>
          </w:tcPr>
          <w:p w14:paraId="56E30E9D" w14:textId="77777777" w:rsidR="000631FC" w:rsidRPr="000631FC" w:rsidRDefault="000631FC" w:rsidP="000631FC">
            <w:pPr>
              <w:spacing w:after="0" w:line="240" w:lineRule="auto"/>
              <w:rPr>
                <w:rFonts w:ascii="Times New Roman" w:eastAsia="Times New Roman" w:hAnsi="Times New Roman" w:cs="Times New Roman"/>
                <w:b/>
                <w:bCs/>
                <w:sz w:val="24"/>
                <w:szCs w:val="24"/>
                <w:lang w:eastAsia="de-DE"/>
              </w:rPr>
            </w:pPr>
            <w:r w:rsidRPr="000631FC">
              <w:rPr>
                <w:rFonts w:ascii="Times New Roman" w:eastAsia="Times New Roman" w:hAnsi="Times New Roman" w:cs="Times New Roman"/>
                <w:b/>
                <w:bCs/>
                <w:sz w:val="24"/>
                <w:szCs w:val="24"/>
                <w:lang w:eastAsia="de-DE"/>
              </w:rPr>
              <w:t> </w:t>
            </w:r>
          </w:p>
        </w:tc>
        <w:tc>
          <w:tcPr>
            <w:tcW w:w="0" w:type="auto"/>
            <w:gridSpan w:val="4"/>
            <w:tcBorders>
              <w:top w:val="double" w:sz="6" w:space="0" w:color="auto"/>
            </w:tcBorders>
            <w:tcMar>
              <w:top w:w="113" w:type="dxa"/>
              <w:left w:w="113" w:type="dxa"/>
              <w:bottom w:w="113" w:type="dxa"/>
              <w:right w:w="113" w:type="dxa"/>
            </w:tcMar>
            <w:vAlign w:val="center"/>
            <w:hideMark/>
          </w:tcPr>
          <w:p w14:paraId="5FB47E11" w14:textId="77777777" w:rsidR="000631FC" w:rsidRPr="000631FC" w:rsidRDefault="000631FC" w:rsidP="000631FC">
            <w:pPr>
              <w:spacing w:after="0" w:line="240" w:lineRule="auto"/>
              <w:jc w:val="center"/>
              <w:rPr>
                <w:rFonts w:ascii="Times New Roman" w:eastAsia="Times New Roman" w:hAnsi="Times New Roman" w:cs="Times New Roman"/>
                <w:b/>
                <w:bCs/>
                <w:sz w:val="24"/>
                <w:szCs w:val="24"/>
                <w:lang w:eastAsia="de-DE"/>
              </w:rPr>
            </w:pPr>
            <w:r w:rsidRPr="000631FC">
              <w:rPr>
                <w:rFonts w:ascii="Times New Roman" w:eastAsia="Times New Roman" w:hAnsi="Times New Roman" w:cs="Times New Roman"/>
                <w:b/>
                <w:bCs/>
                <w:sz w:val="24"/>
                <w:szCs w:val="24"/>
                <w:lang w:eastAsia="de-DE"/>
              </w:rPr>
              <w:t>Cadmium</w:t>
            </w:r>
          </w:p>
        </w:tc>
      </w:tr>
      <w:tr w:rsidR="000631FC" w:rsidRPr="000631FC" w14:paraId="0F30B2F4" w14:textId="77777777" w:rsidTr="004E7127">
        <w:tc>
          <w:tcPr>
            <w:tcW w:w="0" w:type="auto"/>
            <w:tcBorders>
              <w:bottom w:val="single" w:sz="6" w:space="0" w:color="auto"/>
            </w:tcBorders>
            <w:vAlign w:val="center"/>
            <w:hideMark/>
          </w:tcPr>
          <w:p w14:paraId="21D0F841" w14:textId="77777777" w:rsidR="000631FC" w:rsidRPr="000631FC" w:rsidRDefault="000631FC" w:rsidP="000631FC">
            <w:pPr>
              <w:spacing w:after="0" w:line="240" w:lineRule="auto"/>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Predictors</w:t>
            </w:r>
          </w:p>
        </w:tc>
        <w:tc>
          <w:tcPr>
            <w:tcW w:w="964" w:type="dxa"/>
            <w:tcBorders>
              <w:bottom w:val="single" w:sz="6" w:space="0" w:color="auto"/>
            </w:tcBorders>
            <w:vAlign w:val="center"/>
            <w:hideMark/>
          </w:tcPr>
          <w:p w14:paraId="68D0A170"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Estimates</w:t>
            </w:r>
          </w:p>
        </w:tc>
        <w:tc>
          <w:tcPr>
            <w:tcW w:w="3129" w:type="dxa"/>
            <w:gridSpan w:val="2"/>
            <w:tcBorders>
              <w:bottom w:val="single" w:sz="6" w:space="0" w:color="auto"/>
            </w:tcBorders>
            <w:vAlign w:val="center"/>
            <w:hideMark/>
          </w:tcPr>
          <w:p w14:paraId="26CE3F00"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CI</w:t>
            </w:r>
          </w:p>
        </w:tc>
        <w:tc>
          <w:tcPr>
            <w:tcW w:w="0" w:type="auto"/>
            <w:tcBorders>
              <w:bottom w:val="single" w:sz="6" w:space="0" w:color="auto"/>
            </w:tcBorders>
            <w:vAlign w:val="center"/>
            <w:hideMark/>
          </w:tcPr>
          <w:p w14:paraId="51539966"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p</w:t>
            </w:r>
          </w:p>
        </w:tc>
      </w:tr>
      <w:tr w:rsidR="004E7127" w:rsidRPr="000631FC" w14:paraId="2CD0DFED" w14:textId="77777777" w:rsidTr="004E7127">
        <w:tc>
          <w:tcPr>
            <w:tcW w:w="0" w:type="auto"/>
            <w:tcMar>
              <w:top w:w="113" w:type="dxa"/>
              <w:left w:w="113" w:type="dxa"/>
              <w:bottom w:w="113" w:type="dxa"/>
              <w:right w:w="113" w:type="dxa"/>
            </w:tcMar>
            <w:hideMark/>
          </w:tcPr>
          <w:p w14:paraId="5A4DE666" w14:textId="1F999A6C"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Intercept (Midwest)</w:t>
            </w:r>
          </w:p>
        </w:tc>
        <w:tc>
          <w:tcPr>
            <w:tcW w:w="1160" w:type="dxa"/>
            <w:gridSpan w:val="2"/>
            <w:tcMar>
              <w:top w:w="113" w:type="dxa"/>
              <w:left w:w="113" w:type="dxa"/>
              <w:bottom w:w="113" w:type="dxa"/>
              <w:right w:w="113" w:type="dxa"/>
            </w:tcMar>
            <w:hideMark/>
          </w:tcPr>
          <w:p w14:paraId="798CB3E3" w14:textId="2F42F1A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-0.00090</w:t>
            </w:r>
          </w:p>
        </w:tc>
        <w:tc>
          <w:tcPr>
            <w:tcW w:w="2933" w:type="dxa"/>
            <w:tcMar>
              <w:top w:w="113" w:type="dxa"/>
              <w:left w:w="113" w:type="dxa"/>
              <w:bottom w:w="113" w:type="dxa"/>
              <w:right w:w="113" w:type="dxa"/>
            </w:tcMar>
            <w:hideMark/>
          </w:tcPr>
          <w:p w14:paraId="25DE0DB1" w14:textId="4D1A5C6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-0.00493 – 0.00313</w:t>
            </w:r>
          </w:p>
        </w:tc>
        <w:tc>
          <w:tcPr>
            <w:tcW w:w="0" w:type="auto"/>
            <w:tcMar>
              <w:top w:w="113" w:type="dxa"/>
              <w:left w:w="113" w:type="dxa"/>
              <w:bottom w:w="113" w:type="dxa"/>
              <w:right w:w="113" w:type="dxa"/>
            </w:tcMar>
            <w:hideMark/>
          </w:tcPr>
          <w:p w14:paraId="52C00D73" w14:textId="6DC8A3E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0.663</w:t>
            </w:r>
          </w:p>
        </w:tc>
      </w:tr>
      <w:tr w:rsidR="004E7127" w:rsidRPr="000631FC" w14:paraId="1414848A" w14:textId="77777777" w:rsidTr="004E7127">
        <w:tc>
          <w:tcPr>
            <w:tcW w:w="0" w:type="auto"/>
            <w:tcMar>
              <w:top w:w="113" w:type="dxa"/>
              <w:left w:w="113" w:type="dxa"/>
              <w:bottom w:w="113" w:type="dxa"/>
              <w:right w:w="113" w:type="dxa"/>
            </w:tcMar>
            <w:hideMark/>
          </w:tcPr>
          <w:p w14:paraId="642B5732" w14:textId="791CB546"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Racial isolation quintile</w:t>
            </w:r>
          </w:p>
        </w:tc>
        <w:tc>
          <w:tcPr>
            <w:tcW w:w="1160" w:type="dxa"/>
            <w:gridSpan w:val="2"/>
            <w:tcMar>
              <w:top w:w="113" w:type="dxa"/>
              <w:left w:w="113" w:type="dxa"/>
              <w:bottom w:w="113" w:type="dxa"/>
              <w:right w:w="113" w:type="dxa"/>
            </w:tcMar>
            <w:hideMark/>
          </w:tcPr>
          <w:p w14:paraId="6DBCF9AB" w14:textId="1C2CED6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0.00004</w:t>
            </w:r>
          </w:p>
        </w:tc>
        <w:tc>
          <w:tcPr>
            <w:tcW w:w="2933" w:type="dxa"/>
            <w:tcMar>
              <w:top w:w="113" w:type="dxa"/>
              <w:left w:w="113" w:type="dxa"/>
              <w:bottom w:w="113" w:type="dxa"/>
              <w:right w:w="113" w:type="dxa"/>
            </w:tcMar>
            <w:hideMark/>
          </w:tcPr>
          <w:p w14:paraId="05C31387" w14:textId="21B77FA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-0.00003 – 0.00012</w:t>
            </w:r>
          </w:p>
        </w:tc>
        <w:tc>
          <w:tcPr>
            <w:tcW w:w="0" w:type="auto"/>
            <w:tcMar>
              <w:top w:w="113" w:type="dxa"/>
              <w:left w:w="113" w:type="dxa"/>
              <w:bottom w:w="113" w:type="dxa"/>
              <w:right w:w="113" w:type="dxa"/>
            </w:tcMar>
            <w:hideMark/>
          </w:tcPr>
          <w:p w14:paraId="27D0E601" w14:textId="4B5FCAB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0.239</w:t>
            </w:r>
          </w:p>
        </w:tc>
      </w:tr>
      <w:tr w:rsidR="004E7127" w:rsidRPr="000631FC" w14:paraId="6CA21436" w14:textId="77777777" w:rsidTr="004E7127">
        <w:tc>
          <w:tcPr>
            <w:tcW w:w="0" w:type="auto"/>
            <w:tcMar>
              <w:top w:w="113" w:type="dxa"/>
              <w:left w:w="113" w:type="dxa"/>
              <w:bottom w:w="113" w:type="dxa"/>
              <w:right w:w="113" w:type="dxa"/>
            </w:tcMar>
            <w:hideMark/>
          </w:tcPr>
          <w:p w14:paraId="722D633E" w14:textId="187B714C"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Black or African American (%)</w:t>
            </w:r>
          </w:p>
        </w:tc>
        <w:tc>
          <w:tcPr>
            <w:tcW w:w="1160" w:type="dxa"/>
            <w:gridSpan w:val="2"/>
            <w:tcMar>
              <w:top w:w="113" w:type="dxa"/>
              <w:left w:w="113" w:type="dxa"/>
              <w:bottom w:w="113" w:type="dxa"/>
              <w:right w:w="113" w:type="dxa"/>
            </w:tcMar>
            <w:hideMark/>
          </w:tcPr>
          <w:p w14:paraId="52453BCE" w14:textId="2E1202E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0.00244</w:t>
            </w:r>
          </w:p>
        </w:tc>
        <w:tc>
          <w:tcPr>
            <w:tcW w:w="2933" w:type="dxa"/>
            <w:tcMar>
              <w:top w:w="113" w:type="dxa"/>
              <w:left w:w="113" w:type="dxa"/>
              <w:bottom w:w="113" w:type="dxa"/>
              <w:right w:w="113" w:type="dxa"/>
            </w:tcMar>
            <w:hideMark/>
          </w:tcPr>
          <w:p w14:paraId="45143875" w14:textId="14949DF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-0.00160 – 0.00649</w:t>
            </w:r>
          </w:p>
        </w:tc>
        <w:tc>
          <w:tcPr>
            <w:tcW w:w="0" w:type="auto"/>
            <w:tcMar>
              <w:top w:w="113" w:type="dxa"/>
              <w:left w:w="113" w:type="dxa"/>
              <w:bottom w:w="113" w:type="dxa"/>
              <w:right w:w="113" w:type="dxa"/>
            </w:tcMar>
            <w:hideMark/>
          </w:tcPr>
          <w:p w14:paraId="33C6CC8D" w14:textId="466C73E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0.238</w:t>
            </w:r>
          </w:p>
        </w:tc>
      </w:tr>
      <w:tr w:rsidR="004E7127" w:rsidRPr="000631FC" w14:paraId="7612E01C" w14:textId="77777777" w:rsidTr="004E7127">
        <w:tc>
          <w:tcPr>
            <w:tcW w:w="0" w:type="auto"/>
            <w:tcMar>
              <w:top w:w="113" w:type="dxa"/>
              <w:left w:w="113" w:type="dxa"/>
              <w:bottom w:w="113" w:type="dxa"/>
              <w:right w:w="113" w:type="dxa"/>
            </w:tcMar>
            <w:hideMark/>
          </w:tcPr>
          <w:p w14:paraId="20EE5767" w14:textId="32358BBA"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Hispanic or Latino (%)</w:t>
            </w:r>
          </w:p>
        </w:tc>
        <w:tc>
          <w:tcPr>
            <w:tcW w:w="1160" w:type="dxa"/>
            <w:gridSpan w:val="2"/>
            <w:tcMar>
              <w:top w:w="113" w:type="dxa"/>
              <w:left w:w="113" w:type="dxa"/>
              <w:bottom w:w="113" w:type="dxa"/>
              <w:right w:w="113" w:type="dxa"/>
            </w:tcMar>
            <w:hideMark/>
          </w:tcPr>
          <w:p w14:paraId="729BC097" w14:textId="098AA68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0.00229</w:t>
            </w:r>
          </w:p>
        </w:tc>
        <w:tc>
          <w:tcPr>
            <w:tcW w:w="2933" w:type="dxa"/>
            <w:tcMar>
              <w:top w:w="113" w:type="dxa"/>
              <w:left w:w="113" w:type="dxa"/>
              <w:bottom w:w="113" w:type="dxa"/>
              <w:right w:w="113" w:type="dxa"/>
            </w:tcMar>
            <w:hideMark/>
          </w:tcPr>
          <w:p w14:paraId="5C384735" w14:textId="7D1A8CAE"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-0.00172 – 0.00630</w:t>
            </w:r>
          </w:p>
        </w:tc>
        <w:tc>
          <w:tcPr>
            <w:tcW w:w="0" w:type="auto"/>
            <w:tcMar>
              <w:top w:w="113" w:type="dxa"/>
              <w:left w:w="113" w:type="dxa"/>
              <w:bottom w:w="113" w:type="dxa"/>
              <w:right w:w="113" w:type="dxa"/>
            </w:tcMar>
            <w:hideMark/>
          </w:tcPr>
          <w:p w14:paraId="76109AE3" w14:textId="0C99842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0.265</w:t>
            </w:r>
          </w:p>
        </w:tc>
      </w:tr>
      <w:tr w:rsidR="004E7127" w:rsidRPr="000631FC" w14:paraId="1D9B396B" w14:textId="77777777" w:rsidTr="004E7127">
        <w:tc>
          <w:tcPr>
            <w:tcW w:w="0" w:type="auto"/>
            <w:tcMar>
              <w:top w:w="113" w:type="dxa"/>
              <w:left w:w="113" w:type="dxa"/>
              <w:bottom w:w="113" w:type="dxa"/>
              <w:right w:w="113" w:type="dxa"/>
            </w:tcMar>
            <w:hideMark/>
          </w:tcPr>
          <w:p w14:paraId="4D2C96DF" w14:textId="17A8282D"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Asian (%)</w:t>
            </w:r>
          </w:p>
        </w:tc>
        <w:tc>
          <w:tcPr>
            <w:tcW w:w="1160" w:type="dxa"/>
            <w:gridSpan w:val="2"/>
            <w:tcMar>
              <w:top w:w="113" w:type="dxa"/>
              <w:left w:w="113" w:type="dxa"/>
              <w:bottom w:w="113" w:type="dxa"/>
              <w:right w:w="113" w:type="dxa"/>
            </w:tcMar>
            <w:hideMark/>
          </w:tcPr>
          <w:p w14:paraId="42A4B6DD" w14:textId="6BEA874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0.00290</w:t>
            </w:r>
          </w:p>
        </w:tc>
        <w:tc>
          <w:tcPr>
            <w:tcW w:w="2933" w:type="dxa"/>
            <w:tcMar>
              <w:top w:w="113" w:type="dxa"/>
              <w:left w:w="113" w:type="dxa"/>
              <w:bottom w:w="113" w:type="dxa"/>
              <w:right w:w="113" w:type="dxa"/>
            </w:tcMar>
            <w:hideMark/>
          </w:tcPr>
          <w:p w14:paraId="44080B8F" w14:textId="27B79F4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-0.00151 – 0.00731</w:t>
            </w:r>
          </w:p>
        </w:tc>
        <w:tc>
          <w:tcPr>
            <w:tcW w:w="0" w:type="auto"/>
            <w:tcMar>
              <w:top w:w="113" w:type="dxa"/>
              <w:left w:w="113" w:type="dxa"/>
              <w:bottom w:w="113" w:type="dxa"/>
              <w:right w:w="113" w:type="dxa"/>
            </w:tcMar>
            <w:hideMark/>
          </w:tcPr>
          <w:p w14:paraId="03B04D89" w14:textId="53C6CA9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0.199</w:t>
            </w:r>
          </w:p>
        </w:tc>
      </w:tr>
      <w:tr w:rsidR="004E7127" w:rsidRPr="000631FC" w14:paraId="45CB9FE0" w14:textId="77777777" w:rsidTr="004E7127">
        <w:tc>
          <w:tcPr>
            <w:tcW w:w="0" w:type="auto"/>
            <w:tcMar>
              <w:top w:w="113" w:type="dxa"/>
              <w:left w:w="113" w:type="dxa"/>
              <w:bottom w:w="113" w:type="dxa"/>
              <w:right w:w="113" w:type="dxa"/>
            </w:tcMar>
            <w:hideMark/>
          </w:tcPr>
          <w:p w14:paraId="66F67DA2" w14:textId="19427334" w:rsidR="004E7127" w:rsidRPr="000631FC" w:rsidRDefault="004E7127" w:rsidP="004E7127">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American Indian, Alaska Native, Native Hawaiian, or Pacific Islander (%)</w:t>
            </w:r>
          </w:p>
        </w:tc>
        <w:tc>
          <w:tcPr>
            <w:tcW w:w="1160" w:type="dxa"/>
            <w:gridSpan w:val="2"/>
            <w:tcMar>
              <w:top w:w="113" w:type="dxa"/>
              <w:left w:w="113" w:type="dxa"/>
              <w:bottom w:w="113" w:type="dxa"/>
              <w:right w:w="113" w:type="dxa"/>
            </w:tcMar>
            <w:hideMark/>
          </w:tcPr>
          <w:p w14:paraId="193E9FCC" w14:textId="1D0446C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0.00299</w:t>
            </w:r>
          </w:p>
        </w:tc>
        <w:tc>
          <w:tcPr>
            <w:tcW w:w="2933" w:type="dxa"/>
            <w:tcMar>
              <w:top w:w="113" w:type="dxa"/>
              <w:left w:w="113" w:type="dxa"/>
              <w:bottom w:w="113" w:type="dxa"/>
              <w:right w:w="113" w:type="dxa"/>
            </w:tcMar>
            <w:hideMark/>
          </w:tcPr>
          <w:p w14:paraId="128516D3" w14:textId="4B678AC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-0.00396 – 0.00994</w:t>
            </w:r>
          </w:p>
        </w:tc>
        <w:tc>
          <w:tcPr>
            <w:tcW w:w="0" w:type="auto"/>
            <w:tcMar>
              <w:top w:w="113" w:type="dxa"/>
              <w:left w:w="113" w:type="dxa"/>
              <w:bottom w:w="113" w:type="dxa"/>
              <w:right w:w="113" w:type="dxa"/>
            </w:tcMar>
            <w:hideMark/>
          </w:tcPr>
          <w:p w14:paraId="16C95B98" w14:textId="5C02446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0.400</w:t>
            </w:r>
          </w:p>
        </w:tc>
      </w:tr>
      <w:tr w:rsidR="004E7127" w:rsidRPr="000631FC" w14:paraId="73228319" w14:textId="77777777" w:rsidTr="004E7127">
        <w:tc>
          <w:tcPr>
            <w:tcW w:w="0" w:type="auto"/>
            <w:tcMar>
              <w:top w:w="113" w:type="dxa"/>
              <w:left w:w="113" w:type="dxa"/>
              <w:bottom w:w="113" w:type="dxa"/>
              <w:right w:w="113" w:type="dxa"/>
            </w:tcMar>
            <w:hideMark/>
          </w:tcPr>
          <w:p w14:paraId="2FC11D0F" w14:textId="017AB166"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White (%)</w:t>
            </w:r>
          </w:p>
        </w:tc>
        <w:tc>
          <w:tcPr>
            <w:tcW w:w="1160" w:type="dxa"/>
            <w:gridSpan w:val="2"/>
            <w:tcMar>
              <w:top w:w="113" w:type="dxa"/>
              <w:left w:w="113" w:type="dxa"/>
              <w:bottom w:w="113" w:type="dxa"/>
              <w:right w:w="113" w:type="dxa"/>
            </w:tcMar>
            <w:hideMark/>
          </w:tcPr>
          <w:p w14:paraId="1E848345" w14:textId="44AEA08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0.00247</w:t>
            </w:r>
          </w:p>
        </w:tc>
        <w:tc>
          <w:tcPr>
            <w:tcW w:w="2933" w:type="dxa"/>
            <w:tcMar>
              <w:top w:w="113" w:type="dxa"/>
              <w:left w:w="113" w:type="dxa"/>
              <w:bottom w:w="113" w:type="dxa"/>
              <w:right w:w="113" w:type="dxa"/>
            </w:tcMar>
            <w:hideMark/>
          </w:tcPr>
          <w:p w14:paraId="5CACB818" w14:textId="36E8946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-0.00161 – 0.00654</w:t>
            </w:r>
          </w:p>
        </w:tc>
        <w:tc>
          <w:tcPr>
            <w:tcW w:w="0" w:type="auto"/>
            <w:tcMar>
              <w:top w:w="113" w:type="dxa"/>
              <w:left w:w="113" w:type="dxa"/>
              <w:bottom w:w="113" w:type="dxa"/>
              <w:right w:w="113" w:type="dxa"/>
            </w:tcMar>
            <w:hideMark/>
          </w:tcPr>
          <w:p w14:paraId="691F5C3D" w14:textId="5A4BEAC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0.237</w:t>
            </w:r>
          </w:p>
        </w:tc>
      </w:tr>
      <w:tr w:rsidR="004E7127" w:rsidRPr="000631FC" w14:paraId="072DF4DE" w14:textId="77777777" w:rsidTr="004E7127">
        <w:tc>
          <w:tcPr>
            <w:tcW w:w="0" w:type="auto"/>
            <w:tcMar>
              <w:top w:w="113" w:type="dxa"/>
              <w:left w:w="113" w:type="dxa"/>
              <w:bottom w:w="113" w:type="dxa"/>
              <w:right w:w="113" w:type="dxa"/>
            </w:tcMar>
            <w:hideMark/>
          </w:tcPr>
          <w:p w14:paraId="0E0C485A" w14:textId="18CF3B66" w:rsidR="004E7127" w:rsidRPr="000631FC" w:rsidRDefault="004E7127" w:rsidP="004E7127">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Education less than high school (%)</w:t>
            </w:r>
            <w:r w:rsidRPr="000631FC">
              <w:rPr>
                <w:rFonts w:ascii="Times New Roman" w:eastAsia="Times New Roman" w:hAnsi="Times New Roman" w:cs="Times New Roman"/>
                <w:sz w:val="24"/>
                <w:szCs w:val="24"/>
                <w:lang w:val="en-US" w:eastAsia="de-DE"/>
              </w:rPr>
              <w:br/>
            </w:r>
          </w:p>
        </w:tc>
        <w:tc>
          <w:tcPr>
            <w:tcW w:w="1160" w:type="dxa"/>
            <w:gridSpan w:val="2"/>
            <w:tcMar>
              <w:top w:w="113" w:type="dxa"/>
              <w:left w:w="113" w:type="dxa"/>
              <w:bottom w:w="113" w:type="dxa"/>
              <w:right w:w="113" w:type="dxa"/>
            </w:tcMar>
            <w:hideMark/>
          </w:tcPr>
          <w:p w14:paraId="08405853" w14:textId="799C4B3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27892166" w14:textId="02AFCD0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52D31734" w14:textId="2D83756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0.572</w:t>
            </w:r>
          </w:p>
        </w:tc>
      </w:tr>
      <w:tr w:rsidR="004E7127" w:rsidRPr="000631FC" w14:paraId="14F00391" w14:textId="77777777" w:rsidTr="004E7127">
        <w:tc>
          <w:tcPr>
            <w:tcW w:w="0" w:type="auto"/>
            <w:tcMar>
              <w:top w:w="113" w:type="dxa"/>
              <w:left w:w="113" w:type="dxa"/>
              <w:bottom w:w="113" w:type="dxa"/>
              <w:right w:w="113" w:type="dxa"/>
            </w:tcMar>
            <w:hideMark/>
          </w:tcPr>
          <w:p w14:paraId="0917AD5D" w14:textId="7EF4A870"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Poverty (%)</w:t>
            </w:r>
          </w:p>
        </w:tc>
        <w:tc>
          <w:tcPr>
            <w:tcW w:w="1160" w:type="dxa"/>
            <w:gridSpan w:val="2"/>
            <w:tcMar>
              <w:top w:w="113" w:type="dxa"/>
              <w:left w:w="113" w:type="dxa"/>
              <w:bottom w:w="113" w:type="dxa"/>
              <w:right w:w="113" w:type="dxa"/>
            </w:tcMar>
            <w:hideMark/>
          </w:tcPr>
          <w:p w14:paraId="6C626B8D" w14:textId="3EC4D56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-0.00037</w:t>
            </w:r>
          </w:p>
        </w:tc>
        <w:tc>
          <w:tcPr>
            <w:tcW w:w="2933" w:type="dxa"/>
            <w:tcMar>
              <w:top w:w="113" w:type="dxa"/>
              <w:left w:w="113" w:type="dxa"/>
              <w:bottom w:w="113" w:type="dxa"/>
              <w:right w:w="113" w:type="dxa"/>
            </w:tcMar>
            <w:hideMark/>
          </w:tcPr>
          <w:p w14:paraId="16C4E4DB" w14:textId="06C0C4A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-0.00090 – 0.00017</w:t>
            </w:r>
          </w:p>
        </w:tc>
        <w:tc>
          <w:tcPr>
            <w:tcW w:w="0" w:type="auto"/>
            <w:tcMar>
              <w:top w:w="113" w:type="dxa"/>
              <w:left w:w="113" w:type="dxa"/>
              <w:bottom w:w="113" w:type="dxa"/>
              <w:right w:w="113" w:type="dxa"/>
            </w:tcMar>
            <w:hideMark/>
          </w:tcPr>
          <w:p w14:paraId="1A8C56F0" w14:textId="44F5EE5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0.180</w:t>
            </w:r>
          </w:p>
        </w:tc>
      </w:tr>
      <w:tr w:rsidR="004E7127" w:rsidRPr="000631FC" w14:paraId="4349E5AC" w14:textId="77777777" w:rsidTr="004E7127">
        <w:tc>
          <w:tcPr>
            <w:tcW w:w="0" w:type="auto"/>
            <w:tcMar>
              <w:top w:w="113" w:type="dxa"/>
              <w:left w:w="113" w:type="dxa"/>
              <w:bottom w:w="113" w:type="dxa"/>
              <w:right w:w="113" w:type="dxa"/>
            </w:tcMar>
            <w:hideMark/>
          </w:tcPr>
          <w:p w14:paraId="56C58500" w14:textId="5CC0A117"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Unemployed (%)</w:t>
            </w:r>
          </w:p>
        </w:tc>
        <w:tc>
          <w:tcPr>
            <w:tcW w:w="1160" w:type="dxa"/>
            <w:gridSpan w:val="2"/>
            <w:tcMar>
              <w:top w:w="113" w:type="dxa"/>
              <w:left w:w="113" w:type="dxa"/>
              <w:bottom w:w="113" w:type="dxa"/>
              <w:right w:w="113" w:type="dxa"/>
            </w:tcMar>
            <w:hideMark/>
          </w:tcPr>
          <w:p w14:paraId="728C3B18" w14:textId="6B7C237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0.00085</w:t>
            </w:r>
          </w:p>
        </w:tc>
        <w:tc>
          <w:tcPr>
            <w:tcW w:w="2933" w:type="dxa"/>
            <w:tcMar>
              <w:top w:w="113" w:type="dxa"/>
              <w:left w:w="113" w:type="dxa"/>
              <w:bottom w:w="113" w:type="dxa"/>
              <w:right w:w="113" w:type="dxa"/>
            </w:tcMar>
            <w:hideMark/>
          </w:tcPr>
          <w:p w14:paraId="08C40FB8" w14:textId="0943F0E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-0.00109 – 0.00279</w:t>
            </w:r>
          </w:p>
        </w:tc>
        <w:tc>
          <w:tcPr>
            <w:tcW w:w="0" w:type="auto"/>
            <w:tcMar>
              <w:top w:w="113" w:type="dxa"/>
              <w:left w:w="113" w:type="dxa"/>
              <w:bottom w:w="113" w:type="dxa"/>
              <w:right w:w="113" w:type="dxa"/>
            </w:tcMar>
            <w:hideMark/>
          </w:tcPr>
          <w:p w14:paraId="649BAD08" w14:textId="6DBD41F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0.390</w:t>
            </w:r>
          </w:p>
        </w:tc>
      </w:tr>
      <w:tr w:rsidR="004E7127" w:rsidRPr="000631FC" w14:paraId="4BEC87CB" w14:textId="77777777" w:rsidTr="004E7127">
        <w:tc>
          <w:tcPr>
            <w:tcW w:w="0" w:type="auto"/>
            <w:tcMar>
              <w:top w:w="113" w:type="dxa"/>
              <w:left w:w="113" w:type="dxa"/>
              <w:bottom w:w="113" w:type="dxa"/>
              <w:right w:w="113" w:type="dxa"/>
            </w:tcMar>
            <w:hideMark/>
          </w:tcPr>
          <w:p w14:paraId="04FCC231" w14:textId="15457964"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0 to 19 (%)</w:t>
            </w:r>
          </w:p>
        </w:tc>
        <w:tc>
          <w:tcPr>
            <w:tcW w:w="1160" w:type="dxa"/>
            <w:gridSpan w:val="2"/>
            <w:tcMar>
              <w:top w:w="113" w:type="dxa"/>
              <w:left w:w="113" w:type="dxa"/>
              <w:bottom w:w="113" w:type="dxa"/>
              <w:right w:w="113" w:type="dxa"/>
            </w:tcMar>
            <w:hideMark/>
          </w:tcPr>
          <w:p w14:paraId="6FB288F2" w14:textId="46215383"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2F3CA021" w14:textId="5DE55B6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43D7E156" w14:textId="32E568BA"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0.801</w:t>
            </w:r>
          </w:p>
        </w:tc>
      </w:tr>
      <w:tr w:rsidR="004E7127" w:rsidRPr="000631FC" w14:paraId="61503A53" w14:textId="77777777" w:rsidTr="004E7127">
        <w:tc>
          <w:tcPr>
            <w:tcW w:w="0" w:type="auto"/>
            <w:tcMar>
              <w:top w:w="113" w:type="dxa"/>
              <w:left w:w="113" w:type="dxa"/>
              <w:bottom w:w="113" w:type="dxa"/>
              <w:right w:w="113" w:type="dxa"/>
            </w:tcMar>
            <w:hideMark/>
          </w:tcPr>
          <w:p w14:paraId="4C2251A2" w14:textId="341D49E2"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65 or over (%)</w:t>
            </w:r>
          </w:p>
        </w:tc>
        <w:tc>
          <w:tcPr>
            <w:tcW w:w="1160" w:type="dxa"/>
            <w:gridSpan w:val="2"/>
            <w:tcMar>
              <w:top w:w="113" w:type="dxa"/>
              <w:left w:w="113" w:type="dxa"/>
              <w:bottom w:w="113" w:type="dxa"/>
              <w:right w:w="113" w:type="dxa"/>
            </w:tcMar>
            <w:hideMark/>
          </w:tcPr>
          <w:p w14:paraId="5BA29A5A" w14:textId="6E6A202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08085B1F" w14:textId="2650193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439C615E" w14:textId="53979F8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0.948</w:t>
            </w:r>
          </w:p>
        </w:tc>
      </w:tr>
      <w:tr w:rsidR="004E7127" w:rsidRPr="000631FC" w14:paraId="7DAFEC92" w14:textId="77777777" w:rsidTr="004E7127">
        <w:tc>
          <w:tcPr>
            <w:tcW w:w="0" w:type="auto"/>
            <w:tcMar>
              <w:top w:w="113" w:type="dxa"/>
              <w:left w:w="113" w:type="dxa"/>
              <w:bottom w:w="113" w:type="dxa"/>
              <w:right w:w="113" w:type="dxa"/>
            </w:tcMar>
            <w:hideMark/>
          </w:tcPr>
          <w:p w14:paraId="5DDA608F" w14:textId="00CA7E4D"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Northeast</w:t>
            </w:r>
          </w:p>
        </w:tc>
        <w:tc>
          <w:tcPr>
            <w:tcW w:w="1160" w:type="dxa"/>
            <w:gridSpan w:val="2"/>
            <w:tcMar>
              <w:top w:w="113" w:type="dxa"/>
              <w:left w:w="113" w:type="dxa"/>
              <w:bottom w:w="113" w:type="dxa"/>
              <w:right w:w="113" w:type="dxa"/>
            </w:tcMar>
            <w:hideMark/>
          </w:tcPr>
          <w:p w14:paraId="1DB7490F" w14:textId="07370DEA"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0.00004</w:t>
            </w:r>
          </w:p>
        </w:tc>
        <w:tc>
          <w:tcPr>
            <w:tcW w:w="2933" w:type="dxa"/>
            <w:tcMar>
              <w:top w:w="113" w:type="dxa"/>
              <w:left w:w="113" w:type="dxa"/>
              <w:bottom w:w="113" w:type="dxa"/>
              <w:right w:w="113" w:type="dxa"/>
            </w:tcMar>
            <w:hideMark/>
          </w:tcPr>
          <w:p w14:paraId="1B7A88A3" w14:textId="13E55569"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-0.00016 – 0.00023</w:t>
            </w:r>
          </w:p>
        </w:tc>
        <w:tc>
          <w:tcPr>
            <w:tcW w:w="0" w:type="auto"/>
            <w:tcMar>
              <w:top w:w="113" w:type="dxa"/>
              <w:left w:w="113" w:type="dxa"/>
              <w:bottom w:w="113" w:type="dxa"/>
              <w:right w:w="113" w:type="dxa"/>
            </w:tcMar>
            <w:hideMark/>
          </w:tcPr>
          <w:p w14:paraId="46D893EE" w14:textId="0ADFC61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0.696</w:t>
            </w:r>
          </w:p>
        </w:tc>
      </w:tr>
      <w:tr w:rsidR="004E7127" w:rsidRPr="000631FC" w14:paraId="377218FA" w14:textId="77777777" w:rsidTr="004E7127">
        <w:tc>
          <w:tcPr>
            <w:tcW w:w="0" w:type="auto"/>
            <w:tcMar>
              <w:top w:w="113" w:type="dxa"/>
              <w:left w:w="113" w:type="dxa"/>
              <w:bottom w:w="113" w:type="dxa"/>
              <w:right w:w="113" w:type="dxa"/>
            </w:tcMar>
            <w:hideMark/>
          </w:tcPr>
          <w:p w14:paraId="61139872" w14:textId="2A1A7D67"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South</w:t>
            </w:r>
          </w:p>
        </w:tc>
        <w:tc>
          <w:tcPr>
            <w:tcW w:w="1160" w:type="dxa"/>
            <w:gridSpan w:val="2"/>
            <w:tcMar>
              <w:top w:w="113" w:type="dxa"/>
              <w:left w:w="113" w:type="dxa"/>
              <w:bottom w:w="113" w:type="dxa"/>
              <w:right w:w="113" w:type="dxa"/>
            </w:tcMar>
            <w:hideMark/>
          </w:tcPr>
          <w:p w14:paraId="47CC2D8C" w14:textId="6384B0E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-0.00019</w:t>
            </w:r>
          </w:p>
        </w:tc>
        <w:tc>
          <w:tcPr>
            <w:tcW w:w="2933" w:type="dxa"/>
            <w:tcMar>
              <w:top w:w="113" w:type="dxa"/>
              <w:left w:w="113" w:type="dxa"/>
              <w:bottom w:w="113" w:type="dxa"/>
              <w:right w:w="113" w:type="dxa"/>
            </w:tcMar>
            <w:hideMark/>
          </w:tcPr>
          <w:p w14:paraId="7EFC2F6B" w14:textId="076303F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-0.00036 – -0.00002</w:t>
            </w:r>
          </w:p>
        </w:tc>
        <w:tc>
          <w:tcPr>
            <w:tcW w:w="0" w:type="auto"/>
            <w:tcMar>
              <w:top w:w="113" w:type="dxa"/>
              <w:left w:w="113" w:type="dxa"/>
              <w:bottom w:w="113" w:type="dxa"/>
              <w:right w:w="113" w:type="dxa"/>
            </w:tcMar>
            <w:hideMark/>
          </w:tcPr>
          <w:p w14:paraId="2BB41ABA" w14:textId="0093154F"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Style w:val="Strong"/>
                <w:rFonts w:ascii="Times New Roman" w:eastAsia="Times New Roman" w:hAnsi="Times New Roman" w:cs="Times New Roman"/>
              </w:rPr>
              <w:t>0.030</w:t>
            </w:r>
          </w:p>
        </w:tc>
      </w:tr>
      <w:tr w:rsidR="004E7127" w:rsidRPr="000631FC" w14:paraId="2208F63B" w14:textId="77777777" w:rsidTr="004E7127">
        <w:tc>
          <w:tcPr>
            <w:tcW w:w="0" w:type="auto"/>
            <w:tcMar>
              <w:top w:w="113" w:type="dxa"/>
              <w:left w:w="113" w:type="dxa"/>
              <w:bottom w:w="113" w:type="dxa"/>
              <w:right w:w="113" w:type="dxa"/>
            </w:tcMar>
            <w:hideMark/>
          </w:tcPr>
          <w:p w14:paraId="2F350CA2" w14:textId="7F179633"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West</w:t>
            </w:r>
          </w:p>
        </w:tc>
        <w:tc>
          <w:tcPr>
            <w:tcW w:w="1160" w:type="dxa"/>
            <w:gridSpan w:val="2"/>
            <w:tcMar>
              <w:top w:w="113" w:type="dxa"/>
              <w:left w:w="113" w:type="dxa"/>
              <w:bottom w:w="113" w:type="dxa"/>
              <w:right w:w="113" w:type="dxa"/>
            </w:tcMar>
            <w:hideMark/>
          </w:tcPr>
          <w:p w14:paraId="21326637" w14:textId="4C5F300E"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0.00013</w:t>
            </w:r>
          </w:p>
        </w:tc>
        <w:tc>
          <w:tcPr>
            <w:tcW w:w="2933" w:type="dxa"/>
            <w:tcMar>
              <w:top w:w="113" w:type="dxa"/>
              <w:left w:w="113" w:type="dxa"/>
              <w:bottom w:w="113" w:type="dxa"/>
              <w:right w:w="113" w:type="dxa"/>
            </w:tcMar>
            <w:hideMark/>
          </w:tcPr>
          <w:p w14:paraId="25880AC6" w14:textId="358FF60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-0.00008 – 0.00034</w:t>
            </w:r>
          </w:p>
        </w:tc>
        <w:tc>
          <w:tcPr>
            <w:tcW w:w="0" w:type="auto"/>
            <w:tcMar>
              <w:top w:w="113" w:type="dxa"/>
              <w:left w:w="113" w:type="dxa"/>
              <w:bottom w:w="113" w:type="dxa"/>
              <w:right w:w="113" w:type="dxa"/>
            </w:tcMar>
            <w:hideMark/>
          </w:tcPr>
          <w:p w14:paraId="6F1209A5" w14:textId="76C32E7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0.230</w:t>
            </w:r>
          </w:p>
        </w:tc>
      </w:tr>
      <w:tr w:rsidR="000631FC" w:rsidRPr="000631FC" w14:paraId="06B4D733" w14:textId="77777777" w:rsidTr="000F3D9E">
        <w:tc>
          <w:tcPr>
            <w:tcW w:w="0" w:type="auto"/>
            <w:tcBorders>
              <w:top w:val="single" w:sz="6" w:space="0" w:color="auto"/>
            </w:tcBorders>
            <w:tcMar>
              <w:top w:w="57" w:type="dxa"/>
              <w:left w:w="113" w:type="dxa"/>
              <w:bottom w:w="57" w:type="dxa"/>
              <w:right w:w="113" w:type="dxa"/>
            </w:tcMar>
            <w:hideMark/>
          </w:tcPr>
          <w:p w14:paraId="4CDAEF81"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Observations</w:t>
            </w:r>
          </w:p>
        </w:tc>
        <w:tc>
          <w:tcPr>
            <w:tcW w:w="0" w:type="auto"/>
            <w:gridSpan w:val="4"/>
            <w:tcBorders>
              <w:top w:val="single" w:sz="6" w:space="0" w:color="auto"/>
            </w:tcBorders>
            <w:tcMar>
              <w:top w:w="57" w:type="dxa"/>
              <w:left w:w="113" w:type="dxa"/>
              <w:bottom w:w="57" w:type="dxa"/>
              <w:right w:w="113" w:type="dxa"/>
            </w:tcMar>
            <w:hideMark/>
          </w:tcPr>
          <w:p w14:paraId="0622F8F1"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205</w:t>
            </w:r>
          </w:p>
        </w:tc>
      </w:tr>
      <w:tr w:rsidR="000631FC" w:rsidRPr="000631FC" w14:paraId="2195B07B" w14:textId="77777777" w:rsidTr="000F3D9E">
        <w:tc>
          <w:tcPr>
            <w:tcW w:w="0" w:type="auto"/>
            <w:tcMar>
              <w:top w:w="57" w:type="dxa"/>
              <w:left w:w="113" w:type="dxa"/>
              <w:bottom w:w="57" w:type="dxa"/>
              <w:right w:w="113" w:type="dxa"/>
            </w:tcMar>
            <w:hideMark/>
          </w:tcPr>
          <w:p w14:paraId="62B061FE"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Nagelkerke's R</w:t>
            </w:r>
            <w:r w:rsidRPr="000631FC">
              <w:rPr>
                <w:rFonts w:ascii="Times New Roman" w:eastAsia="Times New Roman" w:hAnsi="Times New Roman" w:cs="Times New Roman"/>
                <w:sz w:val="24"/>
                <w:szCs w:val="24"/>
                <w:vertAlign w:val="superscript"/>
                <w:lang w:eastAsia="de-DE"/>
              </w:rPr>
              <w:t>2</w:t>
            </w:r>
          </w:p>
        </w:tc>
        <w:tc>
          <w:tcPr>
            <w:tcW w:w="0" w:type="auto"/>
            <w:gridSpan w:val="4"/>
            <w:tcMar>
              <w:top w:w="57" w:type="dxa"/>
              <w:left w:w="113" w:type="dxa"/>
              <w:bottom w:w="57" w:type="dxa"/>
              <w:right w:w="113" w:type="dxa"/>
            </w:tcMar>
            <w:hideMark/>
          </w:tcPr>
          <w:p w14:paraId="23AC3C65" w14:textId="48797D5A"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0.08</w:t>
            </w:r>
            <w:r w:rsidR="004E7127">
              <w:rPr>
                <w:rFonts w:ascii="Times New Roman" w:eastAsia="Times New Roman" w:hAnsi="Times New Roman" w:cs="Times New Roman"/>
                <w:sz w:val="24"/>
                <w:szCs w:val="24"/>
                <w:lang w:eastAsia="de-DE"/>
              </w:rPr>
              <w:t>6</w:t>
            </w:r>
          </w:p>
        </w:tc>
      </w:tr>
    </w:tbl>
    <w:p w14:paraId="31136609" w14:textId="77777777" w:rsidR="000631FC" w:rsidRDefault="000631FC" w:rsidP="005076A2">
      <w:pPr>
        <w:rPr>
          <w:rFonts w:ascii="Times New Roman" w:hAnsi="Times New Roman" w:cs="Times New Roman"/>
          <w:b/>
          <w:sz w:val="24"/>
          <w:szCs w:val="24"/>
          <w:lang w:val="en-US"/>
        </w:rPr>
      </w:pPr>
    </w:p>
    <w:p w14:paraId="48A8A0C1"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F99206D" w14:textId="006230A1"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6f. Calcium.</w:t>
      </w:r>
    </w:p>
    <w:tbl>
      <w:tblPr>
        <w:tblW w:w="0" w:type="auto"/>
        <w:tblCellMar>
          <w:top w:w="15" w:type="dxa"/>
          <w:left w:w="15" w:type="dxa"/>
          <w:bottom w:w="15" w:type="dxa"/>
          <w:right w:w="15" w:type="dxa"/>
        </w:tblCellMar>
        <w:tblLook w:val="04A0" w:firstRow="1" w:lastRow="0" w:firstColumn="1" w:lastColumn="0" w:noHBand="0" w:noVBand="1"/>
      </w:tblPr>
      <w:tblGrid>
        <w:gridCol w:w="4454"/>
        <w:gridCol w:w="964"/>
        <w:gridCol w:w="2596"/>
        <w:gridCol w:w="1035"/>
      </w:tblGrid>
      <w:tr w:rsidR="000631FC" w:rsidRPr="00424EEC" w14:paraId="6E41165B" w14:textId="77777777" w:rsidTr="004E7127">
        <w:tc>
          <w:tcPr>
            <w:tcW w:w="4454" w:type="dxa"/>
            <w:tcBorders>
              <w:top w:val="double" w:sz="6" w:space="0" w:color="auto"/>
            </w:tcBorders>
            <w:tcMar>
              <w:top w:w="113" w:type="dxa"/>
              <w:left w:w="113" w:type="dxa"/>
              <w:bottom w:w="113" w:type="dxa"/>
              <w:right w:w="113" w:type="dxa"/>
            </w:tcMar>
            <w:vAlign w:val="center"/>
            <w:hideMark/>
          </w:tcPr>
          <w:p w14:paraId="3595DC37" w14:textId="77777777" w:rsidR="000631FC" w:rsidRPr="00424EEC" w:rsidRDefault="000631FC" w:rsidP="000631FC">
            <w:pPr>
              <w:spacing w:after="0" w:line="240" w:lineRule="auto"/>
              <w:rPr>
                <w:rFonts w:ascii="Times New Roman" w:eastAsia="Times New Roman" w:hAnsi="Times New Roman" w:cs="Times New Roman"/>
                <w:b/>
                <w:bCs/>
                <w:lang w:eastAsia="de-DE"/>
              </w:rPr>
            </w:pPr>
            <w:r w:rsidRPr="00424EEC">
              <w:rPr>
                <w:rFonts w:ascii="Times New Roman" w:eastAsia="Times New Roman" w:hAnsi="Times New Roman" w:cs="Times New Roman"/>
                <w:b/>
                <w:bCs/>
                <w:lang w:eastAsia="de-DE"/>
              </w:rPr>
              <w:t> </w:t>
            </w:r>
          </w:p>
        </w:tc>
        <w:tc>
          <w:tcPr>
            <w:tcW w:w="4595" w:type="dxa"/>
            <w:gridSpan w:val="3"/>
            <w:tcBorders>
              <w:top w:val="double" w:sz="6" w:space="0" w:color="auto"/>
            </w:tcBorders>
            <w:tcMar>
              <w:top w:w="113" w:type="dxa"/>
              <w:left w:w="113" w:type="dxa"/>
              <w:bottom w:w="113" w:type="dxa"/>
              <w:right w:w="113" w:type="dxa"/>
            </w:tcMar>
            <w:vAlign w:val="center"/>
            <w:hideMark/>
          </w:tcPr>
          <w:p w14:paraId="512E09F6" w14:textId="77777777" w:rsidR="000631FC" w:rsidRPr="00424EEC" w:rsidRDefault="000631FC" w:rsidP="000631FC">
            <w:pPr>
              <w:spacing w:after="0" w:line="240" w:lineRule="auto"/>
              <w:jc w:val="center"/>
              <w:rPr>
                <w:rFonts w:ascii="Times New Roman" w:eastAsia="Times New Roman" w:hAnsi="Times New Roman" w:cs="Times New Roman"/>
                <w:b/>
                <w:bCs/>
                <w:lang w:eastAsia="de-DE"/>
              </w:rPr>
            </w:pPr>
            <w:r w:rsidRPr="00424EEC">
              <w:rPr>
                <w:rFonts w:ascii="Times New Roman" w:eastAsia="Times New Roman" w:hAnsi="Times New Roman" w:cs="Times New Roman"/>
                <w:b/>
                <w:bCs/>
                <w:lang w:eastAsia="de-DE"/>
              </w:rPr>
              <w:t>Calcium</w:t>
            </w:r>
          </w:p>
        </w:tc>
      </w:tr>
      <w:tr w:rsidR="000631FC" w:rsidRPr="00424EEC" w14:paraId="407DA45D" w14:textId="77777777" w:rsidTr="004E7127">
        <w:tc>
          <w:tcPr>
            <w:tcW w:w="4454" w:type="dxa"/>
            <w:tcBorders>
              <w:bottom w:val="single" w:sz="6" w:space="0" w:color="auto"/>
            </w:tcBorders>
            <w:vAlign w:val="center"/>
            <w:hideMark/>
          </w:tcPr>
          <w:p w14:paraId="520381CA" w14:textId="77777777" w:rsidR="000631FC" w:rsidRPr="00424EEC" w:rsidRDefault="000631FC" w:rsidP="000631FC">
            <w:pPr>
              <w:spacing w:after="0" w:line="240" w:lineRule="auto"/>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Predictors</w:t>
            </w:r>
          </w:p>
        </w:tc>
        <w:tc>
          <w:tcPr>
            <w:tcW w:w="964" w:type="dxa"/>
            <w:tcBorders>
              <w:bottom w:val="single" w:sz="6" w:space="0" w:color="auto"/>
            </w:tcBorders>
            <w:vAlign w:val="center"/>
            <w:hideMark/>
          </w:tcPr>
          <w:p w14:paraId="6B970F67"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Estimates</w:t>
            </w:r>
          </w:p>
        </w:tc>
        <w:tc>
          <w:tcPr>
            <w:tcW w:w="2596" w:type="dxa"/>
            <w:tcBorders>
              <w:bottom w:val="single" w:sz="6" w:space="0" w:color="auto"/>
            </w:tcBorders>
            <w:vAlign w:val="center"/>
            <w:hideMark/>
          </w:tcPr>
          <w:p w14:paraId="1D36C746"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CI</w:t>
            </w:r>
          </w:p>
        </w:tc>
        <w:tc>
          <w:tcPr>
            <w:tcW w:w="1035" w:type="dxa"/>
            <w:tcBorders>
              <w:bottom w:val="single" w:sz="6" w:space="0" w:color="auto"/>
            </w:tcBorders>
            <w:vAlign w:val="center"/>
            <w:hideMark/>
          </w:tcPr>
          <w:p w14:paraId="59878EC9"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p</w:t>
            </w:r>
          </w:p>
        </w:tc>
      </w:tr>
      <w:tr w:rsidR="00424EEC" w:rsidRPr="00424EEC" w14:paraId="66AFC8F9" w14:textId="77777777" w:rsidTr="004E7127">
        <w:tc>
          <w:tcPr>
            <w:tcW w:w="4454" w:type="dxa"/>
            <w:tcMar>
              <w:top w:w="113" w:type="dxa"/>
              <w:left w:w="113" w:type="dxa"/>
              <w:bottom w:w="113" w:type="dxa"/>
              <w:right w:w="113" w:type="dxa"/>
            </w:tcMar>
            <w:hideMark/>
          </w:tcPr>
          <w:p w14:paraId="2F175A7B" w14:textId="5C21C8E8"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Intercept (Midwest)</w:t>
            </w:r>
          </w:p>
        </w:tc>
        <w:tc>
          <w:tcPr>
            <w:tcW w:w="964" w:type="dxa"/>
            <w:tcMar>
              <w:top w:w="113" w:type="dxa"/>
              <w:left w:w="113" w:type="dxa"/>
              <w:bottom w:w="113" w:type="dxa"/>
              <w:right w:w="113" w:type="dxa"/>
            </w:tcMar>
            <w:hideMark/>
          </w:tcPr>
          <w:p w14:paraId="2DF6DA3B" w14:textId="7519144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-0.0533</w:t>
            </w:r>
          </w:p>
        </w:tc>
        <w:tc>
          <w:tcPr>
            <w:tcW w:w="2596" w:type="dxa"/>
            <w:tcMar>
              <w:top w:w="113" w:type="dxa"/>
              <w:left w:w="113" w:type="dxa"/>
              <w:bottom w:w="113" w:type="dxa"/>
              <w:right w:w="113" w:type="dxa"/>
            </w:tcMar>
            <w:hideMark/>
          </w:tcPr>
          <w:p w14:paraId="721ED017" w14:textId="4481366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-0.4048 – 0.2981</w:t>
            </w:r>
          </w:p>
        </w:tc>
        <w:tc>
          <w:tcPr>
            <w:tcW w:w="1035" w:type="dxa"/>
            <w:tcMar>
              <w:top w:w="113" w:type="dxa"/>
              <w:left w:w="113" w:type="dxa"/>
              <w:bottom w:w="113" w:type="dxa"/>
              <w:right w:w="113" w:type="dxa"/>
            </w:tcMar>
            <w:hideMark/>
          </w:tcPr>
          <w:p w14:paraId="2321E736" w14:textId="2632F3B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0.766</w:t>
            </w:r>
          </w:p>
        </w:tc>
      </w:tr>
      <w:tr w:rsidR="00424EEC" w:rsidRPr="00424EEC" w14:paraId="1A7441CC" w14:textId="77777777" w:rsidTr="004E7127">
        <w:tc>
          <w:tcPr>
            <w:tcW w:w="4454" w:type="dxa"/>
            <w:tcMar>
              <w:top w:w="113" w:type="dxa"/>
              <w:left w:w="113" w:type="dxa"/>
              <w:bottom w:w="113" w:type="dxa"/>
              <w:right w:w="113" w:type="dxa"/>
            </w:tcMar>
            <w:hideMark/>
          </w:tcPr>
          <w:p w14:paraId="00BDE7CE" w14:textId="41C8B13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Racial isolation quintile</w:t>
            </w:r>
          </w:p>
        </w:tc>
        <w:tc>
          <w:tcPr>
            <w:tcW w:w="964" w:type="dxa"/>
            <w:tcMar>
              <w:top w:w="113" w:type="dxa"/>
              <w:left w:w="113" w:type="dxa"/>
              <w:bottom w:w="113" w:type="dxa"/>
              <w:right w:w="113" w:type="dxa"/>
            </w:tcMar>
            <w:hideMark/>
          </w:tcPr>
          <w:p w14:paraId="10727A2B" w14:textId="44F1B889"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-0.0155</w:t>
            </w:r>
          </w:p>
        </w:tc>
        <w:tc>
          <w:tcPr>
            <w:tcW w:w="2596" w:type="dxa"/>
            <w:tcMar>
              <w:top w:w="113" w:type="dxa"/>
              <w:left w:w="113" w:type="dxa"/>
              <w:bottom w:w="113" w:type="dxa"/>
              <w:right w:w="113" w:type="dxa"/>
            </w:tcMar>
            <w:hideMark/>
          </w:tcPr>
          <w:p w14:paraId="12C57D2C" w14:textId="49600670"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-0.0247 – -0.0062</w:t>
            </w:r>
          </w:p>
        </w:tc>
        <w:tc>
          <w:tcPr>
            <w:tcW w:w="1035" w:type="dxa"/>
            <w:tcMar>
              <w:top w:w="113" w:type="dxa"/>
              <w:left w:w="113" w:type="dxa"/>
              <w:bottom w:w="113" w:type="dxa"/>
              <w:right w:w="113" w:type="dxa"/>
            </w:tcMar>
            <w:hideMark/>
          </w:tcPr>
          <w:p w14:paraId="3D5FACC8" w14:textId="571F6D1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0.001</w:t>
            </w:r>
          </w:p>
        </w:tc>
      </w:tr>
      <w:tr w:rsidR="00424EEC" w:rsidRPr="00424EEC" w14:paraId="5940A19B" w14:textId="77777777" w:rsidTr="004E7127">
        <w:tc>
          <w:tcPr>
            <w:tcW w:w="4454" w:type="dxa"/>
            <w:tcMar>
              <w:top w:w="113" w:type="dxa"/>
              <w:left w:w="113" w:type="dxa"/>
              <w:bottom w:w="113" w:type="dxa"/>
              <w:right w:w="113" w:type="dxa"/>
            </w:tcMar>
            <w:hideMark/>
          </w:tcPr>
          <w:p w14:paraId="790CF5B0" w14:textId="37881334"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Black or African American (%)</w:t>
            </w:r>
          </w:p>
        </w:tc>
        <w:tc>
          <w:tcPr>
            <w:tcW w:w="964" w:type="dxa"/>
            <w:tcMar>
              <w:top w:w="113" w:type="dxa"/>
              <w:left w:w="113" w:type="dxa"/>
              <w:bottom w:w="113" w:type="dxa"/>
              <w:right w:w="113" w:type="dxa"/>
            </w:tcMar>
            <w:hideMark/>
          </w:tcPr>
          <w:p w14:paraId="013A6531" w14:textId="26E0AEC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0.1779</w:t>
            </w:r>
          </w:p>
        </w:tc>
        <w:tc>
          <w:tcPr>
            <w:tcW w:w="2596" w:type="dxa"/>
            <w:tcMar>
              <w:top w:w="113" w:type="dxa"/>
              <w:left w:w="113" w:type="dxa"/>
              <w:bottom w:w="113" w:type="dxa"/>
              <w:right w:w="113" w:type="dxa"/>
            </w:tcMar>
            <w:hideMark/>
          </w:tcPr>
          <w:p w14:paraId="3848ACD8" w14:textId="7F81A58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-0.1770 – 0.5329</w:t>
            </w:r>
          </w:p>
        </w:tc>
        <w:tc>
          <w:tcPr>
            <w:tcW w:w="1035" w:type="dxa"/>
            <w:tcMar>
              <w:top w:w="113" w:type="dxa"/>
              <w:left w:w="113" w:type="dxa"/>
              <w:bottom w:w="113" w:type="dxa"/>
              <w:right w:w="113" w:type="dxa"/>
            </w:tcMar>
            <w:hideMark/>
          </w:tcPr>
          <w:p w14:paraId="571B9C1B" w14:textId="592EFD7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0.327</w:t>
            </w:r>
          </w:p>
        </w:tc>
      </w:tr>
      <w:tr w:rsidR="00424EEC" w:rsidRPr="00424EEC" w14:paraId="4B025EC1" w14:textId="77777777" w:rsidTr="004E7127">
        <w:tc>
          <w:tcPr>
            <w:tcW w:w="4454" w:type="dxa"/>
            <w:tcMar>
              <w:top w:w="113" w:type="dxa"/>
              <w:left w:w="113" w:type="dxa"/>
              <w:bottom w:w="113" w:type="dxa"/>
              <w:right w:w="113" w:type="dxa"/>
            </w:tcMar>
            <w:hideMark/>
          </w:tcPr>
          <w:p w14:paraId="1F84A36F" w14:textId="29C54B53"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Hispanic or Latino (%)</w:t>
            </w:r>
          </w:p>
        </w:tc>
        <w:tc>
          <w:tcPr>
            <w:tcW w:w="964" w:type="dxa"/>
            <w:tcMar>
              <w:top w:w="113" w:type="dxa"/>
              <w:left w:w="113" w:type="dxa"/>
              <w:bottom w:w="113" w:type="dxa"/>
              <w:right w:w="113" w:type="dxa"/>
            </w:tcMar>
            <w:hideMark/>
          </w:tcPr>
          <w:p w14:paraId="3E7E90EC" w14:textId="6BC8A0E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0.3436</w:t>
            </w:r>
          </w:p>
        </w:tc>
        <w:tc>
          <w:tcPr>
            <w:tcW w:w="2596" w:type="dxa"/>
            <w:tcMar>
              <w:top w:w="113" w:type="dxa"/>
              <w:left w:w="113" w:type="dxa"/>
              <w:bottom w:w="113" w:type="dxa"/>
              <w:right w:w="113" w:type="dxa"/>
            </w:tcMar>
            <w:hideMark/>
          </w:tcPr>
          <w:p w14:paraId="188A7F09" w14:textId="39249F7E"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-0.0067 – 0.6939</w:t>
            </w:r>
          </w:p>
        </w:tc>
        <w:tc>
          <w:tcPr>
            <w:tcW w:w="1035" w:type="dxa"/>
            <w:tcMar>
              <w:top w:w="113" w:type="dxa"/>
              <w:left w:w="113" w:type="dxa"/>
              <w:bottom w:w="113" w:type="dxa"/>
              <w:right w:w="113" w:type="dxa"/>
            </w:tcMar>
            <w:hideMark/>
          </w:tcPr>
          <w:p w14:paraId="143832D2" w14:textId="2FB72B1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0.056</w:t>
            </w:r>
          </w:p>
        </w:tc>
      </w:tr>
      <w:tr w:rsidR="00424EEC" w:rsidRPr="00424EEC" w14:paraId="04A8A83C" w14:textId="77777777" w:rsidTr="004E7127">
        <w:tc>
          <w:tcPr>
            <w:tcW w:w="4454" w:type="dxa"/>
            <w:tcMar>
              <w:top w:w="113" w:type="dxa"/>
              <w:left w:w="113" w:type="dxa"/>
              <w:bottom w:w="113" w:type="dxa"/>
              <w:right w:w="113" w:type="dxa"/>
            </w:tcMar>
            <w:hideMark/>
          </w:tcPr>
          <w:p w14:paraId="34FA025B" w14:textId="68913748"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Asian (%)</w:t>
            </w:r>
          </w:p>
        </w:tc>
        <w:tc>
          <w:tcPr>
            <w:tcW w:w="964" w:type="dxa"/>
            <w:tcMar>
              <w:top w:w="113" w:type="dxa"/>
              <w:left w:w="113" w:type="dxa"/>
              <w:bottom w:w="113" w:type="dxa"/>
              <w:right w:w="113" w:type="dxa"/>
            </w:tcMar>
            <w:hideMark/>
          </w:tcPr>
          <w:p w14:paraId="76393AA4" w14:textId="7E64E71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0.1934</w:t>
            </w:r>
          </w:p>
        </w:tc>
        <w:tc>
          <w:tcPr>
            <w:tcW w:w="2596" w:type="dxa"/>
            <w:tcMar>
              <w:top w:w="113" w:type="dxa"/>
              <w:left w:w="113" w:type="dxa"/>
              <w:bottom w:w="113" w:type="dxa"/>
              <w:right w:w="113" w:type="dxa"/>
            </w:tcMar>
            <w:hideMark/>
          </w:tcPr>
          <w:p w14:paraId="0C8BA0C4" w14:textId="18F9D37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-0.2113 – 0.5982</w:t>
            </w:r>
          </w:p>
        </w:tc>
        <w:tc>
          <w:tcPr>
            <w:tcW w:w="1035" w:type="dxa"/>
            <w:tcMar>
              <w:top w:w="113" w:type="dxa"/>
              <w:left w:w="113" w:type="dxa"/>
              <w:bottom w:w="113" w:type="dxa"/>
              <w:right w:w="113" w:type="dxa"/>
            </w:tcMar>
            <w:hideMark/>
          </w:tcPr>
          <w:p w14:paraId="63A323FE" w14:textId="5D1F607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0.350</w:t>
            </w:r>
          </w:p>
        </w:tc>
      </w:tr>
      <w:tr w:rsidR="00424EEC" w:rsidRPr="00424EEC" w14:paraId="40733CF7" w14:textId="77777777" w:rsidTr="004E7127">
        <w:tc>
          <w:tcPr>
            <w:tcW w:w="4454" w:type="dxa"/>
            <w:tcMar>
              <w:top w:w="113" w:type="dxa"/>
              <w:left w:w="113" w:type="dxa"/>
              <w:bottom w:w="113" w:type="dxa"/>
              <w:right w:w="113" w:type="dxa"/>
            </w:tcMar>
            <w:hideMark/>
          </w:tcPr>
          <w:p w14:paraId="554ABAEC" w14:textId="2C87E201" w:rsidR="00424EEC" w:rsidRPr="00424EEC" w:rsidRDefault="00424EEC" w:rsidP="00424EEC">
            <w:pPr>
              <w:spacing w:after="0" w:line="240" w:lineRule="auto"/>
              <w:rPr>
                <w:rFonts w:ascii="Times New Roman" w:eastAsia="Times New Roman" w:hAnsi="Times New Roman" w:cs="Times New Roman"/>
                <w:lang w:val="en-US" w:eastAsia="de-DE"/>
              </w:rPr>
            </w:pPr>
            <w:r w:rsidRPr="00424EEC">
              <w:rPr>
                <w:rFonts w:ascii="Times New Roman" w:eastAsia="Times New Roman" w:hAnsi="Times New Roman" w:cs="Times New Roman"/>
                <w:lang w:val="en-US" w:eastAsia="de-DE"/>
              </w:rPr>
              <w:t>American Indian, Alaska Native, Native Hawaiian, or Pacific Islander (%)</w:t>
            </w:r>
          </w:p>
        </w:tc>
        <w:tc>
          <w:tcPr>
            <w:tcW w:w="964" w:type="dxa"/>
            <w:tcMar>
              <w:top w:w="113" w:type="dxa"/>
              <w:left w:w="113" w:type="dxa"/>
              <w:bottom w:w="113" w:type="dxa"/>
              <w:right w:w="113" w:type="dxa"/>
            </w:tcMar>
            <w:hideMark/>
          </w:tcPr>
          <w:p w14:paraId="2EF1C142" w14:textId="07B2492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0.1544</w:t>
            </w:r>
          </w:p>
        </w:tc>
        <w:tc>
          <w:tcPr>
            <w:tcW w:w="2596" w:type="dxa"/>
            <w:tcMar>
              <w:top w:w="113" w:type="dxa"/>
              <w:left w:w="113" w:type="dxa"/>
              <w:bottom w:w="113" w:type="dxa"/>
              <w:right w:w="113" w:type="dxa"/>
            </w:tcMar>
            <w:hideMark/>
          </w:tcPr>
          <w:p w14:paraId="0B8FCC6F" w14:textId="679D52B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-0.2587 – 0.5675</w:t>
            </w:r>
          </w:p>
        </w:tc>
        <w:tc>
          <w:tcPr>
            <w:tcW w:w="1035" w:type="dxa"/>
            <w:tcMar>
              <w:top w:w="113" w:type="dxa"/>
              <w:left w:w="113" w:type="dxa"/>
              <w:bottom w:w="113" w:type="dxa"/>
              <w:right w:w="113" w:type="dxa"/>
            </w:tcMar>
            <w:hideMark/>
          </w:tcPr>
          <w:p w14:paraId="26A26E6E" w14:textId="076EB40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0.465</w:t>
            </w:r>
          </w:p>
        </w:tc>
      </w:tr>
      <w:tr w:rsidR="00424EEC" w:rsidRPr="00424EEC" w14:paraId="4701EE50" w14:textId="77777777" w:rsidTr="004E7127">
        <w:tc>
          <w:tcPr>
            <w:tcW w:w="4454" w:type="dxa"/>
            <w:tcMar>
              <w:top w:w="113" w:type="dxa"/>
              <w:left w:w="113" w:type="dxa"/>
              <w:bottom w:w="113" w:type="dxa"/>
              <w:right w:w="113" w:type="dxa"/>
            </w:tcMar>
            <w:hideMark/>
          </w:tcPr>
          <w:p w14:paraId="1FF6A2C1" w14:textId="662095D2"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White (%)</w:t>
            </w:r>
          </w:p>
        </w:tc>
        <w:tc>
          <w:tcPr>
            <w:tcW w:w="964" w:type="dxa"/>
            <w:tcMar>
              <w:top w:w="113" w:type="dxa"/>
              <w:left w:w="113" w:type="dxa"/>
              <w:bottom w:w="113" w:type="dxa"/>
              <w:right w:w="113" w:type="dxa"/>
            </w:tcMar>
            <w:hideMark/>
          </w:tcPr>
          <w:p w14:paraId="53CE837B" w14:textId="3B603C4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0.1437</w:t>
            </w:r>
          </w:p>
        </w:tc>
        <w:tc>
          <w:tcPr>
            <w:tcW w:w="2596" w:type="dxa"/>
            <w:tcMar>
              <w:top w:w="113" w:type="dxa"/>
              <w:left w:w="113" w:type="dxa"/>
              <w:bottom w:w="113" w:type="dxa"/>
              <w:right w:w="113" w:type="dxa"/>
            </w:tcMar>
            <w:hideMark/>
          </w:tcPr>
          <w:p w14:paraId="3496D675" w14:textId="420D007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-0.2111 – 0.4984</w:t>
            </w:r>
          </w:p>
        </w:tc>
        <w:tc>
          <w:tcPr>
            <w:tcW w:w="1035" w:type="dxa"/>
            <w:tcMar>
              <w:top w:w="113" w:type="dxa"/>
              <w:left w:w="113" w:type="dxa"/>
              <w:bottom w:w="113" w:type="dxa"/>
              <w:right w:w="113" w:type="dxa"/>
            </w:tcMar>
            <w:hideMark/>
          </w:tcPr>
          <w:p w14:paraId="19AE1901" w14:textId="62ACD15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0.428</w:t>
            </w:r>
          </w:p>
        </w:tc>
      </w:tr>
      <w:tr w:rsidR="00424EEC" w:rsidRPr="00424EEC" w14:paraId="77E221B3" w14:textId="77777777" w:rsidTr="004E7127">
        <w:tc>
          <w:tcPr>
            <w:tcW w:w="4454" w:type="dxa"/>
            <w:tcMar>
              <w:top w:w="113" w:type="dxa"/>
              <w:left w:w="113" w:type="dxa"/>
              <w:bottom w:w="113" w:type="dxa"/>
              <w:right w:w="113" w:type="dxa"/>
            </w:tcMar>
            <w:hideMark/>
          </w:tcPr>
          <w:p w14:paraId="302060AF" w14:textId="1B6521A8" w:rsidR="00424EEC" w:rsidRPr="00424EEC" w:rsidRDefault="00424EEC" w:rsidP="00424EEC">
            <w:pPr>
              <w:spacing w:after="0" w:line="240" w:lineRule="auto"/>
              <w:rPr>
                <w:rFonts w:ascii="Times New Roman" w:eastAsia="Times New Roman" w:hAnsi="Times New Roman" w:cs="Times New Roman"/>
                <w:lang w:val="en-US" w:eastAsia="de-DE"/>
              </w:rPr>
            </w:pPr>
            <w:r w:rsidRPr="00424EEC">
              <w:rPr>
                <w:rFonts w:ascii="Times New Roman" w:eastAsia="Times New Roman" w:hAnsi="Times New Roman" w:cs="Times New Roman"/>
                <w:lang w:val="en-US" w:eastAsia="de-DE"/>
              </w:rPr>
              <w:t>Education less than high school (%)</w:t>
            </w:r>
            <w:r w:rsidRPr="00424EEC">
              <w:rPr>
                <w:rFonts w:ascii="Times New Roman" w:eastAsia="Times New Roman" w:hAnsi="Times New Roman" w:cs="Times New Roman"/>
                <w:lang w:val="en-US" w:eastAsia="de-DE"/>
              </w:rPr>
              <w:br/>
            </w:r>
          </w:p>
        </w:tc>
        <w:tc>
          <w:tcPr>
            <w:tcW w:w="964" w:type="dxa"/>
            <w:tcMar>
              <w:top w:w="113" w:type="dxa"/>
              <w:left w:w="113" w:type="dxa"/>
              <w:bottom w:w="113" w:type="dxa"/>
              <w:right w:w="113" w:type="dxa"/>
            </w:tcMar>
            <w:hideMark/>
          </w:tcPr>
          <w:p w14:paraId="6529E972" w14:textId="3779CEC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13EDAC62" w14:textId="2048CB9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1FFAE9A5" w14:textId="683BB699"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0.006</w:t>
            </w:r>
          </w:p>
        </w:tc>
      </w:tr>
      <w:tr w:rsidR="00424EEC" w:rsidRPr="00424EEC" w14:paraId="46FD8762" w14:textId="77777777" w:rsidTr="004E7127">
        <w:tc>
          <w:tcPr>
            <w:tcW w:w="4454" w:type="dxa"/>
            <w:tcMar>
              <w:top w:w="113" w:type="dxa"/>
              <w:left w:w="113" w:type="dxa"/>
              <w:bottom w:w="113" w:type="dxa"/>
              <w:right w:w="113" w:type="dxa"/>
            </w:tcMar>
            <w:hideMark/>
          </w:tcPr>
          <w:p w14:paraId="3933CA29" w14:textId="041BCBD2"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Poverty (%)</w:t>
            </w:r>
          </w:p>
        </w:tc>
        <w:tc>
          <w:tcPr>
            <w:tcW w:w="964" w:type="dxa"/>
            <w:tcMar>
              <w:top w:w="113" w:type="dxa"/>
              <w:left w:w="113" w:type="dxa"/>
              <w:bottom w:w="113" w:type="dxa"/>
              <w:right w:w="113" w:type="dxa"/>
            </w:tcMar>
            <w:hideMark/>
          </w:tcPr>
          <w:p w14:paraId="12DF63BC" w14:textId="0124C10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0.1342</w:t>
            </w:r>
          </w:p>
        </w:tc>
        <w:tc>
          <w:tcPr>
            <w:tcW w:w="2596" w:type="dxa"/>
            <w:tcMar>
              <w:top w:w="113" w:type="dxa"/>
              <w:left w:w="113" w:type="dxa"/>
              <w:bottom w:w="113" w:type="dxa"/>
              <w:right w:w="113" w:type="dxa"/>
            </w:tcMar>
            <w:hideMark/>
          </w:tcPr>
          <w:p w14:paraId="1F01D8CC" w14:textId="7D58835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0.0606 – 0.2079</w:t>
            </w:r>
          </w:p>
        </w:tc>
        <w:tc>
          <w:tcPr>
            <w:tcW w:w="1035" w:type="dxa"/>
            <w:tcMar>
              <w:top w:w="113" w:type="dxa"/>
              <w:left w:w="113" w:type="dxa"/>
              <w:bottom w:w="113" w:type="dxa"/>
              <w:right w:w="113" w:type="dxa"/>
            </w:tcMar>
            <w:hideMark/>
          </w:tcPr>
          <w:p w14:paraId="24E6D81D" w14:textId="63C520C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&lt;0.001</w:t>
            </w:r>
          </w:p>
        </w:tc>
      </w:tr>
      <w:tr w:rsidR="00424EEC" w:rsidRPr="00424EEC" w14:paraId="7A052292" w14:textId="77777777" w:rsidTr="004E7127">
        <w:tc>
          <w:tcPr>
            <w:tcW w:w="4454" w:type="dxa"/>
            <w:tcMar>
              <w:top w:w="113" w:type="dxa"/>
              <w:left w:w="113" w:type="dxa"/>
              <w:bottom w:w="113" w:type="dxa"/>
              <w:right w:w="113" w:type="dxa"/>
            </w:tcMar>
            <w:hideMark/>
          </w:tcPr>
          <w:p w14:paraId="073F92F2" w14:textId="07EFABF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Unemployed (%)</w:t>
            </w:r>
          </w:p>
        </w:tc>
        <w:tc>
          <w:tcPr>
            <w:tcW w:w="964" w:type="dxa"/>
            <w:tcMar>
              <w:top w:w="113" w:type="dxa"/>
              <w:left w:w="113" w:type="dxa"/>
              <w:bottom w:w="113" w:type="dxa"/>
              <w:right w:w="113" w:type="dxa"/>
            </w:tcMar>
            <w:hideMark/>
          </w:tcPr>
          <w:p w14:paraId="2CF50750" w14:textId="14DB515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-0.3077</w:t>
            </w:r>
          </w:p>
        </w:tc>
        <w:tc>
          <w:tcPr>
            <w:tcW w:w="2596" w:type="dxa"/>
            <w:tcMar>
              <w:top w:w="113" w:type="dxa"/>
              <w:left w:w="113" w:type="dxa"/>
              <w:bottom w:w="113" w:type="dxa"/>
              <w:right w:w="113" w:type="dxa"/>
            </w:tcMar>
            <w:hideMark/>
          </w:tcPr>
          <w:p w14:paraId="4F2640C8" w14:textId="60937D1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-0.5645 – -0.0510</w:t>
            </w:r>
          </w:p>
        </w:tc>
        <w:tc>
          <w:tcPr>
            <w:tcW w:w="1035" w:type="dxa"/>
            <w:tcMar>
              <w:top w:w="113" w:type="dxa"/>
              <w:left w:w="113" w:type="dxa"/>
              <w:bottom w:w="113" w:type="dxa"/>
              <w:right w:w="113" w:type="dxa"/>
            </w:tcMar>
            <w:hideMark/>
          </w:tcPr>
          <w:p w14:paraId="099025C1" w14:textId="4147983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0.020</w:t>
            </w:r>
          </w:p>
        </w:tc>
      </w:tr>
      <w:tr w:rsidR="00424EEC" w:rsidRPr="00424EEC" w14:paraId="10548EC1" w14:textId="77777777" w:rsidTr="004E7127">
        <w:tc>
          <w:tcPr>
            <w:tcW w:w="4454" w:type="dxa"/>
            <w:tcMar>
              <w:top w:w="113" w:type="dxa"/>
              <w:left w:w="113" w:type="dxa"/>
              <w:bottom w:w="113" w:type="dxa"/>
              <w:right w:w="113" w:type="dxa"/>
            </w:tcMar>
            <w:hideMark/>
          </w:tcPr>
          <w:p w14:paraId="320C237E" w14:textId="583FE00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Age 0 to 19 (%)</w:t>
            </w:r>
          </w:p>
        </w:tc>
        <w:tc>
          <w:tcPr>
            <w:tcW w:w="964" w:type="dxa"/>
            <w:tcMar>
              <w:top w:w="113" w:type="dxa"/>
              <w:left w:w="113" w:type="dxa"/>
              <w:bottom w:w="113" w:type="dxa"/>
              <w:right w:w="113" w:type="dxa"/>
            </w:tcMar>
            <w:hideMark/>
          </w:tcPr>
          <w:p w14:paraId="16BA5458" w14:textId="01A35AD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054276F5" w14:textId="21BBBC8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61DA5750" w14:textId="507F055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0.338</w:t>
            </w:r>
          </w:p>
        </w:tc>
      </w:tr>
      <w:tr w:rsidR="00424EEC" w:rsidRPr="00424EEC" w14:paraId="72FBAAD6" w14:textId="77777777" w:rsidTr="004E7127">
        <w:tc>
          <w:tcPr>
            <w:tcW w:w="4454" w:type="dxa"/>
            <w:tcMar>
              <w:top w:w="113" w:type="dxa"/>
              <w:left w:w="113" w:type="dxa"/>
              <w:bottom w:w="113" w:type="dxa"/>
              <w:right w:w="113" w:type="dxa"/>
            </w:tcMar>
            <w:hideMark/>
          </w:tcPr>
          <w:p w14:paraId="16F52ACD" w14:textId="694291B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Age 65 or over (%)</w:t>
            </w:r>
          </w:p>
        </w:tc>
        <w:tc>
          <w:tcPr>
            <w:tcW w:w="964" w:type="dxa"/>
            <w:tcMar>
              <w:top w:w="113" w:type="dxa"/>
              <w:left w:w="113" w:type="dxa"/>
              <w:bottom w:w="113" w:type="dxa"/>
              <w:right w:w="113" w:type="dxa"/>
            </w:tcMar>
            <w:hideMark/>
          </w:tcPr>
          <w:p w14:paraId="5677C626" w14:textId="216711B7"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4BF98B2D" w14:textId="70E6017F"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3F5D225A" w14:textId="67ED5B9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0.414</w:t>
            </w:r>
          </w:p>
        </w:tc>
      </w:tr>
      <w:tr w:rsidR="00424EEC" w:rsidRPr="00424EEC" w14:paraId="745DC35A" w14:textId="77777777" w:rsidTr="004E7127">
        <w:tc>
          <w:tcPr>
            <w:tcW w:w="4454" w:type="dxa"/>
            <w:tcMar>
              <w:top w:w="113" w:type="dxa"/>
              <w:left w:w="113" w:type="dxa"/>
              <w:bottom w:w="113" w:type="dxa"/>
              <w:right w:w="113" w:type="dxa"/>
            </w:tcMar>
            <w:hideMark/>
          </w:tcPr>
          <w:p w14:paraId="3BD5D345" w14:textId="2CEE9997"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Northeast</w:t>
            </w:r>
          </w:p>
        </w:tc>
        <w:tc>
          <w:tcPr>
            <w:tcW w:w="964" w:type="dxa"/>
            <w:tcMar>
              <w:top w:w="113" w:type="dxa"/>
              <w:left w:w="113" w:type="dxa"/>
              <w:bottom w:w="113" w:type="dxa"/>
              <w:right w:w="113" w:type="dxa"/>
            </w:tcMar>
            <w:hideMark/>
          </w:tcPr>
          <w:p w14:paraId="1516DDE7" w14:textId="174DA04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-0.0420</w:t>
            </w:r>
          </w:p>
        </w:tc>
        <w:tc>
          <w:tcPr>
            <w:tcW w:w="2596" w:type="dxa"/>
            <w:tcMar>
              <w:top w:w="113" w:type="dxa"/>
              <w:left w:w="113" w:type="dxa"/>
              <w:bottom w:w="113" w:type="dxa"/>
              <w:right w:w="113" w:type="dxa"/>
            </w:tcMar>
            <w:hideMark/>
          </w:tcPr>
          <w:p w14:paraId="294BA69C" w14:textId="5609AAF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-0.0683 – -0.0157</w:t>
            </w:r>
          </w:p>
        </w:tc>
        <w:tc>
          <w:tcPr>
            <w:tcW w:w="1035" w:type="dxa"/>
            <w:tcMar>
              <w:top w:w="113" w:type="dxa"/>
              <w:left w:w="113" w:type="dxa"/>
              <w:bottom w:w="113" w:type="dxa"/>
              <w:right w:w="113" w:type="dxa"/>
            </w:tcMar>
            <w:hideMark/>
          </w:tcPr>
          <w:p w14:paraId="56437148" w14:textId="5CFD61C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0.002</w:t>
            </w:r>
          </w:p>
        </w:tc>
      </w:tr>
      <w:tr w:rsidR="00424EEC" w:rsidRPr="00424EEC" w14:paraId="3F962D1A" w14:textId="77777777" w:rsidTr="004E7127">
        <w:tc>
          <w:tcPr>
            <w:tcW w:w="4454" w:type="dxa"/>
            <w:tcMar>
              <w:top w:w="113" w:type="dxa"/>
              <w:left w:w="113" w:type="dxa"/>
              <w:bottom w:w="113" w:type="dxa"/>
              <w:right w:w="113" w:type="dxa"/>
            </w:tcMar>
            <w:hideMark/>
          </w:tcPr>
          <w:p w14:paraId="4C1C38A0" w14:textId="0514F900"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South</w:t>
            </w:r>
          </w:p>
        </w:tc>
        <w:tc>
          <w:tcPr>
            <w:tcW w:w="964" w:type="dxa"/>
            <w:tcMar>
              <w:top w:w="113" w:type="dxa"/>
              <w:left w:w="113" w:type="dxa"/>
              <w:bottom w:w="113" w:type="dxa"/>
              <w:right w:w="113" w:type="dxa"/>
            </w:tcMar>
            <w:hideMark/>
          </w:tcPr>
          <w:p w14:paraId="71B51F60" w14:textId="38091DDB"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0.0056</w:t>
            </w:r>
          </w:p>
        </w:tc>
        <w:tc>
          <w:tcPr>
            <w:tcW w:w="2596" w:type="dxa"/>
            <w:tcMar>
              <w:top w:w="113" w:type="dxa"/>
              <w:left w:w="113" w:type="dxa"/>
              <w:bottom w:w="113" w:type="dxa"/>
              <w:right w:w="113" w:type="dxa"/>
            </w:tcMar>
            <w:hideMark/>
          </w:tcPr>
          <w:p w14:paraId="4C818A21" w14:textId="1EF0BB5E"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-0.0181 – 0.0294</w:t>
            </w:r>
          </w:p>
        </w:tc>
        <w:tc>
          <w:tcPr>
            <w:tcW w:w="1035" w:type="dxa"/>
            <w:tcMar>
              <w:top w:w="113" w:type="dxa"/>
              <w:left w:w="113" w:type="dxa"/>
              <w:bottom w:w="113" w:type="dxa"/>
              <w:right w:w="113" w:type="dxa"/>
            </w:tcMar>
            <w:hideMark/>
          </w:tcPr>
          <w:p w14:paraId="209CEF54" w14:textId="78E716D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0.641</w:t>
            </w:r>
          </w:p>
        </w:tc>
      </w:tr>
      <w:tr w:rsidR="00424EEC" w:rsidRPr="00424EEC" w14:paraId="7925852F" w14:textId="77777777" w:rsidTr="004E7127">
        <w:tc>
          <w:tcPr>
            <w:tcW w:w="4454" w:type="dxa"/>
            <w:tcMar>
              <w:top w:w="113" w:type="dxa"/>
              <w:left w:w="113" w:type="dxa"/>
              <w:bottom w:w="113" w:type="dxa"/>
              <w:right w:w="113" w:type="dxa"/>
            </w:tcMar>
            <w:hideMark/>
          </w:tcPr>
          <w:p w14:paraId="7F4D1223" w14:textId="1C54F383"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West</w:t>
            </w:r>
          </w:p>
        </w:tc>
        <w:tc>
          <w:tcPr>
            <w:tcW w:w="964" w:type="dxa"/>
            <w:tcMar>
              <w:top w:w="113" w:type="dxa"/>
              <w:left w:w="113" w:type="dxa"/>
              <w:bottom w:w="113" w:type="dxa"/>
              <w:right w:w="113" w:type="dxa"/>
            </w:tcMar>
            <w:hideMark/>
          </w:tcPr>
          <w:p w14:paraId="4ABDC4CC" w14:textId="41AD2B1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-0.0410</w:t>
            </w:r>
          </w:p>
        </w:tc>
        <w:tc>
          <w:tcPr>
            <w:tcW w:w="2596" w:type="dxa"/>
            <w:tcMar>
              <w:top w:w="113" w:type="dxa"/>
              <w:left w:w="113" w:type="dxa"/>
              <w:bottom w:w="113" w:type="dxa"/>
              <w:right w:w="113" w:type="dxa"/>
            </w:tcMar>
            <w:hideMark/>
          </w:tcPr>
          <w:p w14:paraId="6D339827" w14:textId="46A4EDA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-0.0669 – -0.0151</w:t>
            </w:r>
          </w:p>
        </w:tc>
        <w:tc>
          <w:tcPr>
            <w:tcW w:w="1035" w:type="dxa"/>
            <w:tcMar>
              <w:top w:w="113" w:type="dxa"/>
              <w:left w:w="113" w:type="dxa"/>
              <w:bottom w:w="113" w:type="dxa"/>
              <w:right w:w="113" w:type="dxa"/>
            </w:tcMar>
            <w:hideMark/>
          </w:tcPr>
          <w:p w14:paraId="6F610C66" w14:textId="3649163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0.002</w:t>
            </w:r>
          </w:p>
        </w:tc>
      </w:tr>
      <w:tr w:rsidR="000631FC" w:rsidRPr="00424EEC" w14:paraId="551E38DE" w14:textId="77777777" w:rsidTr="004E7127">
        <w:tc>
          <w:tcPr>
            <w:tcW w:w="4454" w:type="dxa"/>
            <w:tcBorders>
              <w:top w:val="single" w:sz="6" w:space="0" w:color="auto"/>
            </w:tcBorders>
            <w:tcMar>
              <w:top w:w="57" w:type="dxa"/>
              <w:left w:w="113" w:type="dxa"/>
              <w:bottom w:w="57" w:type="dxa"/>
              <w:right w:w="113" w:type="dxa"/>
            </w:tcMar>
            <w:hideMark/>
          </w:tcPr>
          <w:p w14:paraId="2F735E13"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Observations</w:t>
            </w:r>
          </w:p>
        </w:tc>
        <w:tc>
          <w:tcPr>
            <w:tcW w:w="4595" w:type="dxa"/>
            <w:gridSpan w:val="3"/>
            <w:tcBorders>
              <w:top w:val="single" w:sz="6" w:space="0" w:color="auto"/>
            </w:tcBorders>
            <w:tcMar>
              <w:top w:w="57" w:type="dxa"/>
              <w:left w:w="113" w:type="dxa"/>
              <w:bottom w:w="57" w:type="dxa"/>
              <w:right w:w="113" w:type="dxa"/>
            </w:tcMar>
            <w:hideMark/>
          </w:tcPr>
          <w:p w14:paraId="77ECDE6F"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274</w:t>
            </w:r>
          </w:p>
        </w:tc>
      </w:tr>
      <w:tr w:rsidR="000631FC" w:rsidRPr="00424EEC" w14:paraId="6EF277A3" w14:textId="77777777" w:rsidTr="004E7127">
        <w:tc>
          <w:tcPr>
            <w:tcW w:w="4454" w:type="dxa"/>
            <w:tcMar>
              <w:top w:w="57" w:type="dxa"/>
              <w:left w:w="113" w:type="dxa"/>
              <w:bottom w:w="57" w:type="dxa"/>
              <w:right w:w="113" w:type="dxa"/>
            </w:tcMar>
            <w:hideMark/>
          </w:tcPr>
          <w:p w14:paraId="03786FE6"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Nagelkerke's R</w:t>
            </w:r>
            <w:r w:rsidRPr="00424EEC">
              <w:rPr>
                <w:rFonts w:ascii="Times New Roman" w:eastAsia="Times New Roman" w:hAnsi="Times New Roman" w:cs="Times New Roman"/>
                <w:vertAlign w:val="superscript"/>
                <w:lang w:eastAsia="de-DE"/>
              </w:rPr>
              <w:t>2</w:t>
            </w:r>
          </w:p>
        </w:tc>
        <w:tc>
          <w:tcPr>
            <w:tcW w:w="4595" w:type="dxa"/>
            <w:gridSpan w:val="3"/>
            <w:tcMar>
              <w:top w:w="57" w:type="dxa"/>
              <w:left w:w="113" w:type="dxa"/>
              <w:bottom w:w="57" w:type="dxa"/>
              <w:right w:w="113" w:type="dxa"/>
            </w:tcMar>
            <w:hideMark/>
          </w:tcPr>
          <w:p w14:paraId="3E697677" w14:textId="3827A31A"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0.29</w:t>
            </w:r>
            <w:r w:rsidR="004E7127" w:rsidRPr="00424EEC">
              <w:rPr>
                <w:rFonts w:ascii="Times New Roman" w:eastAsia="Times New Roman" w:hAnsi="Times New Roman" w:cs="Times New Roman"/>
                <w:lang w:eastAsia="de-DE"/>
              </w:rPr>
              <w:t>3</w:t>
            </w:r>
          </w:p>
        </w:tc>
      </w:tr>
    </w:tbl>
    <w:p w14:paraId="51F045E9" w14:textId="77777777" w:rsidR="000631FC" w:rsidRDefault="000631FC" w:rsidP="005076A2">
      <w:pPr>
        <w:rPr>
          <w:rFonts w:ascii="Times New Roman" w:hAnsi="Times New Roman" w:cs="Times New Roman"/>
          <w:b/>
          <w:sz w:val="24"/>
          <w:szCs w:val="24"/>
          <w:lang w:val="en-US"/>
        </w:rPr>
      </w:pPr>
    </w:p>
    <w:p w14:paraId="6C2F4D46"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ADB32B1" w14:textId="6CB3D74E"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6g.  Chlorine.</w:t>
      </w:r>
    </w:p>
    <w:tbl>
      <w:tblPr>
        <w:tblW w:w="0" w:type="auto"/>
        <w:tblCellMar>
          <w:top w:w="15" w:type="dxa"/>
          <w:left w:w="15" w:type="dxa"/>
          <w:bottom w:w="15" w:type="dxa"/>
          <w:right w:w="15" w:type="dxa"/>
        </w:tblCellMar>
        <w:tblLook w:val="04A0" w:firstRow="1" w:lastRow="0" w:firstColumn="1" w:lastColumn="0" w:noHBand="0" w:noVBand="1"/>
      </w:tblPr>
      <w:tblGrid>
        <w:gridCol w:w="4185"/>
        <w:gridCol w:w="1033"/>
        <w:gridCol w:w="2868"/>
        <w:gridCol w:w="963"/>
      </w:tblGrid>
      <w:tr w:rsidR="000631FC" w:rsidRPr="007841CD" w14:paraId="3B89E1F1" w14:textId="77777777" w:rsidTr="007841CD">
        <w:tc>
          <w:tcPr>
            <w:tcW w:w="4185" w:type="dxa"/>
            <w:tcBorders>
              <w:top w:val="double" w:sz="6" w:space="0" w:color="auto"/>
            </w:tcBorders>
            <w:tcMar>
              <w:top w:w="113" w:type="dxa"/>
              <w:left w:w="113" w:type="dxa"/>
              <w:bottom w:w="113" w:type="dxa"/>
              <w:right w:w="113" w:type="dxa"/>
            </w:tcMar>
            <w:vAlign w:val="center"/>
            <w:hideMark/>
          </w:tcPr>
          <w:p w14:paraId="6EF9291F" w14:textId="77777777" w:rsidR="000631FC" w:rsidRPr="007841CD" w:rsidRDefault="000631FC" w:rsidP="000631FC">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4864" w:type="dxa"/>
            <w:gridSpan w:val="3"/>
            <w:tcBorders>
              <w:top w:val="double" w:sz="6" w:space="0" w:color="auto"/>
            </w:tcBorders>
            <w:tcMar>
              <w:top w:w="113" w:type="dxa"/>
              <w:left w:w="113" w:type="dxa"/>
              <w:bottom w:w="113" w:type="dxa"/>
              <w:right w:w="113" w:type="dxa"/>
            </w:tcMar>
            <w:vAlign w:val="center"/>
            <w:hideMark/>
          </w:tcPr>
          <w:p w14:paraId="67AB8E95" w14:textId="77777777" w:rsidR="000631FC" w:rsidRPr="007841CD" w:rsidRDefault="000631FC" w:rsidP="000631FC">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Chlorine</w:t>
            </w:r>
          </w:p>
        </w:tc>
      </w:tr>
      <w:tr w:rsidR="000631FC" w:rsidRPr="007841CD" w14:paraId="72290C3F" w14:textId="77777777" w:rsidTr="007841CD">
        <w:tc>
          <w:tcPr>
            <w:tcW w:w="4185" w:type="dxa"/>
            <w:tcBorders>
              <w:bottom w:val="single" w:sz="6" w:space="0" w:color="auto"/>
            </w:tcBorders>
            <w:vAlign w:val="center"/>
            <w:hideMark/>
          </w:tcPr>
          <w:p w14:paraId="33AD9F09" w14:textId="77777777" w:rsidR="000631FC" w:rsidRPr="007841CD" w:rsidRDefault="000631FC" w:rsidP="000631FC">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033" w:type="dxa"/>
            <w:tcBorders>
              <w:bottom w:val="single" w:sz="6" w:space="0" w:color="auto"/>
            </w:tcBorders>
            <w:vAlign w:val="center"/>
            <w:hideMark/>
          </w:tcPr>
          <w:p w14:paraId="26BAF6DC"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2868" w:type="dxa"/>
            <w:tcBorders>
              <w:bottom w:val="single" w:sz="6" w:space="0" w:color="auto"/>
            </w:tcBorders>
            <w:vAlign w:val="center"/>
            <w:hideMark/>
          </w:tcPr>
          <w:p w14:paraId="6D9D208C"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3FF697C4"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3FA30953" w14:textId="77777777" w:rsidTr="007841CD">
        <w:tc>
          <w:tcPr>
            <w:tcW w:w="4185" w:type="dxa"/>
            <w:tcMar>
              <w:top w:w="113" w:type="dxa"/>
              <w:left w:w="113" w:type="dxa"/>
              <w:bottom w:w="113" w:type="dxa"/>
              <w:right w:w="113" w:type="dxa"/>
            </w:tcMar>
            <w:hideMark/>
          </w:tcPr>
          <w:p w14:paraId="2BC7C91F" w14:textId="0DC050C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033" w:type="dxa"/>
            <w:tcMar>
              <w:top w:w="113" w:type="dxa"/>
              <w:left w:w="113" w:type="dxa"/>
              <w:bottom w:w="113" w:type="dxa"/>
              <w:right w:w="113" w:type="dxa"/>
            </w:tcMar>
            <w:hideMark/>
          </w:tcPr>
          <w:p w14:paraId="2A7B6408" w14:textId="0ACF3CB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1.1502</w:t>
            </w:r>
          </w:p>
        </w:tc>
        <w:tc>
          <w:tcPr>
            <w:tcW w:w="2868" w:type="dxa"/>
            <w:tcMar>
              <w:top w:w="113" w:type="dxa"/>
              <w:left w:w="113" w:type="dxa"/>
              <w:bottom w:w="113" w:type="dxa"/>
              <w:right w:w="113" w:type="dxa"/>
            </w:tcMar>
            <w:hideMark/>
          </w:tcPr>
          <w:p w14:paraId="5AB96278" w14:textId="361D431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0.7009 – 1.5995</w:t>
            </w:r>
          </w:p>
        </w:tc>
        <w:tc>
          <w:tcPr>
            <w:tcW w:w="0" w:type="auto"/>
            <w:tcMar>
              <w:top w:w="113" w:type="dxa"/>
              <w:left w:w="113" w:type="dxa"/>
              <w:bottom w:w="113" w:type="dxa"/>
              <w:right w:w="113" w:type="dxa"/>
            </w:tcMar>
            <w:hideMark/>
          </w:tcPr>
          <w:p w14:paraId="15036E16" w14:textId="441BFD2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1756B17" w14:textId="77777777" w:rsidTr="007841CD">
        <w:tc>
          <w:tcPr>
            <w:tcW w:w="4185" w:type="dxa"/>
            <w:tcMar>
              <w:top w:w="113" w:type="dxa"/>
              <w:left w:w="113" w:type="dxa"/>
              <w:bottom w:w="113" w:type="dxa"/>
              <w:right w:w="113" w:type="dxa"/>
            </w:tcMar>
            <w:hideMark/>
          </w:tcPr>
          <w:p w14:paraId="6CA98BFE" w14:textId="7CEB517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033" w:type="dxa"/>
            <w:tcMar>
              <w:top w:w="113" w:type="dxa"/>
              <w:left w:w="113" w:type="dxa"/>
              <w:bottom w:w="113" w:type="dxa"/>
              <w:right w:w="113" w:type="dxa"/>
            </w:tcMar>
            <w:hideMark/>
          </w:tcPr>
          <w:p w14:paraId="3F6C7D1E" w14:textId="0843A80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-0.0111</w:t>
            </w:r>
          </w:p>
        </w:tc>
        <w:tc>
          <w:tcPr>
            <w:tcW w:w="2868" w:type="dxa"/>
            <w:tcMar>
              <w:top w:w="113" w:type="dxa"/>
              <w:left w:w="113" w:type="dxa"/>
              <w:bottom w:w="113" w:type="dxa"/>
              <w:right w:w="113" w:type="dxa"/>
            </w:tcMar>
            <w:hideMark/>
          </w:tcPr>
          <w:p w14:paraId="4008CCD4" w14:textId="4E2FB52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-0.0230 – 0.0007</w:t>
            </w:r>
          </w:p>
        </w:tc>
        <w:tc>
          <w:tcPr>
            <w:tcW w:w="0" w:type="auto"/>
            <w:tcMar>
              <w:top w:w="113" w:type="dxa"/>
              <w:left w:w="113" w:type="dxa"/>
              <w:bottom w:w="113" w:type="dxa"/>
              <w:right w:w="113" w:type="dxa"/>
            </w:tcMar>
            <w:hideMark/>
          </w:tcPr>
          <w:p w14:paraId="2CA6AE31" w14:textId="061DEB6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0.066</w:t>
            </w:r>
          </w:p>
        </w:tc>
      </w:tr>
      <w:tr w:rsidR="007841CD" w:rsidRPr="007841CD" w14:paraId="57015D87" w14:textId="77777777" w:rsidTr="007841CD">
        <w:tc>
          <w:tcPr>
            <w:tcW w:w="4185" w:type="dxa"/>
            <w:tcMar>
              <w:top w:w="113" w:type="dxa"/>
              <w:left w:w="113" w:type="dxa"/>
              <w:bottom w:w="113" w:type="dxa"/>
              <w:right w:w="113" w:type="dxa"/>
            </w:tcMar>
            <w:hideMark/>
          </w:tcPr>
          <w:p w14:paraId="609A0A4D" w14:textId="4062652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033" w:type="dxa"/>
            <w:tcMar>
              <w:top w:w="113" w:type="dxa"/>
              <w:left w:w="113" w:type="dxa"/>
              <w:bottom w:w="113" w:type="dxa"/>
              <w:right w:w="113" w:type="dxa"/>
            </w:tcMar>
            <w:hideMark/>
          </w:tcPr>
          <w:p w14:paraId="108A079D" w14:textId="0662C5B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-1.0767</w:t>
            </w:r>
          </w:p>
        </w:tc>
        <w:tc>
          <w:tcPr>
            <w:tcW w:w="2868" w:type="dxa"/>
            <w:tcMar>
              <w:top w:w="113" w:type="dxa"/>
              <w:left w:w="113" w:type="dxa"/>
              <w:bottom w:w="113" w:type="dxa"/>
              <w:right w:w="113" w:type="dxa"/>
            </w:tcMar>
            <w:hideMark/>
          </w:tcPr>
          <w:p w14:paraId="1A52CB22" w14:textId="2C77E6B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-1.5305 – -0.6229</w:t>
            </w:r>
          </w:p>
        </w:tc>
        <w:tc>
          <w:tcPr>
            <w:tcW w:w="0" w:type="auto"/>
            <w:tcMar>
              <w:top w:w="113" w:type="dxa"/>
              <w:left w:w="113" w:type="dxa"/>
              <w:bottom w:w="113" w:type="dxa"/>
              <w:right w:w="113" w:type="dxa"/>
            </w:tcMar>
            <w:hideMark/>
          </w:tcPr>
          <w:p w14:paraId="75479A8F" w14:textId="670551D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47C57762" w14:textId="77777777" w:rsidTr="007841CD">
        <w:tc>
          <w:tcPr>
            <w:tcW w:w="4185" w:type="dxa"/>
            <w:tcMar>
              <w:top w:w="113" w:type="dxa"/>
              <w:left w:w="113" w:type="dxa"/>
              <w:bottom w:w="113" w:type="dxa"/>
              <w:right w:w="113" w:type="dxa"/>
            </w:tcMar>
            <w:hideMark/>
          </w:tcPr>
          <w:p w14:paraId="6A6DEE5D" w14:textId="188E82D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033" w:type="dxa"/>
            <w:tcMar>
              <w:top w:w="113" w:type="dxa"/>
              <w:left w:w="113" w:type="dxa"/>
              <w:bottom w:w="113" w:type="dxa"/>
              <w:right w:w="113" w:type="dxa"/>
            </w:tcMar>
            <w:hideMark/>
          </w:tcPr>
          <w:p w14:paraId="165E5C53" w14:textId="4946553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-0.9824</w:t>
            </w:r>
          </w:p>
        </w:tc>
        <w:tc>
          <w:tcPr>
            <w:tcW w:w="2868" w:type="dxa"/>
            <w:tcMar>
              <w:top w:w="113" w:type="dxa"/>
              <w:left w:w="113" w:type="dxa"/>
              <w:bottom w:w="113" w:type="dxa"/>
              <w:right w:w="113" w:type="dxa"/>
            </w:tcMar>
            <w:hideMark/>
          </w:tcPr>
          <w:p w14:paraId="3D089D44" w14:textId="7704F63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-1.4303 – -0.5346</w:t>
            </w:r>
          </w:p>
        </w:tc>
        <w:tc>
          <w:tcPr>
            <w:tcW w:w="0" w:type="auto"/>
            <w:tcMar>
              <w:top w:w="113" w:type="dxa"/>
              <w:left w:w="113" w:type="dxa"/>
              <w:bottom w:w="113" w:type="dxa"/>
              <w:right w:w="113" w:type="dxa"/>
            </w:tcMar>
            <w:hideMark/>
          </w:tcPr>
          <w:p w14:paraId="0E860DA0" w14:textId="6BA90C4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64E4DE61" w14:textId="77777777" w:rsidTr="007841CD">
        <w:tc>
          <w:tcPr>
            <w:tcW w:w="4185" w:type="dxa"/>
            <w:tcMar>
              <w:top w:w="113" w:type="dxa"/>
              <w:left w:w="113" w:type="dxa"/>
              <w:bottom w:w="113" w:type="dxa"/>
              <w:right w:w="113" w:type="dxa"/>
            </w:tcMar>
            <w:hideMark/>
          </w:tcPr>
          <w:p w14:paraId="7D81D6A5" w14:textId="51E47CE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033" w:type="dxa"/>
            <w:tcMar>
              <w:top w:w="113" w:type="dxa"/>
              <w:left w:w="113" w:type="dxa"/>
              <w:bottom w:w="113" w:type="dxa"/>
              <w:right w:w="113" w:type="dxa"/>
            </w:tcMar>
            <w:hideMark/>
          </w:tcPr>
          <w:p w14:paraId="7914754B" w14:textId="6B5647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-0.9190</w:t>
            </w:r>
          </w:p>
        </w:tc>
        <w:tc>
          <w:tcPr>
            <w:tcW w:w="2868" w:type="dxa"/>
            <w:tcMar>
              <w:top w:w="113" w:type="dxa"/>
              <w:left w:w="113" w:type="dxa"/>
              <w:bottom w:w="113" w:type="dxa"/>
              <w:right w:w="113" w:type="dxa"/>
            </w:tcMar>
            <w:hideMark/>
          </w:tcPr>
          <w:p w14:paraId="20E4BA1B" w14:textId="17D85F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-1.4364 – -0.4016</w:t>
            </w:r>
          </w:p>
        </w:tc>
        <w:tc>
          <w:tcPr>
            <w:tcW w:w="0" w:type="auto"/>
            <w:tcMar>
              <w:top w:w="113" w:type="dxa"/>
              <w:left w:w="113" w:type="dxa"/>
              <w:bottom w:w="113" w:type="dxa"/>
              <w:right w:w="113" w:type="dxa"/>
            </w:tcMar>
            <w:hideMark/>
          </w:tcPr>
          <w:p w14:paraId="01C45B07" w14:textId="18B4BE9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0.001</w:t>
            </w:r>
          </w:p>
        </w:tc>
      </w:tr>
      <w:tr w:rsidR="007841CD" w:rsidRPr="007841CD" w14:paraId="36050AB4" w14:textId="77777777" w:rsidTr="007841CD">
        <w:tc>
          <w:tcPr>
            <w:tcW w:w="4185" w:type="dxa"/>
            <w:tcMar>
              <w:top w:w="113" w:type="dxa"/>
              <w:left w:w="113" w:type="dxa"/>
              <w:bottom w:w="113" w:type="dxa"/>
              <w:right w:w="113" w:type="dxa"/>
            </w:tcMar>
            <w:hideMark/>
          </w:tcPr>
          <w:p w14:paraId="3B3409FB" w14:textId="4121C80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033" w:type="dxa"/>
            <w:tcMar>
              <w:top w:w="113" w:type="dxa"/>
              <w:left w:w="113" w:type="dxa"/>
              <w:bottom w:w="113" w:type="dxa"/>
              <w:right w:w="113" w:type="dxa"/>
            </w:tcMar>
            <w:hideMark/>
          </w:tcPr>
          <w:p w14:paraId="566FAB63" w14:textId="40FA31C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-1.1477</w:t>
            </w:r>
          </w:p>
        </w:tc>
        <w:tc>
          <w:tcPr>
            <w:tcW w:w="2868" w:type="dxa"/>
            <w:tcMar>
              <w:top w:w="113" w:type="dxa"/>
              <w:left w:w="113" w:type="dxa"/>
              <w:bottom w:w="113" w:type="dxa"/>
              <w:right w:w="113" w:type="dxa"/>
            </w:tcMar>
            <w:hideMark/>
          </w:tcPr>
          <w:p w14:paraId="150EE091" w14:textId="220C938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-1.6758 – -0.6196</w:t>
            </w:r>
          </w:p>
        </w:tc>
        <w:tc>
          <w:tcPr>
            <w:tcW w:w="0" w:type="auto"/>
            <w:tcMar>
              <w:top w:w="113" w:type="dxa"/>
              <w:left w:w="113" w:type="dxa"/>
              <w:bottom w:w="113" w:type="dxa"/>
              <w:right w:w="113" w:type="dxa"/>
            </w:tcMar>
            <w:hideMark/>
          </w:tcPr>
          <w:p w14:paraId="76C9C7DB" w14:textId="373481C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724D2F8B" w14:textId="77777777" w:rsidTr="007841CD">
        <w:tc>
          <w:tcPr>
            <w:tcW w:w="4185" w:type="dxa"/>
            <w:tcMar>
              <w:top w:w="113" w:type="dxa"/>
              <w:left w:w="113" w:type="dxa"/>
              <w:bottom w:w="113" w:type="dxa"/>
              <w:right w:w="113" w:type="dxa"/>
            </w:tcMar>
            <w:hideMark/>
          </w:tcPr>
          <w:p w14:paraId="7A7875D3" w14:textId="7CA4A8D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033" w:type="dxa"/>
            <w:tcMar>
              <w:top w:w="113" w:type="dxa"/>
              <w:left w:w="113" w:type="dxa"/>
              <w:bottom w:w="113" w:type="dxa"/>
              <w:right w:w="113" w:type="dxa"/>
            </w:tcMar>
            <w:hideMark/>
          </w:tcPr>
          <w:p w14:paraId="7A4D2911" w14:textId="149440B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-1.1185</w:t>
            </w:r>
          </w:p>
        </w:tc>
        <w:tc>
          <w:tcPr>
            <w:tcW w:w="2868" w:type="dxa"/>
            <w:tcMar>
              <w:top w:w="113" w:type="dxa"/>
              <w:left w:w="113" w:type="dxa"/>
              <w:bottom w:w="113" w:type="dxa"/>
              <w:right w:w="113" w:type="dxa"/>
            </w:tcMar>
            <w:hideMark/>
          </w:tcPr>
          <w:p w14:paraId="7D2D7678" w14:textId="6A24CE2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-1.5721 – -0.6650</w:t>
            </w:r>
          </w:p>
        </w:tc>
        <w:tc>
          <w:tcPr>
            <w:tcW w:w="0" w:type="auto"/>
            <w:tcMar>
              <w:top w:w="113" w:type="dxa"/>
              <w:left w:w="113" w:type="dxa"/>
              <w:bottom w:w="113" w:type="dxa"/>
              <w:right w:w="113" w:type="dxa"/>
            </w:tcMar>
            <w:hideMark/>
          </w:tcPr>
          <w:p w14:paraId="5426DF31" w14:textId="7E08B9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864FB9A" w14:textId="77777777" w:rsidTr="007841CD">
        <w:tc>
          <w:tcPr>
            <w:tcW w:w="4185" w:type="dxa"/>
            <w:tcMar>
              <w:top w:w="113" w:type="dxa"/>
              <w:left w:w="113" w:type="dxa"/>
              <w:bottom w:w="113" w:type="dxa"/>
              <w:right w:w="113" w:type="dxa"/>
            </w:tcMar>
            <w:hideMark/>
          </w:tcPr>
          <w:p w14:paraId="1625D20C" w14:textId="63E35F01"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033" w:type="dxa"/>
            <w:tcMar>
              <w:top w:w="113" w:type="dxa"/>
              <w:left w:w="113" w:type="dxa"/>
              <w:bottom w:w="113" w:type="dxa"/>
              <w:right w:w="113" w:type="dxa"/>
            </w:tcMar>
            <w:hideMark/>
          </w:tcPr>
          <w:p w14:paraId="43F7D539" w14:textId="6760B4E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15BBD4C2" w14:textId="59BCBC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61DDE347" w14:textId="0EFBC12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0.848</w:t>
            </w:r>
          </w:p>
        </w:tc>
      </w:tr>
      <w:tr w:rsidR="007841CD" w:rsidRPr="007841CD" w14:paraId="28488910" w14:textId="77777777" w:rsidTr="007841CD">
        <w:tc>
          <w:tcPr>
            <w:tcW w:w="4185" w:type="dxa"/>
            <w:tcMar>
              <w:top w:w="113" w:type="dxa"/>
              <w:left w:w="113" w:type="dxa"/>
              <w:bottom w:w="113" w:type="dxa"/>
              <w:right w:w="113" w:type="dxa"/>
            </w:tcMar>
            <w:hideMark/>
          </w:tcPr>
          <w:p w14:paraId="7515107E" w14:textId="3DAAC2F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033" w:type="dxa"/>
            <w:tcMar>
              <w:top w:w="113" w:type="dxa"/>
              <w:left w:w="113" w:type="dxa"/>
              <w:bottom w:w="113" w:type="dxa"/>
              <w:right w:w="113" w:type="dxa"/>
            </w:tcMar>
            <w:hideMark/>
          </w:tcPr>
          <w:p w14:paraId="4426B1E7" w14:textId="3D3EDED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0.0085</w:t>
            </w:r>
          </w:p>
        </w:tc>
        <w:tc>
          <w:tcPr>
            <w:tcW w:w="2868" w:type="dxa"/>
            <w:tcMar>
              <w:top w:w="113" w:type="dxa"/>
              <w:left w:w="113" w:type="dxa"/>
              <w:bottom w:w="113" w:type="dxa"/>
              <w:right w:w="113" w:type="dxa"/>
            </w:tcMar>
            <w:hideMark/>
          </w:tcPr>
          <w:p w14:paraId="1B83B5C6" w14:textId="66966DD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-0.0856 – 0.1026</w:t>
            </w:r>
          </w:p>
        </w:tc>
        <w:tc>
          <w:tcPr>
            <w:tcW w:w="0" w:type="auto"/>
            <w:tcMar>
              <w:top w:w="113" w:type="dxa"/>
              <w:left w:w="113" w:type="dxa"/>
              <w:bottom w:w="113" w:type="dxa"/>
              <w:right w:w="113" w:type="dxa"/>
            </w:tcMar>
            <w:hideMark/>
          </w:tcPr>
          <w:p w14:paraId="26E13204" w14:textId="384F2B2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0.860</w:t>
            </w:r>
          </w:p>
        </w:tc>
      </w:tr>
      <w:tr w:rsidR="007841CD" w:rsidRPr="007841CD" w14:paraId="17AA8F00" w14:textId="77777777" w:rsidTr="007841CD">
        <w:tc>
          <w:tcPr>
            <w:tcW w:w="4185" w:type="dxa"/>
            <w:tcMar>
              <w:top w:w="113" w:type="dxa"/>
              <w:left w:w="113" w:type="dxa"/>
              <w:bottom w:w="113" w:type="dxa"/>
              <w:right w:w="113" w:type="dxa"/>
            </w:tcMar>
            <w:hideMark/>
          </w:tcPr>
          <w:p w14:paraId="01BEFAD7" w14:textId="2A7939A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033" w:type="dxa"/>
            <w:tcMar>
              <w:top w:w="113" w:type="dxa"/>
              <w:left w:w="113" w:type="dxa"/>
              <w:bottom w:w="113" w:type="dxa"/>
              <w:right w:w="113" w:type="dxa"/>
            </w:tcMar>
            <w:hideMark/>
          </w:tcPr>
          <w:p w14:paraId="16A9BD49" w14:textId="6B3E7DB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-0.1465</w:t>
            </w:r>
          </w:p>
        </w:tc>
        <w:tc>
          <w:tcPr>
            <w:tcW w:w="2868" w:type="dxa"/>
            <w:tcMar>
              <w:top w:w="113" w:type="dxa"/>
              <w:left w:w="113" w:type="dxa"/>
              <w:bottom w:w="113" w:type="dxa"/>
              <w:right w:w="113" w:type="dxa"/>
            </w:tcMar>
            <w:hideMark/>
          </w:tcPr>
          <w:p w14:paraId="08CF4F53" w14:textId="17AC6D7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-0.4747 – 0.1817</w:t>
            </w:r>
          </w:p>
        </w:tc>
        <w:tc>
          <w:tcPr>
            <w:tcW w:w="0" w:type="auto"/>
            <w:tcMar>
              <w:top w:w="113" w:type="dxa"/>
              <w:left w:w="113" w:type="dxa"/>
              <w:bottom w:w="113" w:type="dxa"/>
              <w:right w:w="113" w:type="dxa"/>
            </w:tcMar>
            <w:hideMark/>
          </w:tcPr>
          <w:p w14:paraId="1422D74E" w14:textId="3E92CC7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0.383</w:t>
            </w:r>
          </w:p>
        </w:tc>
      </w:tr>
      <w:tr w:rsidR="007841CD" w:rsidRPr="007841CD" w14:paraId="12FCA65D" w14:textId="77777777" w:rsidTr="007841CD">
        <w:tc>
          <w:tcPr>
            <w:tcW w:w="4185" w:type="dxa"/>
            <w:tcMar>
              <w:top w:w="113" w:type="dxa"/>
              <w:left w:w="113" w:type="dxa"/>
              <w:bottom w:w="113" w:type="dxa"/>
              <w:right w:w="113" w:type="dxa"/>
            </w:tcMar>
            <w:hideMark/>
          </w:tcPr>
          <w:p w14:paraId="053CA74E" w14:textId="2151BCC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033" w:type="dxa"/>
            <w:tcMar>
              <w:top w:w="113" w:type="dxa"/>
              <w:left w:w="113" w:type="dxa"/>
              <w:bottom w:w="113" w:type="dxa"/>
              <w:right w:w="113" w:type="dxa"/>
            </w:tcMar>
            <w:hideMark/>
          </w:tcPr>
          <w:p w14:paraId="02EB0693" w14:textId="27F927E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0D67E177" w14:textId="07E6BE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65413E37" w14:textId="4813A7F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0.029</w:t>
            </w:r>
          </w:p>
        </w:tc>
      </w:tr>
      <w:tr w:rsidR="007841CD" w:rsidRPr="007841CD" w14:paraId="4B1F5003" w14:textId="77777777" w:rsidTr="007841CD">
        <w:tc>
          <w:tcPr>
            <w:tcW w:w="4185" w:type="dxa"/>
            <w:tcMar>
              <w:top w:w="113" w:type="dxa"/>
              <w:left w:w="113" w:type="dxa"/>
              <w:bottom w:w="113" w:type="dxa"/>
              <w:right w:w="113" w:type="dxa"/>
            </w:tcMar>
            <w:hideMark/>
          </w:tcPr>
          <w:p w14:paraId="01870439" w14:textId="7BD7310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033" w:type="dxa"/>
            <w:tcMar>
              <w:top w:w="113" w:type="dxa"/>
              <w:left w:w="113" w:type="dxa"/>
              <w:bottom w:w="113" w:type="dxa"/>
              <w:right w:w="113" w:type="dxa"/>
            </w:tcMar>
            <w:hideMark/>
          </w:tcPr>
          <w:p w14:paraId="33B9A84B" w14:textId="20CAFBD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747A17D1" w14:textId="0E424D5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0.0001</w:t>
            </w:r>
          </w:p>
        </w:tc>
        <w:tc>
          <w:tcPr>
            <w:tcW w:w="0" w:type="auto"/>
            <w:tcMar>
              <w:top w:w="113" w:type="dxa"/>
              <w:left w:w="113" w:type="dxa"/>
              <w:bottom w:w="113" w:type="dxa"/>
              <w:right w:w="113" w:type="dxa"/>
            </w:tcMar>
            <w:hideMark/>
          </w:tcPr>
          <w:p w14:paraId="0AF098B7" w14:textId="08F2FF6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0.522</w:t>
            </w:r>
          </w:p>
        </w:tc>
      </w:tr>
      <w:tr w:rsidR="007841CD" w:rsidRPr="007841CD" w14:paraId="71269ABC" w14:textId="77777777" w:rsidTr="007841CD">
        <w:tc>
          <w:tcPr>
            <w:tcW w:w="4185" w:type="dxa"/>
            <w:tcMar>
              <w:top w:w="113" w:type="dxa"/>
              <w:left w:w="113" w:type="dxa"/>
              <w:bottom w:w="113" w:type="dxa"/>
              <w:right w:w="113" w:type="dxa"/>
            </w:tcMar>
            <w:hideMark/>
          </w:tcPr>
          <w:p w14:paraId="0B4D7163" w14:textId="4C3921F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033" w:type="dxa"/>
            <w:tcMar>
              <w:top w:w="113" w:type="dxa"/>
              <w:left w:w="113" w:type="dxa"/>
              <w:bottom w:w="113" w:type="dxa"/>
              <w:right w:w="113" w:type="dxa"/>
            </w:tcMar>
            <w:hideMark/>
          </w:tcPr>
          <w:p w14:paraId="3503A4D4" w14:textId="3EBD14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-0.0011</w:t>
            </w:r>
          </w:p>
        </w:tc>
        <w:tc>
          <w:tcPr>
            <w:tcW w:w="2868" w:type="dxa"/>
            <w:tcMar>
              <w:top w:w="113" w:type="dxa"/>
              <w:left w:w="113" w:type="dxa"/>
              <w:bottom w:w="113" w:type="dxa"/>
              <w:right w:w="113" w:type="dxa"/>
            </w:tcMar>
            <w:hideMark/>
          </w:tcPr>
          <w:p w14:paraId="67D725E4" w14:textId="0EAA223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-0.0347 – 0.0326</w:t>
            </w:r>
          </w:p>
        </w:tc>
        <w:tc>
          <w:tcPr>
            <w:tcW w:w="0" w:type="auto"/>
            <w:tcMar>
              <w:top w:w="113" w:type="dxa"/>
              <w:left w:w="113" w:type="dxa"/>
              <w:bottom w:w="113" w:type="dxa"/>
              <w:right w:w="113" w:type="dxa"/>
            </w:tcMar>
            <w:hideMark/>
          </w:tcPr>
          <w:p w14:paraId="43D5839B" w14:textId="0D8172E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0.950</w:t>
            </w:r>
          </w:p>
        </w:tc>
      </w:tr>
      <w:tr w:rsidR="007841CD" w:rsidRPr="007841CD" w14:paraId="7FC3CCC3" w14:textId="77777777" w:rsidTr="007841CD">
        <w:tc>
          <w:tcPr>
            <w:tcW w:w="4185" w:type="dxa"/>
            <w:tcMar>
              <w:top w:w="113" w:type="dxa"/>
              <w:left w:w="113" w:type="dxa"/>
              <w:bottom w:w="113" w:type="dxa"/>
              <w:right w:w="113" w:type="dxa"/>
            </w:tcMar>
            <w:hideMark/>
          </w:tcPr>
          <w:p w14:paraId="710B1ECC" w14:textId="11D9DF2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033" w:type="dxa"/>
            <w:tcMar>
              <w:top w:w="113" w:type="dxa"/>
              <w:left w:w="113" w:type="dxa"/>
              <w:bottom w:w="113" w:type="dxa"/>
              <w:right w:w="113" w:type="dxa"/>
            </w:tcMar>
            <w:hideMark/>
          </w:tcPr>
          <w:p w14:paraId="52A965BB" w14:textId="3678D8E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0.0260</w:t>
            </w:r>
          </w:p>
        </w:tc>
        <w:tc>
          <w:tcPr>
            <w:tcW w:w="2868" w:type="dxa"/>
            <w:tcMar>
              <w:top w:w="113" w:type="dxa"/>
              <w:left w:w="113" w:type="dxa"/>
              <w:bottom w:w="113" w:type="dxa"/>
              <w:right w:w="113" w:type="dxa"/>
            </w:tcMar>
            <w:hideMark/>
          </w:tcPr>
          <w:p w14:paraId="47B086E2" w14:textId="2E1218A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-0.0043 – 0.0563</w:t>
            </w:r>
          </w:p>
        </w:tc>
        <w:tc>
          <w:tcPr>
            <w:tcW w:w="0" w:type="auto"/>
            <w:tcMar>
              <w:top w:w="113" w:type="dxa"/>
              <w:left w:w="113" w:type="dxa"/>
              <w:bottom w:w="113" w:type="dxa"/>
              <w:right w:w="113" w:type="dxa"/>
            </w:tcMar>
            <w:hideMark/>
          </w:tcPr>
          <w:p w14:paraId="5A335EAC" w14:textId="627A6A3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0.094</w:t>
            </w:r>
          </w:p>
        </w:tc>
      </w:tr>
      <w:tr w:rsidR="007841CD" w:rsidRPr="007841CD" w14:paraId="1D03FDCD" w14:textId="77777777" w:rsidTr="007841CD">
        <w:tc>
          <w:tcPr>
            <w:tcW w:w="4185" w:type="dxa"/>
            <w:tcMar>
              <w:top w:w="113" w:type="dxa"/>
              <w:left w:w="113" w:type="dxa"/>
              <w:bottom w:w="113" w:type="dxa"/>
              <w:right w:w="113" w:type="dxa"/>
            </w:tcMar>
            <w:hideMark/>
          </w:tcPr>
          <w:p w14:paraId="159364B4" w14:textId="07C2101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033" w:type="dxa"/>
            <w:tcMar>
              <w:top w:w="113" w:type="dxa"/>
              <w:left w:w="113" w:type="dxa"/>
              <w:bottom w:w="113" w:type="dxa"/>
              <w:right w:w="113" w:type="dxa"/>
            </w:tcMar>
            <w:hideMark/>
          </w:tcPr>
          <w:p w14:paraId="528B1DA3" w14:textId="03AF118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2868" w:type="dxa"/>
            <w:tcMar>
              <w:top w:w="113" w:type="dxa"/>
              <w:left w:w="113" w:type="dxa"/>
              <w:bottom w:w="113" w:type="dxa"/>
              <w:right w:w="113" w:type="dxa"/>
            </w:tcMar>
            <w:hideMark/>
          </w:tcPr>
          <w:p w14:paraId="3DFCE4A9" w14:textId="307D202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-0.0321 – 0.0341</w:t>
            </w:r>
          </w:p>
        </w:tc>
        <w:tc>
          <w:tcPr>
            <w:tcW w:w="0" w:type="auto"/>
            <w:tcMar>
              <w:top w:w="113" w:type="dxa"/>
              <w:left w:w="113" w:type="dxa"/>
              <w:bottom w:w="113" w:type="dxa"/>
              <w:right w:w="113" w:type="dxa"/>
            </w:tcMar>
            <w:hideMark/>
          </w:tcPr>
          <w:p w14:paraId="29DCF732" w14:textId="2776169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0.952</w:t>
            </w:r>
          </w:p>
        </w:tc>
      </w:tr>
      <w:tr w:rsidR="000631FC" w:rsidRPr="007841CD" w14:paraId="2690B93D" w14:textId="77777777" w:rsidTr="007841CD">
        <w:tc>
          <w:tcPr>
            <w:tcW w:w="4185" w:type="dxa"/>
            <w:tcBorders>
              <w:top w:val="single" w:sz="6" w:space="0" w:color="auto"/>
            </w:tcBorders>
            <w:tcMar>
              <w:top w:w="57" w:type="dxa"/>
              <w:left w:w="113" w:type="dxa"/>
              <w:bottom w:w="57" w:type="dxa"/>
              <w:right w:w="113" w:type="dxa"/>
            </w:tcMar>
            <w:hideMark/>
          </w:tcPr>
          <w:p w14:paraId="3D2C63A3"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4864" w:type="dxa"/>
            <w:gridSpan w:val="3"/>
            <w:tcBorders>
              <w:top w:val="single" w:sz="6" w:space="0" w:color="auto"/>
            </w:tcBorders>
            <w:tcMar>
              <w:top w:w="57" w:type="dxa"/>
              <w:left w:w="113" w:type="dxa"/>
              <w:bottom w:w="57" w:type="dxa"/>
              <w:right w:w="113" w:type="dxa"/>
            </w:tcMar>
            <w:hideMark/>
          </w:tcPr>
          <w:p w14:paraId="6AF72699"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0631FC" w:rsidRPr="007841CD" w14:paraId="5A84B185" w14:textId="77777777" w:rsidTr="007841CD">
        <w:tc>
          <w:tcPr>
            <w:tcW w:w="4185" w:type="dxa"/>
            <w:tcMar>
              <w:top w:w="57" w:type="dxa"/>
              <w:left w:w="113" w:type="dxa"/>
              <w:bottom w:w="57" w:type="dxa"/>
              <w:right w:w="113" w:type="dxa"/>
            </w:tcMar>
            <w:hideMark/>
          </w:tcPr>
          <w:p w14:paraId="191F242B"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4864" w:type="dxa"/>
            <w:gridSpan w:val="3"/>
            <w:tcMar>
              <w:top w:w="57" w:type="dxa"/>
              <w:left w:w="113" w:type="dxa"/>
              <w:bottom w:w="57" w:type="dxa"/>
              <w:right w:w="113" w:type="dxa"/>
            </w:tcMar>
            <w:hideMark/>
          </w:tcPr>
          <w:p w14:paraId="5ABB3247" w14:textId="20DAD96D"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w:t>
            </w:r>
            <w:r w:rsidR="007841CD">
              <w:rPr>
                <w:rFonts w:ascii="Times New Roman" w:eastAsia="Times New Roman" w:hAnsi="Times New Roman" w:cs="Times New Roman"/>
                <w:lang w:eastAsia="de-DE"/>
              </w:rPr>
              <w:t>09</w:t>
            </w:r>
          </w:p>
        </w:tc>
      </w:tr>
    </w:tbl>
    <w:p w14:paraId="4A57CC96" w14:textId="77777777" w:rsidR="000631FC" w:rsidRDefault="000631FC" w:rsidP="005076A2">
      <w:pPr>
        <w:rPr>
          <w:rFonts w:ascii="Times New Roman" w:hAnsi="Times New Roman" w:cs="Times New Roman"/>
          <w:b/>
          <w:sz w:val="24"/>
          <w:szCs w:val="24"/>
          <w:lang w:val="en-US"/>
        </w:rPr>
      </w:pPr>
    </w:p>
    <w:p w14:paraId="6FEB5EA2"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1D8D1C" w14:textId="77777777" w:rsidR="0011160D"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6h.  Copper.</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220"/>
        <w:gridCol w:w="1080"/>
        <w:gridCol w:w="1983"/>
        <w:gridCol w:w="766"/>
      </w:tblGrid>
      <w:tr w:rsidR="0011160D" w:rsidRPr="007841CD" w14:paraId="2B2C88AC" w14:textId="77777777" w:rsidTr="002825EE">
        <w:tc>
          <w:tcPr>
            <w:tcW w:w="5220" w:type="dxa"/>
            <w:tcBorders>
              <w:top w:val="double" w:sz="6" w:space="0" w:color="auto"/>
            </w:tcBorders>
            <w:tcMar>
              <w:top w:w="113" w:type="dxa"/>
              <w:left w:w="113" w:type="dxa"/>
              <w:bottom w:w="113" w:type="dxa"/>
              <w:right w:w="113" w:type="dxa"/>
            </w:tcMar>
            <w:vAlign w:val="center"/>
            <w:hideMark/>
          </w:tcPr>
          <w:p w14:paraId="75705D4E"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3829" w:type="dxa"/>
            <w:gridSpan w:val="3"/>
            <w:tcBorders>
              <w:top w:val="double" w:sz="6" w:space="0" w:color="auto"/>
            </w:tcBorders>
            <w:tcMar>
              <w:top w:w="113" w:type="dxa"/>
              <w:left w:w="113" w:type="dxa"/>
              <w:bottom w:w="113" w:type="dxa"/>
              <w:right w:w="113" w:type="dxa"/>
            </w:tcMar>
            <w:vAlign w:val="center"/>
            <w:hideMark/>
          </w:tcPr>
          <w:p w14:paraId="72B880A7" w14:textId="028E2FF4"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Copper</w:t>
            </w:r>
          </w:p>
        </w:tc>
      </w:tr>
      <w:tr w:rsidR="0011160D" w:rsidRPr="007841CD" w14:paraId="236C9273" w14:textId="77777777" w:rsidTr="002825EE">
        <w:tc>
          <w:tcPr>
            <w:tcW w:w="5220" w:type="dxa"/>
            <w:tcBorders>
              <w:bottom w:val="single" w:sz="6" w:space="0" w:color="auto"/>
            </w:tcBorders>
            <w:vAlign w:val="center"/>
            <w:hideMark/>
          </w:tcPr>
          <w:p w14:paraId="6683E7A7"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080" w:type="dxa"/>
            <w:tcBorders>
              <w:bottom w:val="single" w:sz="6" w:space="0" w:color="auto"/>
            </w:tcBorders>
            <w:vAlign w:val="center"/>
            <w:hideMark/>
          </w:tcPr>
          <w:p w14:paraId="6D5AE235"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1983" w:type="dxa"/>
            <w:tcBorders>
              <w:bottom w:val="single" w:sz="6" w:space="0" w:color="auto"/>
            </w:tcBorders>
            <w:vAlign w:val="center"/>
            <w:hideMark/>
          </w:tcPr>
          <w:p w14:paraId="52A504B6"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766" w:type="dxa"/>
            <w:tcBorders>
              <w:bottom w:val="single" w:sz="6" w:space="0" w:color="auto"/>
            </w:tcBorders>
            <w:vAlign w:val="center"/>
            <w:hideMark/>
          </w:tcPr>
          <w:p w14:paraId="1FB2A4E4"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1F152E15" w14:textId="77777777" w:rsidTr="002825EE">
        <w:tc>
          <w:tcPr>
            <w:tcW w:w="5220" w:type="dxa"/>
            <w:tcMar>
              <w:top w:w="113" w:type="dxa"/>
              <w:left w:w="113" w:type="dxa"/>
              <w:bottom w:w="113" w:type="dxa"/>
              <w:right w:w="113" w:type="dxa"/>
            </w:tcMar>
            <w:hideMark/>
          </w:tcPr>
          <w:p w14:paraId="173B1488" w14:textId="2ABDB1D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080" w:type="dxa"/>
            <w:tcMar>
              <w:top w:w="113" w:type="dxa"/>
              <w:left w:w="113" w:type="dxa"/>
              <w:bottom w:w="113" w:type="dxa"/>
              <w:right w:w="113" w:type="dxa"/>
            </w:tcMar>
            <w:hideMark/>
          </w:tcPr>
          <w:p w14:paraId="508F5536" w14:textId="0FED429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-0.0054</w:t>
            </w:r>
          </w:p>
        </w:tc>
        <w:tc>
          <w:tcPr>
            <w:tcW w:w="1983" w:type="dxa"/>
            <w:tcMar>
              <w:top w:w="113" w:type="dxa"/>
              <w:left w:w="113" w:type="dxa"/>
              <w:bottom w:w="113" w:type="dxa"/>
              <w:right w:w="113" w:type="dxa"/>
            </w:tcMar>
            <w:hideMark/>
          </w:tcPr>
          <w:p w14:paraId="25C4CE1D" w14:textId="2CF73C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-0.0225 – 0.0118</w:t>
            </w:r>
          </w:p>
        </w:tc>
        <w:tc>
          <w:tcPr>
            <w:tcW w:w="766" w:type="dxa"/>
            <w:tcMar>
              <w:top w:w="113" w:type="dxa"/>
              <w:left w:w="113" w:type="dxa"/>
              <w:bottom w:w="113" w:type="dxa"/>
              <w:right w:w="113" w:type="dxa"/>
            </w:tcMar>
            <w:hideMark/>
          </w:tcPr>
          <w:p w14:paraId="0A23EBAE" w14:textId="5E66320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0.542</w:t>
            </w:r>
          </w:p>
        </w:tc>
      </w:tr>
      <w:tr w:rsidR="007841CD" w:rsidRPr="007841CD" w14:paraId="25FA5E77" w14:textId="77777777" w:rsidTr="002825EE">
        <w:tc>
          <w:tcPr>
            <w:tcW w:w="5220" w:type="dxa"/>
            <w:tcMar>
              <w:top w:w="113" w:type="dxa"/>
              <w:left w:w="113" w:type="dxa"/>
              <w:bottom w:w="113" w:type="dxa"/>
              <w:right w:w="113" w:type="dxa"/>
            </w:tcMar>
            <w:hideMark/>
          </w:tcPr>
          <w:p w14:paraId="0A959421" w14:textId="35731DD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080" w:type="dxa"/>
            <w:tcMar>
              <w:top w:w="113" w:type="dxa"/>
              <w:left w:w="113" w:type="dxa"/>
              <w:bottom w:w="113" w:type="dxa"/>
              <w:right w:w="113" w:type="dxa"/>
            </w:tcMar>
            <w:hideMark/>
          </w:tcPr>
          <w:p w14:paraId="276067D1" w14:textId="79439C7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0.0002</w:t>
            </w:r>
          </w:p>
        </w:tc>
        <w:tc>
          <w:tcPr>
            <w:tcW w:w="1983" w:type="dxa"/>
            <w:tcMar>
              <w:top w:w="113" w:type="dxa"/>
              <w:left w:w="113" w:type="dxa"/>
              <w:bottom w:w="113" w:type="dxa"/>
              <w:right w:w="113" w:type="dxa"/>
            </w:tcMar>
            <w:hideMark/>
          </w:tcPr>
          <w:p w14:paraId="387B8EC0" w14:textId="679E41C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-0.0003 – 0.0006</w:t>
            </w:r>
          </w:p>
        </w:tc>
        <w:tc>
          <w:tcPr>
            <w:tcW w:w="766" w:type="dxa"/>
            <w:tcMar>
              <w:top w:w="113" w:type="dxa"/>
              <w:left w:w="113" w:type="dxa"/>
              <w:bottom w:w="113" w:type="dxa"/>
              <w:right w:w="113" w:type="dxa"/>
            </w:tcMar>
            <w:hideMark/>
          </w:tcPr>
          <w:p w14:paraId="77201CB6" w14:textId="19CF9E3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0.487</w:t>
            </w:r>
          </w:p>
        </w:tc>
      </w:tr>
      <w:tr w:rsidR="007841CD" w:rsidRPr="007841CD" w14:paraId="134E6F74" w14:textId="77777777" w:rsidTr="002825EE">
        <w:tc>
          <w:tcPr>
            <w:tcW w:w="5220" w:type="dxa"/>
            <w:tcMar>
              <w:top w:w="113" w:type="dxa"/>
              <w:left w:w="113" w:type="dxa"/>
              <w:bottom w:w="113" w:type="dxa"/>
              <w:right w:w="113" w:type="dxa"/>
            </w:tcMar>
            <w:hideMark/>
          </w:tcPr>
          <w:p w14:paraId="1106C7E3" w14:textId="3B65397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080" w:type="dxa"/>
            <w:tcMar>
              <w:top w:w="113" w:type="dxa"/>
              <w:left w:w="113" w:type="dxa"/>
              <w:bottom w:w="113" w:type="dxa"/>
              <w:right w:w="113" w:type="dxa"/>
            </w:tcMar>
            <w:hideMark/>
          </w:tcPr>
          <w:p w14:paraId="4C2EFBF9" w14:textId="6E7BA72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0.0065</w:t>
            </w:r>
          </w:p>
        </w:tc>
        <w:tc>
          <w:tcPr>
            <w:tcW w:w="1983" w:type="dxa"/>
            <w:tcMar>
              <w:top w:w="113" w:type="dxa"/>
              <w:left w:w="113" w:type="dxa"/>
              <w:bottom w:w="113" w:type="dxa"/>
              <w:right w:w="113" w:type="dxa"/>
            </w:tcMar>
            <w:hideMark/>
          </w:tcPr>
          <w:p w14:paraId="41855540" w14:textId="092CA3F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-0.0108 – 0.0238</w:t>
            </w:r>
          </w:p>
        </w:tc>
        <w:tc>
          <w:tcPr>
            <w:tcW w:w="766" w:type="dxa"/>
            <w:tcMar>
              <w:top w:w="113" w:type="dxa"/>
              <w:left w:w="113" w:type="dxa"/>
              <w:bottom w:w="113" w:type="dxa"/>
              <w:right w:w="113" w:type="dxa"/>
            </w:tcMar>
            <w:hideMark/>
          </w:tcPr>
          <w:p w14:paraId="33245144" w14:textId="2440C6F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0.463</w:t>
            </w:r>
          </w:p>
        </w:tc>
      </w:tr>
      <w:tr w:rsidR="007841CD" w:rsidRPr="007841CD" w14:paraId="5D207ACB" w14:textId="77777777" w:rsidTr="002825EE">
        <w:tc>
          <w:tcPr>
            <w:tcW w:w="5220" w:type="dxa"/>
            <w:tcMar>
              <w:top w:w="113" w:type="dxa"/>
              <w:left w:w="113" w:type="dxa"/>
              <w:bottom w:w="113" w:type="dxa"/>
              <w:right w:w="113" w:type="dxa"/>
            </w:tcMar>
            <w:hideMark/>
          </w:tcPr>
          <w:p w14:paraId="43166F23" w14:textId="33E97F5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080" w:type="dxa"/>
            <w:tcMar>
              <w:top w:w="113" w:type="dxa"/>
              <w:left w:w="113" w:type="dxa"/>
              <w:bottom w:w="113" w:type="dxa"/>
              <w:right w:w="113" w:type="dxa"/>
            </w:tcMar>
            <w:hideMark/>
          </w:tcPr>
          <w:p w14:paraId="4EB25BD1" w14:textId="4F6BD6D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0.0153</w:t>
            </w:r>
          </w:p>
        </w:tc>
        <w:tc>
          <w:tcPr>
            <w:tcW w:w="1983" w:type="dxa"/>
            <w:tcMar>
              <w:top w:w="113" w:type="dxa"/>
              <w:left w:w="113" w:type="dxa"/>
              <w:bottom w:w="113" w:type="dxa"/>
              <w:right w:w="113" w:type="dxa"/>
            </w:tcMar>
            <w:hideMark/>
          </w:tcPr>
          <w:p w14:paraId="2B79536B" w14:textId="3045BC1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-0.0018 – 0.0324</w:t>
            </w:r>
          </w:p>
        </w:tc>
        <w:tc>
          <w:tcPr>
            <w:tcW w:w="766" w:type="dxa"/>
            <w:tcMar>
              <w:top w:w="113" w:type="dxa"/>
              <w:left w:w="113" w:type="dxa"/>
              <w:bottom w:w="113" w:type="dxa"/>
              <w:right w:w="113" w:type="dxa"/>
            </w:tcMar>
            <w:hideMark/>
          </w:tcPr>
          <w:p w14:paraId="6881F853" w14:textId="5F2DD6E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0.082</w:t>
            </w:r>
          </w:p>
        </w:tc>
      </w:tr>
      <w:tr w:rsidR="007841CD" w:rsidRPr="007841CD" w14:paraId="1129B730" w14:textId="77777777" w:rsidTr="002825EE">
        <w:tc>
          <w:tcPr>
            <w:tcW w:w="5220" w:type="dxa"/>
            <w:tcMar>
              <w:top w:w="113" w:type="dxa"/>
              <w:left w:w="113" w:type="dxa"/>
              <w:bottom w:w="113" w:type="dxa"/>
              <w:right w:w="113" w:type="dxa"/>
            </w:tcMar>
            <w:hideMark/>
          </w:tcPr>
          <w:p w14:paraId="42139423" w14:textId="0C7E3C0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080" w:type="dxa"/>
            <w:tcMar>
              <w:top w:w="113" w:type="dxa"/>
              <w:left w:w="113" w:type="dxa"/>
              <w:bottom w:w="113" w:type="dxa"/>
              <w:right w:w="113" w:type="dxa"/>
            </w:tcMar>
            <w:hideMark/>
          </w:tcPr>
          <w:p w14:paraId="0426ED1E" w14:textId="73DF72D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0.0185</w:t>
            </w:r>
          </w:p>
        </w:tc>
        <w:tc>
          <w:tcPr>
            <w:tcW w:w="1983" w:type="dxa"/>
            <w:tcMar>
              <w:top w:w="113" w:type="dxa"/>
              <w:left w:w="113" w:type="dxa"/>
              <w:bottom w:w="113" w:type="dxa"/>
              <w:right w:w="113" w:type="dxa"/>
            </w:tcMar>
            <w:hideMark/>
          </w:tcPr>
          <w:p w14:paraId="646348AD" w14:textId="2A3DC9D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-0.0013 – 0.0382</w:t>
            </w:r>
          </w:p>
        </w:tc>
        <w:tc>
          <w:tcPr>
            <w:tcW w:w="766" w:type="dxa"/>
            <w:tcMar>
              <w:top w:w="113" w:type="dxa"/>
              <w:left w:w="113" w:type="dxa"/>
              <w:bottom w:w="113" w:type="dxa"/>
              <w:right w:w="113" w:type="dxa"/>
            </w:tcMar>
            <w:hideMark/>
          </w:tcPr>
          <w:p w14:paraId="4FE7F834" w14:textId="612D991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0.069</w:t>
            </w:r>
          </w:p>
        </w:tc>
      </w:tr>
      <w:tr w:rsidR="007841CD" w:rsidRPr="007841CD" w14:paraId="3C23AB0D" w14:textId="77777777" w:rsidTr="002825EE">
        <w:tc>
          <w:tcPr>
            <w:tcW w:w="5220" w:type="dxa"/>
            <w:tcMar>
              <w:top w:w="113" w:type="dxa"/>
              <w:left w:w="113" w:type="dxa"/>
              <w:bottom w:w="113" w:type="dxa"/>
              <w:right w:w="113" w:type="dxa"/>
            </w:tcMar>
            <w:hideMark/>
          </w:tcPr>
          <w:p w14:paraId="08656D2E" w14:textId="5D99868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080" w:type="dxa"/>
            <w:tcMar>
              <w:top w:w="113" w:type="dxa"/>
              <w:left w:w="113" w:type="dxa"/>
              <w:bottom w:w="113" w:type="dxa"/>
              <w:right w:w="113" w:type="dxa"/>
            </w:tcMar>
            <w:hideMark/>
          </w:tcPr>
          <w:p w14:paraId="361A2ECA" w14:textId="11D7CF2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0.0008</w:t>
            </w:r>
          </w:p>
        </w:tc>
        <w:tc>
          <w:tcPr>
            <w:tcW w:w="1983" w:type="dxa"/>
            <w:tcMar>
              <w:top w:w="113" w:type="dxa"/>
              <w:left w:w="113" w:type="dxa"/>
              <w:bottom w:w="113" w:type="dxa"/>
              <w:right w:w="113" w:type="dxa"/>
            </w:tcMar>
            <w:hideMark/>
          </w:tcPr>
          <w:p w14:paraId="2581D440" w14:textId="0284C17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-0.0194 – 0.0210</w:t>
            </w:r>
          </w:p>
        </w:tc>
        <w:tc>
          <w:tcPr>
            <w:tcW w:w="766" w:type="dxa"/>
            <w:tcMar>
              <w:top w:w="113" w:type="dxa"/>
              <w:left w:w="113" w:type="dxa"/>
              <w:bottom w:w="113" w:type="dxa"/>
              <w:right w:w="113" w:type="dxa"/>
            </w:tcMar>
            <w:hideMark/>
          </w:tcPr>
          <w:p w14:paraId="00B85F10" w14:textId="208E7CA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0.940</w:t>
            </w:r>
          </w:p>
        </w:tc>
      </w:tr>
      <w:tr w:rsidR="007841CD" w:rsidRPr="007841CD" w14:paraId="64B3691A" w14:textId="77777777" w:rsidTr="002825EE">
        <w:tc>
          <w:tcPr>
            <w:tcW w:w="5220" w:type="dxa"/>
            <w:tcMar>
              <w:top w:w="113" w:type="dxa"/>
              <w:left w:w="113" w:type="dxa"/>
              <w:bottom w:w="113" w:type="dxa"/>
              <w:right w:w="113" w:type="dxa"/>
            </w:tcMar>
            <w:hideMark/>
          </w:tcPr>
          <w:p w14:paraId="3F65DB14" w14:textId="66AFBA9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080" w:type="dxa"/>
            <w:tcMar>
              <w:top w:w="113" w:type="dxa"/>
              <w:left w:w="113" w:type="dxa"/>
              <w:bottom w:w="113" w:type="dxa"/>
              <w:right w:w="113" w:type="dxa"/>
            </w:tcMar>
            <w:hideMark/>
          </w:tcPr>
          <w:p w14:paraId="41926CE6" w14:textId="3244AFF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0.0068</w:t>
            </w:r>
          </w:p>
        </w:tc>
        <w:tc>
          <w:tcPr>
            <w:tcW w:w="1983" w:type="dxa"/>
            <w:tcMar>
              <w:top w:w="113" w:type="dxa"/>
              <w:left w:w="113" w:type="dxa"/>
              <w:bottom w:w="113" w:type="dxa"/>
              <w:right w:w="113" w:type="dxa"/>
            </w:tcMar>
            <w:hideMark/>
          </w:tcPr>
          <w:p w14:paraId="29689D35" w14:textId="7C098E8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-0.0106 – 0.0241</w:t>
            </w:r>
          </w:p>
        </w:tc>
        <w:tc>
          <w:tcPr>
            <w:tcW w:w="766" w:type="dxa"/>
            <w:tcMar>
              <w:top w:w="113" w:type="dxa"/>
              <w:left w:w="113" w:type="dxa"/>
              <w:bottom w:w="113" w:type="dxa"/>
              <w:right w:w="113" w:type="dxa"/>
            </w:tcMar>
            <w:hideMark/>
          </w:tcPr>
          <w:p w14:paraId="2D63B214" w14:textId="38F61FC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0.445</w:t>
            </w:r>
          </w:p>
        </w:tc>
      </w:tr>
      <w:tr w:rsidR="007841CD" w:rsidRPr="007841CD" w14:paraId="40917877" w14:textId="77777777" w:rsidTr="002825EE">
        <w:tc>
          <w:tcPr>
            <w:tcW w:w="5220" w:type="dxa"/>
            <w:tcMar>
              <w:top w:w="113" w:type="dxa"/>
              <w:left w:w="113" w:type="dxa"/>
              <w:bottom w:w="113" w:type="dxa"/>
              <w:right w:w="113" w:type="dxa"/>
            </w:tcMar>
            <w:hideMark/>
          </w:tcPr>
          <w:p w14:paraId="51D4015B" w14:textId="0E109308"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080" w:type="dxa"/>
            <w:tcMar>
              <w:top w:w="113" w:type="dxa"/>
              <w:left w:w="113" w:type="dxa"/>
              <w:bottom w:w="113" w:type="dxa"/>
              <w:right w:w="113" w:type="dxa"/>
            </w:tcMar>
            <w:hideMark/>
          </w:tcPr>
          <w:p w14:paraId="4D44E403" w14:textId="5B3C3F8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66EC2CC4" w14:textId="2353D12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0D7E47B4" w14:textId="1CF3877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0.030</w:t>
            </w:r>
          </w:p>
        </w:tc>
      </w:tr>
      <w:tr w:rsidR="007841CD" w:rsidRPr="007841CD" w14:paraId="12250CC8" w14:textId="77777777" w:rsidTr="002825EE">
        <w:tc>
          <w:tcPr>
            <w:tcW w:w="5220" w:type="dxa"/>
            <w:tcMar>
              <w:top w:w="113" w:type="dxa"/>
              <w:left w:w="113" w:type="dxa"/>
              <w:bottom w:w="113" w:type="dxa"/>
              <w:right w:w="113" w:type="dxa"/>
            </w:tcMar>
            <w:hideMark/>
          </w:tcPr>
          <w:p w14:paraId="27C7504A" w14:textId="21CF7A5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080" w:type="dxa"/>
            <w:tcMar>
              <w:top w:w="113" w:type="dxa"/>
              <w:left w:w="113" w:type="dxa"/>
              <w:bottom w:w="113" w:type="dxa"/>
              <w:right w:w="113" w:type="dxa"/>
            </w:tcMar>
            <w:hideMark/>
          </w:tcPr>
          <w:p w14:paraId="245FDF4E" w14:textId="3D26EEB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w:t>
            </w:r>
          </w:p>
        </w:tc>
        <w:tc>
          <w:tcPr>
            <w:tcW w:w="1983" w:type="dxa"/>
            <w:tcMar>
              <w:top w:w="113" w:type="dxa"/>
              <w:left w:w="113" w:type="dxa"/>
              <w:bottom w:w="113" w:type="dxa"/>
              <w:right w:w="113" w:type="dxa"/>
            </w:tcMar>
            <w:hideMark/>
          </w:tcPr>
          <w:p w14:paraId="0D068490" w14:textId="5740055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-0.0008 – 0.0064</w:t>
            </w:r>
          </w:p>
        </w:tc>
        <w:tc>
          <w:tcPr>
            <w:tcW w:w="766" w:type="dxa"/>
            <w:tcMar>
              <w:top w:w="113" w:type="dxa"/>
              <w:left w:w="113" w:type="dxa"/>
              <w:bottom w:w="113" w:type="dxa"/>
              <w:right w:w="113" w:type="dxa"/>
            </w:tcMar>
            <w:hideMark/>
          </w:tcPr>
          <w:p w14:paraId="4E1837E4" w14:textId="4F79398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0.126</w:t>
            </w:r>
          </w:p>
        </w:tc>
      </w:tr>
      <w:tr w:rsidR="007841CD" w:rsidRPr="007841CD" w14:paraId="047FF6F2" w14:textId="77777777" w:rsidTr="002825EE">
        <w:tc>
          <w:tcPr>
            <w:tcW w:w="5220" w:type="dxa"/>
            <w:tcMar>
              <w:top w:w="113" w:type="dxa"/>
              <w:left w:w="113" w:type="dxa"/>
              <w:bottom w:w="113" w:type="dxa"/>
              <w:right w:w="113" w:type="dxa"/>
            </w:tcMar>
            <w:hideMark/>
          </w:tcPr>
          <w:p w14:paraId="32681E29" w14:textId="743D86B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080" w:type="dxa"/>
            <w:tcMar>
              <w:top w:w="113" w:type="dxa"/>
              <w:left w:w="113" w:type="dxa"/>
              <w:bottom w:w="113" w:type="dxa"/>
              <w:right w:w="113" w:type="dxa"/>
            </w:tcMar>
            <w:hideMark/>
          </w:tcPr>
          <w:p w14:paraId="5F59EC00" w14:textId="72C8CF7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0.0130</w:t>
            </w:r>
          </w:p>
        </w:tc>
        <w:tc>
          <w:tcPr>
            <w:tcW w:w="1983" w:type="dxa"/>
            <w:tcMar>
              <w:top w:w="113" w:type="dxa"/>
              <w:left w:w="113" w:type="dxa"/>
              <w:bottom w:w="113" w:type="dxa"/>
              <w:right w:w="113" w:type="dxa"/>
            </w:tcMar>
            <w:hideMark/>
          </w:tcPr>
          <w:p w14:paraId="17BFA56D" w14:textId="7428B3A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0.0005 – 0.0256</w:t>
            </w:r>
          </w:p>
        </w:tc>
        <w:tc>
          <w:tcPr>
            <w:tcW w:w="766" w:type="dxa"/>
            <w:tcMar>
              <w:top w:w="113" w:type="dxa"/>
              <w:left w:w="113" w:type="dxa"/>
              <w:bottom w:w="113" w:type="dxa"/>
              <w:right w:w="113" w:type="dxa"/>
            </w:tcMar>
            <w:hideMark/>
          </w:tcPr>
          <w:p w14:paraId="2E3A0FE1" w14:textId="69C198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0.043</w:t>
            </w:r>
          </w:p>
        </w:tc>
      </w:tr>
      <w:tr w:rsidR="007841CD" w:rsidRPr="007841CD" w14:paraId="4321510C" w14:textId="77777777" w:rsidTr="002825EE">
        <w:tc>
          <w:tcPr>
            <w:tcW w:w="5220" w:type="dxa"/>
            <w:tcMar>
              <w:top w:w="113" w:type="dxa"/>
              <w:left w:w="113" w:type="dxa"/>
              <w:bottom w:w="113" w:type="dxa"/>
              <w:right w:w="113" w:type="dxa"/>
            </w:tcMar>
            <w:hideMark/>
          </w:tcPr>
          <w:p w14:paraId="3C314AFA" w14:textId="3ADB835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080" w:type="dxa"/>
            <w:tcMar>
              <w:top w:w="113" w:type="dxa"/>
              <w:left w:w="113" w:type="dxa"/>
              <w:bottom w:w="113" w:type="dxa"/>
              <w:right w:w="113" w:type="dxa"/>
            </w:tcMar>
            <w:hideMark/>
          </w:tcPr>
          <w:p w14:paraId="4A1620FA" w14:textId="5D9FF87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4DFBED96" w14:textId="3C75C22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54D67A5E" w14:textId="642E729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0.482</w:t>
            </w:r>
          </w:p>
        </w:tc>
      </w:tr>
      <w:tr w:rsidR="007841CD" w:rsidRPr="007841CD" w14:paraId="3B69345B" w14:textId="77777777" w:rsidTr="002825EE">
        <w:tc>
          <w:tcPr>
            <w:tcW w:w="5220" w:type="dxa"/>
            <w:tcMar>
              <w:top w:w="113" w:type="dxa"/>
              <w:left w:w="113" w:type="dxa"/>
              <w:bottom w:w="113" w:type="dxa"/>
              <w:right w:w="113" w:type="dxa"/>
            </w:tcMar>
            <w:hideMark/>
          </w:tcPr>
          <w:p w14:paraId="702F1E96" w14:textId="2729E279"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080" w:type="dxa"/>
            <w:tcMar>
              <w:top w:w="113" w:type="dxa"/>
              <w:left w:w="113" w:type="dxa"/>
              <w:bottom w:w="113" w:type="dxa"/>
              <w:right w:w="113" w:type="dxa"/>
            </w:tcMar>
            <w:hideMark/>
          </w:tcPr>
          <w:p w14:paraId="5AB5498A" w14:textId="6BE5882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77D32672" w14:textId="7C93381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7A76D228" w14:textId="15AF1FD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0.719</w:t>
            </w:r>
          </w:p>
        </w:tc>
      </w:tr>
      <w:tr w:rsidR="007841CD" w:rsidRPr="007841CD" w14:paraId="7502FBD0" w14:textId="77777777" w:rsidTr="002825EE">
        <w:tc>
          <w:tcPr>
            <w:tcW w:w="5220" w:type="dxa"/>
            <w:tcMar>
              <w:top w:w="113" w:type="dxa"/>
              <w:left w:w="113" w:type="dxa"/>
              <w:bottom w:w="113" w:type="dxa"/>
              <w:right w:w="113" w:type="dxa"/>
            </w:tcMar>
            <w:hideMark/>
          </w:tcPr>
          <w:p w14:paraId="4E0A4938" w14:textId="04B3CDD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080" w:type="dxa"/>
            <w:tcMar>
              <w:top w:w="113" w:type="dxa"/>
              <w:left w:w="113" w:type="dxa"/>
              <w:bottom w:w="113" w:type="dxa"/>
              <w:right w:w="113" w:type="dxa"/>
            </w:tcMar>
            <w:hideMark/>
          </w:tcPr>
          <w:p w14:paraId="7BA7D217" w14:textId="044BD00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-0.0005</w:t>
            </w:r>
          </w:p>
        </w:tc>
        <w:tc>
          <w:tcPr>
            <w:tcW w:w="1983" w:type="dxa"/>
            <w:tcMar>
              <w:top w:w="113" w:type="dxa"/>
              <w:left w:w="113" w:type="dxa"/>
              <w:bottom w:w="113" w:type="dxa"/>
              <w:right w:w="113" w:type="dxa"/>
            </w:tcMar>
            <w:hideMark/>
          </w:tcPr>
          <w:p w14:paraId="7033BA02" w14:textId="032F4FA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-0.0018 – 0.0007</w:t>
            </w:r>
          </w:p>
        </w:tc>
        <w:tc>
          <w:tcPr>
            <w:tcW w:w="766" w:type="dxa"/>
            <w:tcMar>
              <w:top w:w="113" w:type="dxa"/>
              <w:left w:w="113" w:type="dxa"/>
              <w:bottom w:w="113" w:type="dxa"/>
              <w:right w:w="113" w:type="dxa"/>
            </w:tcMar>
            <w:hideMark/>
          </w:tcPr>
          <w:p w14:paraId="0B73D019" w14:textId="654CEFA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7F44D1CF" w14:textId="77777777" w:rsidTr="002825EE">
        <w:tc>
          <w:tcPr>
            <w:tcW w:w="5220" w:type="dxa"/>
            <w:tcMar>
              <w:top w:w="113" w:type="dxa"/>
              <w:left w:w="113" w:type="dxa"/>
              <w:bottom w:w="113" w:type="dxa"/>
              <w:right w:w="113" w:type="dxa"/>
            </w:tcMar>
            <w:hideMark/>
          </w:tcPr>
          <w:p w14:paraId="0E834544" w14:textId="6E0F3A71"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080" w:type="dxa"/>
            <w:tcMar>
              <w:top w:w="113" w:type="dxa"/>
              <w:left w:w="113" w:type="dxa"/>
              <w:bottom w:w="113" w:type="dxa"/>
              <w:right w:w="113" w:type="dxa"/>
            </w:tcMar>
            <w:hideMark/>
          </w:tcPr>
          <w:p w14:paraId="5D04E7FD" w14:textId="697A3F0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-0.0002</w:t>
            </w:r>
          </w:p>
        </w:tc>
        <w:tc>
          <w:tcPr>
            <w:tcW w:w="1983" w:type="dxa"/>
            <w:tcMar>
              <w:top w:w="113" w:type="dxa"/>
              <w:left w:w="113" w:type="dxa"/>
              <w:bottom w:w="113" w:type="dxa"/>
              <w:right w:w="113" w:type="dxa"/>
            </w:tcMar>
            <w:hideMark/>
          </w:tcPr>
          <w:p w14:paraId="2044CE25" w14:textId="05F7AE7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-0.0013 – 0.0010</w:t>
            </w:r>
          </w:p>
        </w:tc>
        <w:tc>
          <w:tcPr>
            <w:tcW w:w="766" w:type="dxa"/>
            <w:tcMar>
              <w:top w:w="113" w:type="dxa"/>
              <w:left w:w="113" w:type="dxa"/>
              <w:bottom w:w="113" w:type="dxa"/>
              <w:right w:w="113" w:type="dxa"/>
            </w:tcMar>
            <w:hideMark/>
          </w:tcPr>
          <w:p w14:paraId="0AA5373D" w14:textId="4F75D50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0.792</w:t>
            </w:r>
          </w:p>
        </w:tc>
      </w:tr>
      <w:tr w:rsidR="007841CD" w:rsidRPr="007841CD" w14:paraId="2F741A24" w14:textId="77777777" w:rsidTr="002825EE">
        <w:tc>
          <w:tcPr>
            <w:tcW w:w="5220" w:type="dxa"/>
            <w:tcMar>
              <w:top w:w="113" w:type="dxa"/>
              <w:left w:w="113" w:type="dxa"/>
              <w:bottom w:w="113" w:type="dxa"/>
              <w:right w:w="113" w:type="dxa"/>
            </w:tcMar>
            <w:hideMark/>
          </w:tcPr>
          <w:p w14:paraId="0E31EA50" w14:textId="48B8FF4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080" w:type="dxa"/>
            <w:tcMar>
              <w:top w:w="113" w:type="dxa"/>
              <w:left w:w="113" w:type="dxa"/>
              <w:bottom w:w="113" w:type="dxa"/>
              <w:right w:w="113" w:type="dxa"/>
            </w:tcMar>
            <w:hideMark/>
          </w:tcPr>
          <w:p w14:paraId="2BF6B922" w14:textId="2585284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1983" w:type="dxa"/>
            <w:tcMar>
              <w:top w:w="113" w:type="dxa"/>
              <w:left w:w="113" w:type="dxa"/>
              <w:bottom w:w="113" w:type="dxa"/>
              <w:right w:w="113" w:type="dxa"/>
            </w:tcMar>
            <w:hideMark/>
          </w:tcPr>
          <w:p w14:paraId="33291E6D" w14:textId="61BE884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-0.0023 – 0.0002</w:t>
            </w:r>
          </w:p>
        </w:tc>
        <w:tc>
          <w:tcPr>
            <w:tcW w:w="766" w:type="dxa"/>
            <w:tcMar>
              <w:top w:w="113" w:type="dxa"/>
              <w:left w:w="113" w:type="dxa"/>
              <w:bottom w:w="113" w:type="dxa"/>
              <w:right w:w="113" w:type="dxa"/>
            </w:tcMar>
            <w:hideMark/>
          </w:tcPr>
          <w:p w14:paraId="4B81039A" w14:textId="5F8D278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0.115</w:t>
            </w:r>
          </w:p>
        </w:tc>
      </w:tr>
      <w:tr w:rsidR="0011160D" w:rsidRPr="007841CD" w14:paraId="70CEA550" w14:textId="77777777" w:rsidTr="002825EE">
        <w:tc>
          <w:tcPr>
            <w:tcW w:w="5220" w:type="dxa"/>
            <w:tcBorders>
              <w:top w:val="single" w:sz="6" w:space="0" w:color="auto"/>
            </w:tcBorders>
            <w:tcMar>
              <w:top w:w="57" w:type="dxa"/>
              <w:left w:w="113" w:type="dxa"/>
              <w:bottom w:w="57" w:type="dxa"/>
              <w:right w:w="113" w:type="dxa"/>
            </w:tcMar>
            <w:hideMark/>
          </w:tcPr>
          <w:p w14:paraId="141B9FD6"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3829" w:type="dxa"/>
            <w:gridSpan w:val="3"/>
            <w:tcBorders>
              <w:top w:val="single" w:sz="6" w:space="0" w:color="auto"/>
            </w:tcBorders>
            <w:tcMar>
              <w:top w:w="57" w:type="dxa"/>
              <w:left w:w="113" w:type="dxa"/>
              <w:bottom w:w="57" w:type="dxa"/>
              <w:right w:w="113" w:type="dxa"/>
            </w:tcMar>
            <w:hideMark/>
          </w:tcPr>
          <w:p w14:paraId="02CF9689"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273</w:t>
            </w:r>
          </w:p>
        </w:tc>
      </w:tr>
      <w:tr w:rsidR="0011160D" w:rsidRPr="007841CD" w14:paraId="44071410" w14:textId="77777777" w:rsidTr="002825EE">
        <w:tc>
          <w:tcPr>
            <w:tcW w:w="5220" w:type="dxa"/>
            <w:tcMar>
              <w:top w:w="57" w:type="dxa"/>
              <w:left w:w="113" w:type="dxa"/>
              <w:bottom w:w="57" w:type="dxa"/>
              <w:right w:w="113" w:type="dxa"/>
            </w:tcMar>
            <w:hideMark/>
          </w:tcPr>
          <w:p w14:paraId="42A8D9F6"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3829" w:type="dxa"/>
            <w:gridSpan w:val="3"/>
            <w:tcMar>
              <w:top w:w="57" w:type="dxa"/>
              <w:left w:w="113" w:type="dxa"/>
              <w:bottom w:w="57" w:type="dxa"/>
              <w:right w:w="113" w:type="dxa"/>
            </w:tcMar>
            <w:hideMark/>
          </w:tcPr>
          <w:p w14:paraId="62BE9280"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0.292</w:t>
            </w:r>
          </w:p>
        </w:tc>
      </w:tr>
    </w:tbl>
    <w:p w14:paraId="464264AA" w14:textId="63BB3772" w:rsidR="000631FC" w:rsidRDefault="0011160D" w:rsidP="005076A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4228B1AB" w14:textId="77777777" w:rsidR="0011160D" w:rsidRDefault="0011160D">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14:paraId="151A53A3" w14:textId="08DE1CFA"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s-MX"/>
        </w:rPr>
        <w:lastRenderedPageBreak/>
        <w:t xml:space="preserve">6i.  </w:t>
      </w:r>
      <w:r w:rsidRPr="005076A2">
        <w:rPr>
          <w:rFonts w:ascii="Times New Roman" w:hAnsi="Times New Roman" w:cs="Times New Roman"/>
          <w:b/>
          <w:sz w:val="24"/>
          <w:szCs w:val="24"/>
          <w:lang w:val="en-US"/>
        </w:rPr>
        <w:t>Iron.</w:t>
      </w:r>
    </w:p>
    <w:tbl>
      <w:tblPr>
        <w:tblW w:w="0" w:type="auto"/>
        <w:tblCellMar>
          <w:top w:w="15" w:type="dxa"/>
          <w:left w:w="15" w:type="dxa"/>
          <w:bottom w:w="15" w:type="dxa"/>
          <w:right w:w="15" w:type="dxa"/>
        </w:tblCellMar>
        <w:tblLook w:val="04A0" w:firstRow="1" w:lastRow="0" w:firstColumn="1" w:lastColumn="0" w:noHBand="0" w:noVBand="1"/>
      </w:tblPr>
      <w:tblGrid>
        <w:gridCol w:w="5561"/>
        <w:gridCol w:w="964"/>
        <w:gridCol w:w="1803"/>
        <w:gridCol w:w="721"/>
      </w:tblGrid>
      <w:tr w:rsidR="0011160D" w:rsidRPr="007841CD" w14:paraId="221DB2EC" w14:textId="77777777" w:rsidTr="000F3D9E">
        <w:tc>
          <w:tcPr>
            <w:tcW w:w="0" w:type="auto"/>
            <w:tcBorders>
              <w:top w:val="double" w:sz="6" w:space="0" w:color="auto"/>
            </w:tcBorders>
            <w:tcMar>
              <w:top w:w="113" w:type="dxa"/>
              <w:left w:w="113" w:type="dxa"/>
              <w:bottom w:w="113" w:type="dxa"/>
              <w:right w:w="113" w:type="dxa"/>
            </w:tcMar>
            <w:vAlign w:val="center"/>
            <w:hideMark/>
          </w:tcPr>
          <w:p w14:paraId="0F973C07"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0" w:type="auto"/>
            <w:gridSpan w:val="3"/>
            <w:tcBorders>
              <w:top w:val="double" w:sz="6" w:space="0" w:color="auto"/>
            </w:tcBorders>
            <w:tcMar>
              <w:top w:w="113" w:type="dxa"/>
              <w:left w:w="113" w:type="dxa"/>
              <w:bottom w:w="113" w:type="dxa"/>
              <w:right w:w="113" w:type="dxa"/>
            </w:tcMar>
            <w:vAlign w:val="center"/>
            <w:hideMark/>
          </w:tcPr>
          <w:p w14:paraId="37E688DF" w14:textId="45F0C0AF"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Iron</w:t>
            </w:r>
          </w:p>
        </w:tc>
      </w:tr>
      <w:tr w:rsidR="0011160D" w:rsidRPr="007841CD" w14:paraId="7C4C3E3E" w14:textId="77777777" w:rsidTr="007841CD">
        <w:tc>
          <w:tcPr>
            <w:tcW w:w="0" w:type="auto"/>
            <w:tcBorders>
              <w:bottom w:val="single" w:sz="6" w:space="0" w:color="auto"/>
            </w:tcBorders>
            <w:vAlign w:val="center"/>
            <w:hideMark/>
          </w:tcPr>
          <w:p w14:paraId="6865CE64"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964" w:type="dxa"/>
            <w:tcBorders>
              <w:bottom w:val="single" w:sz="6" w:space="0" w:color="auto"/>
            </w:tcBorders>
            <w:vAlign w:val="center"/>
            <w:hideMark/>
          </w:tcPr>
          <w:p w14:paraId="24ABB72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1803" w:type="dxa"/>
            <w:tcBorders>
              <w:bottom w:val="single" w:sz="6" w:space="0" w:color="auto"/>
            </w:tcBorders>
            <w:vAlign w:val="center"/>
            <w:hideMark/>
          </w:tcPr>
          <w:p w14:paraId="6A9F4C48"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7C3E478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6E7E6F51" w14:textId="77777777" w:rsidTr="007841CD">
        <w:tc>
          <w:tcPr>
            <w:tcW w:w="0" w:type="auto"/>
            <w:tcMar>
              <w:top w:w="113" w:type="dxa"/>
              <w:left w:w="113" w:type="dxa"/>
              <w:bottom w:w="113" w:type="dxa"/>
              <w:right w:w="113" w:type="dxa"/>
            </w:tcMar>
            <w:hideMark/>
          </w:tcPr>
          <w:p w14:paraId="13FCD620" w14:textId="50BF691C"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964" w:type="dxa"/>
            <w:tcMar>
              <w:top w:w="113" w:type="dxa"/>
              <w:left w:w="113" w:type="dxa"/>
              <w:bottom w:w="113" w:type="dxa"/>
              <w:right w:w="113" w:type="dxa"/>
            </w:tcMar>
            <w:hideMark/>
          </w:tcPr>
          <w:p w14:paraId="65AF3801" w14:textId="56C56F2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-0.1956</w:t>
            </w:r>
          </w:p>
        </w:tc>
        <w:tc>
          <w:tcPr>
            <w:tcW w:w="1803" w:type="dxa"/>
            <w:tcMar>
              <w:top w:w="113" w:type="dxa"/>
              <w:left w:w="113" w:type="dxa"/>
              <w:bottom w:w="113" w:type="dxa"/>
              <w:right w:w="113" w:type="dxa"/>
            </w:tcMar>
            <w:hideMark/>
          </w:tcPr>
          <w:p w14:paraId="0E0468EA" w14:textId="7E68BE0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-0.5398 – 0.1485</w:t>
            </w:r>
          </w:p>
        </w:tc>
        <w:tc>
          <w:tcPr>
            <w:tcW w:w="0" w:type="auto"/>
            <w:tcMar>
              <w:top w:w="113" w:type="dxa"/>
              <w:left w:w="113" w:type="dxa"/>
              <w:bottom w:w="113" w:type="dxa"/>
              <w:right w:w="113" w:type="dxa"/>
            </w:tcMar>
            <w:hideMark/>
          </w:tcPr>
          <w:p w14:paraId="5A3997B9" w14:textId="4ABCFC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0.266</w:t>
            </w:r>
          </w:p>
        </w:tc>
      </w:tr>
      <w:tr w:rsidR="007841CD" w:rsidRPr="007841CD" w14:paraId="2B7767BA" w14:textId="77777777" w:rsidTr="007841CD">
        <w:tc>
          <w:tcPr>
            <w:tcW w:w="0" w:type="auto"/>
            <w:tcMar>
              <w:top w:w="113" w:type="dxa"/>
              <w:left w:w="113" w:type="dxa"/>
              <w:bottom w:w="113" w:type="dxa"/>
              <w:right w:w="113" w:type="dxa"/>
            </w:tcMar>
            <w:hideMark/>
          </w:tcPr>
          <w:p w14:paraId="038171D6" w14:textId="28ABC9ED"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964" w:type="dxa"/>
            <w:tcMar>
              <w:top w:w="113" w:type="dxa"/>
              <w:left w:w="113" w:type="dxa"/>
              <w:bottom w:w="113" w:type="dxa"/>
              <w:right w:w="113" w:type="dxa"/>
            </w:tcMar>
            <w:hideMark/>
          </w:tcPr>
          <w:p w14:paraId="17F8D884" w14:textId="0683EB7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0.0047</w:t>
            </w:r>
          </w:p>
        </w:tc>
        <w:tc>
          <w:tcPr>
            <w:tcW w:w="1803" w:type="dxa"/>
            <w:tcMar>
              <w:top w:w="113" w:type="dxa"/>
              <w:left w:w="113" w:type="dxa"/>
              <w:bottom w:w="113" w:type="dxa"/>
              <w:right w:w="113" w:type="dxa"/>
            </w:tcMar>
            <w:hideMark/>
          </w:tcPr>
          <w:p w14:paraId="4096F527" w14:textId="6C63E95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-0.0044 – 0.0138</w:t>
            </w:r>
          </w:p>
        </w:tc>
        <w:tc>
          <w:tcPr>
            <w:tcW w:w="0" w:type="auto"/>
            <w:tcMar>
              <w:top w:w="113" w:type="dxa"/>
              <w:left w:w="113" w:type="dxa"/>
              <w:bottom w:w="113" w:type="dxa"/>
              <w:right w:w="113" w:type="dxa"/>
            </w:tcMar>
            <w:hideMark/>
          </w:tcPr>
          <w:p w14:paraId="7A47B1A8" w14:textId="0E10896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0.311</w:t>
            </w:r>
          </w:p>
        </w:tc>
      </w:tr>
      <w:tr w:rsidR="007841CD" w:rsidRPr="007841CD" w14:paraId="4ED9A0A9" w14:textId="77777777" w:rsidTr="007841CD">
        <w:tc>
          <w:tcPr>
            <w:tcW w:w="0" w:type="auto"/>
            <w:tcMar>
              <w:top w:w="113" w:type="dxa"/>
              <w:left w:w="113" w:type="dxa"/>
              <w:bottom w:w="113" w:type="dxa"/>
              <w:right w:w="113" w:type="dxa"/>
            </w:tcMar>
            <w:hideMark/>
          </w:tcPr>
          <w:p w14:paraId="1ED3216A" w14:textId="167F3DB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964" w:type="dxa"/>
            <w:tcMar>
              <w:top w:w="113" w:type="dxa"/>
              <w:left w:w="113" w:type="dxa"/>
              <w:bottom w:w="113" w:type="dxa"/>
              <w:right w:w="113" w:type="dxa"/>
            </w:tcMar>
            <w:hideMark/>
          </w:tcPr>
          <w:p w14:paraId="24B5A6FE" w14:textId="3783499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0.2596</w:t>
            </w:r>
          </w:p>
        </w:tc>
        <w:tc>
          <w:tcPr>
            <w:tcW w:w="1803" w:type="dxa"/>
            <w:tcMar>
              <w:top w:w="113" w:type="dxa"/>
              <w:left w:w="113" w:type="dxa"/>
              <w:bottom w:w="113" w:type="dxa"/>
              <w:right w:w="113" w:type="dxa"/>
            </w:tcMar>
            <w:hideMark/>
          </w:tcPr>
          <w:p w14:paraId="67D41CB0" w14:textId="189DC9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-0.0880 – 0.6072</w:t>
            </w:r>
          </w:p>
        </w:tc>
        <w:tc>
          <w:tcPr>
            <w:tcW w:w="0" w:type="auto"/>
            <w:tcMar>
              <w:top w:w="113" w:type="dxa"/>
              <w:left w:w="113" w:type="dxa"/>
              <w:bottom w:w="113" w:type="dxa"/>
              <w:right w:w="113" w:type="dxa"/>
            </w:tcMar>
            <w:hideMark/>
          </w:tcPr>
          <w:p w14:paraId="4F5D718A" w14:textId="1D1DD74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0.145</w:t>
            </w:r>
          </w:p>
        </w:tc>
      </w:tr>
      <w:tr w:rsidR="007841CD" w:rsidRPr="007841CD" w14:paraId="3EC080EE" w14:textId="77777777" w:rsidTr="007841CD">
        <w:tc>
          <w:tcPr>
            <w:tcW w:w="0" w:type="auto"/>
            <w:tcMar>
              <w:top w:w="113" w:type="dxa"/>
              <w:left w:w="113" w:type="dxa"/>
              <w:bottom w:w="113" w:type="dxa"/>
              <w:right w:w="113" w:type="dxa"/>
            </w:tcMar>
            <w:hideMark/>
          </w:tcPr>
          <w:p w14:paraId="0DF551F5" w14:textId="37315152"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964" w:type="dxa"/>
            <w:tcMar>
              <w:top w:w="113" w:type="dxa"/>
              <w:left w:w="113" w:type="dxa"/>
              <w:bottom w:w="113" w:type="dxa"/>
              <w:right w:w="113" w:type="dxa"/>
            </w:tcMar>
            <w:hideMark/>
          </w:tcPr>
          <w:p w14:paraId="1755E053" w14:textId="1836B13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0.3361</w:t>
            </w:r>
          </w:p>
        </w:tc>
        <w:tc>
          <w:tcPr>
            <w:tcW w:w="1803" w:type="dxa"/>
            <w:tcMar>
              <w:top w:w="113" w:type="dxa"/>
              <w:left w:w="113" w:type="dxa"/>
              <w:bottom w:w="113" w:type="dxa"/>
              <w:right w:w="113" w:type="dxa"/>
            </w:tcMar>
            <w:hideMark/>
          </w:tcPr>
          <w:p w14:paraId="548B8C18" w14:textId="00B3597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-0.0069 – 0.6792</w:t>
            </w:r>
          </w:p>
        </w:tc>
        <w:tc>
          <w:tcPr>
            <w:tcW w:w="0" w:type="auto"/>
            <w:tcMar>
              <w:top w:w="113" w:type="dxa"/>
              <w:left w:w="113" w:type="dxa"/>
              <w:bottom w:w="113" w:type="dxa"/>
              <w:right w:w="113" w:type="dxa"/>
            </w:tcMar>
            <w:hideMark/>
          </w:tcPr>
          <w:p w14:paraId="088A5A8D" w14:textId="4B06266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0.056</w:t>
            </w:r>
          </w:p>
        </w:tc>
      </w:tr>
      <w:tr w:rsidR="007841CD" w:rsidRPr="007841CD" w14:paraId="126BFCED" w14:textId="77777777" w:rsidTr="007841CD">
        <w:tc>
          <w:tcPr>
            <w:tcW w:w="0" w:type="auto"/>
            <w:tcMar>
              <w:top w:w="113" w:type="dxa"/>
              <w:left w:w="113" w:type="dxa"/>
              <w:bottom w:w="113" w:type="dxa"/>
              <w:right w:w="113" w:type="dxa"/>
            </w:tcMar>
            <w:hideMark/>
          </w:tcPr>
          <w:p w14:paraId="7A1EFCA7" w14:textId="5376415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964" w:type="dxa"/>
            <w:tcMar>
              <w:top w:w="113" w:type="dxa"/>
              <w:left w:w="113" w:type="dxa"/>
              <w:bottom w:w="113" w:type="dxa"/>
              <w:right w:w="113" w:type="dxa"/>
            </w:tcMar>
            <w:hideMark/>
          </w:tcPr>
          <w:p w14:paraId="11CF9CD7" w14:textId="1C3EF6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0.3337</w:t>
            </w:r>
          </w:p>
        </w:tc>
        <w:tc>
          <w:tcPr>
            <w:tcW w:w="1803" w:type="dxa"/>
            <w:tcMar>
              <w:top w:w="113" w:type="dxa"/>
              <w:left w:w="113" w:type="dxa"/>
              <w:bottom w:w="113" w:type="dxa"/>
              <w:right w:w="113" w:type="dxa"/>
            </w:tcMar>
            <w:hideMark/>
          </w:tcPr>
          <w:p w14:paraId="64C0957B" w14:textId="247FC73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-0.0627 – 0.7301</w:t>
            </w:r>
          </w:p>
        </w:tc>
        <w:tc>
          <w:tcPr>
            <w:tcW w:w="0" w:type="auto"/>
            <w:tcMar>
              <w:top w:w="113" w:type="dxa"/>
              <w:left w:w="113" w:type="dxa"/>
              <w:bottom w:w="113" w:type="dxa"/>
              <w:right w:w="113" w:type="dxa"/>
            </w:tcMar>
            <w:hideMark/>
          </w:tcPr>
          <w:p w14:paraId="4B33846C" w14:textId="2218141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0.100</w:t>
            </w:r>
          </w:p>
        </w:tc>
      </w:tr>
      <w:tr w:rsidR="007841CD" w:rsidRPr="007841CD" w14:paraId="7E4CADC7" w14:textId="77777777" w:rsidTr="007841CD">
        <w:tc>
          <w:tcPr>
            <w:tcW w:w="0" w:type="auto"/>
            <w:tcMar>
              <w:top w:w="113" w:type="dxa"/>
              <w:left w:w="113" w:type="dxa"/>
              <w:bottom w:w="113" w:type="dxa"/>
              <w:right w:w="113" w:type="dxa"/>
            </w:tcMar>
            <w:hideMark/>
          </w:tcPr>
          <w:p w14:paraId="53D2D3D5" w14:textId="43633AC8"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964" w:type="dxa"/>
            <w:tcMar>
              <w:top w:w="113" w:type="dxa"/>
              <w:left w:w="113" w:type="dxa"/>
              <w:bottom w:w="113" w:type="dxa"/>
              <w:right w:w="113" w:type="dxa"/>
            </w:tcMar>
            <w:hideMark/>
          </w:tcPr>
          <w:p w14:paraId="5A157402" w14:textId="7C45C3E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0.1689</w:t>
            </w:r>
          </w:p>
        </w:tc>
        <w:tc>
          <w:tcPr>
            <w:tcW w:w="1803" w:type="dxa"/>
            <w:tcMar>
              <w:top w:w="113" w:type="dxa"/>
              <w:left w:w="113" w:type="dxa"/>
              <w:bottom w:w="113" w:type="dxa"/>
              <w:right w:w="113" w:type="dxa"/>
            </w:tcMar>
            <w:hideMark/>
          </w:tcPr>
          <w:p w14:paraId="04106492" w14:textId="2CF106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-0.2357 – 0.5734</w:t>
            </w:r>
          </w:p>
        </w:tc>
        <w:tc>
          <w:tcPr>
            <w:tcW w:w="0" w:type="auto"/>
            <w:tcMar>
              <w:top w:w="113" w:type="dxa"/>
              <w:left w:w="113" w:type="dxa"/>
              <w:bottom w:w="113" w:type="dxa"/>
              <w:right w:w="113" w:type="dxa"/>
            </w:tcMar>
            <w:hideMark/>
          </w:tcPr>
          <w:p w14:paraId="03EEE17A" w14:textId="54455CE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7954BED1" w14:textId="77777777" w:rsidTr="007841CD">
        <w:tc>
          <w:tcPr>
            <w:tcW w:w="0" w:type="auto"/>
            <w:tcMar>
              <w:top w:w="113" w:type="dxa"/>
              <w:left w:w="113" w:type="dxa"/>
              <w:bottom w:w="113" w:type="dxa"/>
              <w:right w:w="113" w:type="dxa"/>
            </w:tcMar>
            <w:hideMark/>
          </w:tcPr>
          <w:p w14:paraId="5EB3AECA" w14:textId="7040A1B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964" w:type="dxa"/>
            <w:tcMar>
              <w:top w:w="113" w:type="dxa"/>
              <w:left w:w="113" w:type="dxa"/>
              <w:bottom w:w="113" w:type="dxa"/>
              <w:right w:w="113" w:type="dxa"/>
            </w:tcMar>
            <w:hideMark/>
          </w:tcPr>
          <w:p w14:paraId="2E457332" w14:textId="72C50BE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0.2703</w:t>
            </w:r>
          </w:p>
        </w:tc>
        <w:tc>
          <w:tcPr>
            <w:tcW w:w="1803" w:type="dxa"/>
            <w:tcMar>
              <w:top w:w="113" w:type="dxa"/>
              <w:left w:w="113" w:type="dxa"/>
              <w:bottom w:w="113" w:type="dxa"/>
              <w:right w:w="113" w:type="dxa"/>
            </w:tcMar>
            <w:hideMark/>
          </w:tcPr>
          <w:p w14:paraId="396109A6" w14:textId="498382C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-0.0771 – 0.6177</w:t>
            </w:r>
          </w:p>
        </w:tc>
        <w:tc>
          <w:tcPr>
            <w:tcW w:w="0" w:type="auto"/>
            <w:tcMar>
              <w:top w:w="113" w:type="dxa"/>
              <w:left w:w="113" w:type="dxa"/>
              <w:bottom w:w="113" w:type="dxa"/>
              <w:right w:w="113" w:type="dxa"/>
            </w:tcMar>
            <w:hideMark/>
          </w:tcPr>
          <w:p w14:paraId="5ABBFFE4" w14:textId="7B2D15E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0.129</w:t>
            </w:r>
          </w:p>
        </w:tc>
      </w:tr>
      <w:tr w:rsidR="007841CD" w:rsidRPr="007841CD" w14:paraId="23D1D49C" w14:textId="77777777" w:rsidTr="007841CD">
        <w:tc>
          <w:tcPr>
            <w:tcW w:w="0" w:type="auto"/>
            <w:tcMar>
              <w:top w:w="113" w:type="dxa"/>
              <w:left w:w="113" w:type="dxa"/>
              <w:bottom w:w="113" w:type="dxa"/>
              <w:right w:w="113" w:type="dxa"/>
            </w:tcMar>
            <w:hideMark/>
          </w:tcPr>
          <w:p w14:paraId="432954D5" w14:textId="760CC0CB"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964" w:type="dxa"/>
            <w:tcMar>
              <w:top w:w="113" w:type="dxa"/>
              <w:left w:w="113" w:type="dxa"/>
              <w:bottom w:w="113" w:type="dxa"/>
              <w:right w:w="113" w:type="dxa"/>
            </w:tcMar>
            <w:hideMark/>
          </w:tcPr>
          <w:p w14:paraId="23A8416D" w14:textId="4EE5237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08E2C878" w14:textId="694033C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7F315D36" w14:textId="4E21DA4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0.431</w:t>
            </w:r>
          </w:p>
        </w:tc>
      </w:tr>
      <w:tr w:rsidR="007841CD" w:rsidRPr="007841CD" w14:paraId="2F62B5AC" w14:textId="77777777" w:rsidTr="007841CD">
        <w:tc>
          <w:tcPr>
            <w:tcW w:w="0" w:type="auto"/>
            <w:tcMar>
              <w:top w:w="113" w:type="dxa"/>
              <w:left w:w="113" w:type="dxa"/>
              <w:bottom w:w="113" w:type="dxa"/>
              <w:right w:w="113" w:type="dxa"/>
            </w:tcMar>
            <w:hideMark/>
          </w:tcPr>
          <w:p w14:paraId="43D61F0B" w14:textId="346561F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964" w:type="dxa"/>
            <w:tcMar>
              <w:top w:w="113" w:type="dxa"/>
              <w:left w:w="113" w:type="dxa"/>
              <w:bottom w:w="113" w:type="dxa"/>
              <w:right w:w="113" w:type="dxa"/>
            </w:tcMar>
            <w:hideMark/>
          </w:tcPr>
          <w:p w14:paraId="0871AF95" w14:textId="620B3B6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0.1080</w:t>
            </w:r>
          </w:p>
        </w:tc>
        <w:tc>
          <w:tcPr>
            <w:tcW w:w="1803" w:type="dxa"/>
            <w:tcMar>
              <w:top w:w="113" w:type="dxa"/>
              <w:left w:w="113" w:type="dxa"/>
              <w:bottom w:w="113" w:type="dxa"/>
              <w:right w:w="113" w:type="dxa"/>
            </w:tcMar>
            <w:hideMark/>
          </w:tcPr>
          <w:p w14:paraId="0C699EA7" w14:textId="5FCD3A5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0.0359 – 0.1801</w:t>
            </w:r>
          </w:p>
        </w:tc>
        <w:tc>
          <w:tcPr>
            <w:tcW w:w="0" w:type="auto"/>
            <w:tcMar>
              <w:top w:w="113" w:type="dxa"/>
              <w:left w:w="113" w:type="dxa"/>
              <w:bottom w:w="113" w:type="dxa"/>
              <w:right w:w="113" w:type="dxa"/>
            </w:tcMar>
            <w:hideMark/>
          </w:tcPr>
          <w:p w14:paraId="4AF836FF" w14:textId="7B6073E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0.004</w:t>
            </w:r>
          </w:p>
        </w:tc>
      </w:tr>
      <w:tr w:rsidR="007841CD" w:rsidRPr="007841CD" w14:paraId="596494DC" w14:textId="77777777" w:rsidTr="007841CD">
        <w:tc>
          <w:tcPr>
            <w:tcW w:w="0" w:type="auto"/>
            <w:tcMar>
              <w:top w:w="113" w:type="dxa"/>
              <w:left w:w="113" w:type="dxa"/>
              <w:bottom w:w="113" w:type="dxa"/>
              <w:right w:w="113" w:type="dxa"/>
            </w:tcMar>
            <w:hideMark/>
          </w:tcPr>
          <w:p w14:paraId="78E04393" w14:textId="32209049"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964" w:type="dxa"/>
            <w:tcMar>
              <w:top w:w="113" w:type="dxa"/>
              <w:left w:w="113" w:type="dxa"/>
              <w:bottom w:w="113" w:type="dxa"/>
              <w:right w:w="113" w:type="dxa"/>
            </w:tcMar>
            <w:hideMark/>
          </w:tcPr>
          <w:p w14:paraId="4E8D522A" w14:textId="72E5493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0.0905</w:t>
            </w:r>
          </w:p>
        </w:tc>
        <w:tc>
          <w:tcPr>
            <w:tcW w:w="1803" w:type="dxa"/>
            <w:tcMar>
              <w:top w:w="113" w:type="dxa"/>
              <w:left w:w="113" w:type="dxa"/>
              <w:bottom w:w="113" w:type="dxa"/>
              <w:right w:w="113" w:type="dxa"/>
            </w:tcMar>
            <w:hideMark/>
          </w:tcPr>
          <w:p w14:paraId="1E960787" w14:textId="00C75FB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-0.1610 – 0.3419</w:t>
            </w:r>
          </w:p>
        </w:tc>
        <w:tc>
          <w:tcPr>
            <w:tcW w:w="0" w:type="auto"/>
            <w:tcMar>
              <w:top w:w="113" w:type="dxa"/>
              <w:left w:w="113" w:type="dxa"/>
              <w:bottom w:w="113" w:type="dxa"/>
              <w:right w:w="113" w:type="dxa"/>
            </w:tcMar>
            <w:hideMark/>
          </w:tcPr>
          <w:p w14:paraId="7CAB7997" w14:textId="07C6EC1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0.481</w:t>
            </w:r>
          </w:p>
        </w:tc>
      </w:tr>
      <w:tr w:rsidR="007841CD" w:rsidRPr="007841CD" w14:paraId="4E8F060E" w14:textId="77777777" w:rsidTr="007841CD">
        <w:tc>
          <w:tcPr>
            <w:tcW w:w="0" w:type="auto"/>
            <w:tcMar>
              <w:top w:w="113" w:type="dxa"/>
              <w:left w:w="113" w:type="dxa"/>
              <w:bottom w:w="113" w:type="dxa"/>
              <w:right w:w="113" w:type="dxa"/>
            </w:tcMar>
            <w:hideMark/>
          </w:tcPr>
          <w:p w14:paraId="02AF9145" w14:textId="4283C09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964" w:type="dxa"/>
            <w:tcMar>
              <w:top w:w="113" w:type="dxa"/>
              <w:left w:w="113" w:type="dxa"/>
              <w:bottom w:w="113" w:type="dxa"/>
              <w:right w:w="113" w:type="dxa"/>
            </w:tcMar>
            <w:hideMark/>
          </w:tcPr>
          <w:p w14:paraId="2464B346" w14:textId="0485E05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463E488B" w14:textId="585C4E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5E71CB3F" w14:textId="091F0B3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0.406</w:t>
            </w:r>
          </w:p>
        </w:tc>
      </w:tr>
      <w:tr w:rsidR="007841CD" w:rsidRPr="007841CD" w14:paraId="1DC5BFC9" w14:textId="77777777" w:rsidTr="007841CD">
        <w:tc>
          <w:tcPr>
            <w:tcW w:w="0" w:type="auto"/>
            <w:tcMar>
              <w:top w:w="113" w:type="dxa"/>
              <w:left w:w="113" w:type="dxa"/>
              <w:bottom w:w="113" w:type="dxa"/>
              <w:right w:w="113" w:type="dxa"/>
            </w:tcMar>
            <w:hideMark/>
          </w:tcPr>
          <w:p w14:paraId="5FE81C94" w14:textId="57AA6D72"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964" w:type="dxa"/>
            <w:tcMar>
              <w:top w:w="113" w:type="dxa"/>
              <w:left w:w="113" w:type="dxa"/>
              <w:bottom w:w="113" w:type="dxa"/>
              <w:right w:w="113" w:type="dxa"/>
            </w:tcMar>
            <w:hideMark/>
          </w:tcPr>
          <w:p w14:paraId="669D3D45" w14:textId="4F72E11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3944624C" w14:textId="611ACDA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0F7BDC79" w14:textId="6B1FDC3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0.271</w:t>
            </w:r>
          </w:p>
        </w:tc>
      </w:tr>
      <w:tr w:rsidR="007841CD" w:rsidRPr="007841CD" w14:paraId="1725CCD4" w14:textId="77777777" w:rsidTr="007841CD">
        <w:tc>
          <w:tcPr>
            <w:tcW w:w="0" w:type="auto"/>
            <w:tcMar>
              <w:top w:w="113" w:type="dxa"/>
              <w:left w:w="113" w:type="dxa"/>
              <w:bottom w:w="113" w:type="dxa"/>
              <w:right w:w="113" w:type="dxa"/>
            </w:tcMar>
            <w:hideMark/>
          </w:tcPr>
          <w:p w14:paraId="465B53D7" w14:textId="08B5EFF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964" w:type="dxa"/>
            <w:tcMar>
              <w:top w:w="113" w:type="dxa"/>
              <w:left w:w="113" w:type="dxa"/>
              <w:bottom w:w="113" w:type="dxa"/>
              <w:right w:w="113" w:type="dxa"/>
            </w:tcMar>
            <w:hideMark/>
          </w:tcPr>
          <w:p w14:paraId="38AC466F" w14:textId="385315C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-0.0329</w:t>
            </w:r>
          </w:p>
        </w:tc>
        <w:tc>
          <w:tcPr>
            <w:tcW w:w="1803" w:type="dxa"/>
            <w:tcMar>
              <w:top w:w="113" w:type="dxa"/>
              <w:left w:w="113" w:type="dxa"/>
              <w:bottom w:w="113" w:type="dxa"/>
              <w:right w:w="113" w:type="dxa"/>
            </w:tcMar>
            <w:hideMark/>
          </w:tcPr>
          <w:p w14:paraId="4416D64F" w14:textId="65F6E03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-0.0587 – -0.0071</w:t>
            </w:r>
          </w:p>
        </w:tc>
        <w:tc>
          <w:tcPr>
            <w:tcW w:w="0" w:type="auto"/>
            <w:tcMar>
              <w:top w:w="113" w:type="dxa"/>
              <w:left w:w="113" w:type="dxa"/>
              <w:bottom w:w="113" w:type="dxa"/>
              <w:right w:w="113" w:type="dxa"/>
            </w:tcMar>
            <w:hideMark/>
          </w:tcPr>
          <w:p w14:paraId="3B286134" w14:textId="0C5D556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0.013</w:t>
            </w:r>
          </w:p>
        </w:tc>
      </w:tr>
      <w:tr w:rsidR="007841CD" w:rsidRPr="007841CD" w14:paraId="1DDA583B" w14:textId="77777777" w:rsidTr="007841CD">
        <w:tc>
          <w:tcPr>
            <w:tcW w:w="0" w:type="auto"/>
            <w:tcMar>
              <w:top w:w="113" w:type="dxa"/>
              <w:left w:w="113" w:type="dxa"/>
              <w:bottom w:w="113" w:type="dxa"/>
              <w:right w:w="113" w:type="dxa"/>
            </w:tcMar>
            <w:hideMark/>
          </w:tcPr>
          <w:p w14:paraId="202F98B1" w14:textId="520385B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964" w:type="dxa"/>
            <w:tcMar>
              <w:top w:w="113" w:type="dxa"/>
              <w:left w:w="113" w:type="dxa"/>
              <w:bottom w:w="113" w:type="dxa"/>
              <w:right w:w="113" w:type="dxa"/>
            </w:tcMar>
            <w:hideMark/>
          </w:tcPr>
          <w:p w14:paraId="5D017034" w14:textId="514A4F6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-0.0257</w:t>
            </w:r>
          </w:p>
        </w:tc>
        <w:tc>
          <w:tcPr>
            <w:tcW w:w="1803" w:type="dxa"/>
            <w:tcMar>
              <w:top w:w="113" w:type="dxa"/>
              <w:left w:w="113" w:type="dxa"/>
              <w:bottom w:w="113" w:type="dxa"/>
              <w:right w:w="113" w:type="dxa"/>
            </w:tcMar>
            <w:hideMark/>
          </w:tcPr>
          <w:p w14:paraId="1B3A53AF" w14:textId="48E6B5C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-0.0490 – -0.0025</w:t>
            </w:r>
          </w:p>
        </w:tc>
        <w:tc>
          <w:tcPr>
            <w:tcW w:w="0" w:type="auto"/>
            <w:tcMar>
              <w:top w:w="113" w:type="dxa"/>
              <w:left w:w="113" w:type="dxa"/>
              <w:bottom w:w="113" w:type="dxa"/>
              <w:right w:w="113" w:type="dxa"/>
            </w:tcMar>
            <w:hideMark/>
          </w:tcPr>
          <w:p w14:paraId="27A91D6B" w14:textId="433C8B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0.031</w:t>
            </w:r>
          </w:p>
        </w:tc>
      </w:tr>
      <w:tr w:rsidR="007841CD" w:rsidRPr="007841CD" w14:paraId="4B8360D2" w14:textId="77777777" w:rsidTr="007841CD">
        <w:tc>
          <w:tcPr>
            <w:tcW w:w="0" w:type="auto"/>
            <w:tcMar>
              <w:top w:w="113" w:type="dxa"/>
              <w:left w:w="113" w:type="dxa"/>
              <w:bottom w:w="113" w:type="dxa"/>
              <w:right w:w="113" w:type="dxa"/>
            </w:tcMar>
            <w:hideMark/>
          </w:tcPr>
          <w:p w14:paraId="5C77986A" w14:textId="5C320A5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964" w:type="dxa"/>
            <w:tcMar>
              <w:top w:w="113" w:type="dxa"/>
              <w:left w:w="113" w:type="dxa"/>
              <w:bottom w:w="113" w:type="dxa"/>
              <w:right w:w="113" w:type="dxa"/>
            </w:tcMar>
            <w:hideMark/>
          </w:tcPr>
          <w:p w14:paraId="731EF132" w14:textId="2966018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-0.0200</w:t>
            </w:r>
          </w:p>
        </w:tc>
        <w:tc>
          <w:tcPr>
            <w:tcW w:w="1803" w:type="dxa"/>
            <w:tcMar>
              <w:top w:w="113" w:type="dxa"/>
              <w:left w:w="113" w:type="dxa"/>
              <w:bottom w:w="113" w:type="dxa"/>
              <w:right w:w="113" w:type="dxa"/>
            </w:tcMar>
            <w:hideMark/>
          </w:tcPr>
          <w:p w14:paraId="05181171" w14:textId="43E361B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-0.0453 – 0.0054</w:t>
            </w:r>
          </w:p>
        </w:tc>
        <w:tc>
          <w:tcPr>
            <w:tcW w:w="0" w:type="auto"/>
            <w:tcMar>
              <w:top w:w="113" w:type="dxa"/>
              <w:left w:w="113" w:type="dxa"/>
              <w:bottom w:w="113" w:type="dxa"/>
              <w:right w:w="113" w:type="dxa"/>
            </w:tcMar>
            <w:hideMark/>
          </w:tcPr>
          <w:p w14:paraId="0761BC59" w14:textId="2B382CA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0.123</w:t>
            </w:r>
          </w:p>
        </w:tc>
      </w:tr>
      <w:tr w:rsidR="0011160D" w:rsidRPr="007841CD" w14:paraId="3D36AE73" w14:textId="77777777" w:rsidTr="000F3D9E">
        <w:tc>
          <w:tcPr>
            <w:tcW w:w="0" w:type="auto"/>
            <w:tcBorders>
              <w:top w:val="single" w:sz="6" w:space="0" w:color="auto"/>
            </w:tcBorders>
            <w:tcMar>
              <w:top w:w="57" w:type="dxa"/>
              <w:left w:w="113" w:type="dxa"/>
              <w:bottom w:w="57" w:type="dxa"/>
              <w:right w:w="113" w:type="dxa"/>
            </w:tcMar>
            <w:hideMark/>
          </w:tcPr>
          <w:p w14:paraId="0A2644DD"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0" w:type="auto"/>
            <w:gridSpan w:val="3"/>
            <w:tcBorders>
              <w:top w:val="single" w:sz="6" w:space="0" w:color="auto"/>
            </w:tcBorders>
            <w:tcMar>
              <w:top w:w="57" w:type="dxa"/>
              <w:left w:w="113" w:type="dxa"/>
              <w:bottom w:w="57" w:type="dxa"/>
              <w:right w:w="113" w:type="dxa"/>
            </w:tcMar>
            <w:hideMark/>
          </w:tcPr>
          <w:p w14:paraId="792C8D53"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11160D" w:rsidRPr="007841CD" w14:paraId="651A5A34" w14:textId="77777777" w:rsidTr="000F3D9E">
        <w:tc>
          <w:tcPr>
            <w:tcW w:w="0" w:type="auto"/>
            <w:tcMar>
              <w:top w:w="57" w:type="dxa"/>
              <w:left w:w="113" w:type="dxa"/>
              <w:bottom w:w="57" w:type="dxa"/>
              <w:right w:w="113" w:type="dxa"/>
            </w:tcMar>
            <w:hideMark/>
          </w:tcPr>
          <w:p w14:paraId="75CF5102"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0" w:type="auto"/>
            <w:gridSpan w:val="3"/>
            <w:tcMar>
              <w:top w:w="57" w:type="dxa"/>
              <w:left w:w="113" w:type="dxa"/>
              <w:bottom w:w="57" w:type="dxa"/>
              <w:right w:w="113" w:type="dxa"/>
            </w:tcMar>
            <w:hideMark/>
          </w:tcPr>
          <w:p w14:paraId="2D63B4C3" w14:textId="24183DCC"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0.20</w:t>
            </w:r>
            <w:r w:rsidR="007841CD" w:rsidRPr="007841CD">
              <w:rPr>
                <w:rFonts w:ascii="Times New Roman" w:eastAsia="Times New Roman" w:hAnsi="Times New Roman" w:cs="Times New Roman"/>
                <w:lang w:eastAsia="de-DE"/>
              </w:rPr>
              <w:t>7</w:t>
            </w:r>
          </w:p>
        </w:tc>
      </w:tr>
    </w:tbl>
    <w:p w14:paraId="4C0A564C" w14:textId="77777777" w:rsidR="0011160D" w:rsidRPr="005076A2" w:rsidRDefault="0011160D" w:rsidP="005076A2">
      <w:pPr>
        <w:rPr>
          <w:rFonts w:ascii="Times New Roman" w:hAnsi="Times New Roman" w:cs="Times New Roman"/>
          <w:b/>
          <w:sz w:val="24"/>
          <w:szCs w:val="24"/>
          <w:lang w:val="en-US"/>
        </w:rPr>
      </w:pPr>
    </w:p>
    <w:p w14:paraId="0287030B" w14:textId="77777777" w:rsidR="0011160D" w:rsidRDefault="0011160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CEA34C1" w14:textId="7692FDE1"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6j.  Lead.</w:t>
      </w:r>
    </w:p>
    <w:tbl>
      <w:tblPr>
        <w:tblW w:w="0" w:type="auto"/>
        <w:tblCellMar>
          <w:top w:w="15" w:type="dxa"/>
          <w:left w:w="15" w:type="dxa"/>
          <w:bottom w:w="15" w:type="dxa"/>
          <w:right w:w="15" w:type="dxa"/>
        </w:tblCellMar>
        <w:tblLook w:val="04A0" w:firstRow="1" w:lastRow="0" w:firstColumn="1" w:lastColumn="0" w:noHBand="0" w:noVBand="1"/>
      </w:tblPr>
      <w:tblGrid>
        <w:gridCol w:w="4140"/>
        <w:gridCol w:w="1260"/>
        <w:gridCol w:w="2433"/>
        <w:gridCol w:w="1216"/>
      </w:tblGrid>
      <w:tr w:rsidR="0011160D" w:rsidRPr="007841CD" w14:paraId="323E9B2B" w14:textId="77777777" w:rsidTr="00643F3A">
        <w:tc>
          <w:tcPr>
            <w:tcW w:w="4140" w:type="dxa"/>
            <w:tcBorders>
              <w:top w:val="double" w:sz="6" w:space="0" w:color="auto"/>
            </w:tcBorders>
            <w:tcMar>
              <w:top w:w="113" w:type="dxa"/>
              <w:left w:w="113" w:type="dxa"/>
              <w:bottom w:w="113" w:type="dxa"/>
              <w:right w:w="113" w:type="dxa"/>
            </w:tcMar>
            <w:vAlign w:val="center"/>
            <w:hideMark/>
          </w:tcPr>
          <w:p w14:paraId="6079695F"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2CCC3CA0" w14:textId="6AE7621C"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Lead</w:t>
            </w:r>
          </w:p>
        </w:tc>
      </w:tr>
      <w:tr w:rsidR="0011160D" w:rsidRPr="007841CD" w14:paraId="3620B6A9" w14:textId="77777777" w:rsidTr="00643F3A">
        <w:tc>
          <w:tcPr>
            <w:tcW w:w="4140" w:type="dxa"/>
            <w:tcBorders>
              <w:bottom w:val="single" w:sz="6" w:space="0" w:color="auto"/>
            </w:tcBorders>
            <w:vAlign w:val="center"/>
            <w:hideMark/>
          </w:tcPr>
          <w:p w14:paraId="26D3A0AE"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FC807C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2433" w:type="dxa"/>
            <w:tcBorders>
              <w:bottom w:val="single" w:sz="6" w:space="0" w:color="auto"/>
            </w:tcBorders>
            <w:vAlign w:val="center"/>
            <w:hideMark/>
          </w:tcPr>
          <w:p w14:paraId="57E04672"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1216" w:type="dxa"/>
            <w:tcBorders>
              <w:bottom w:val="single" w:sz="6" w:space="0" w:color="auto"/>
            </w:tcBorders>
            <w:vAlign w:val="center"/>
            <w:hideMark/>
          </w:tcPr>
          <w:p w14:paraId="51FB70BC"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28FC1BC1" w14:textId="77777777" w:rsidTr="00643F3A">
        <w:tc>
          <w:tcPr>
            <w:tcW w:w="4140" w:type="dxa"/>
            <w:tcMar>
              <w:top w:w="113" w:type="dxa"/>
              <w:left w:w="113" w:type="dxa"/>
              <w:bottom w:w="113" w:type="dxa"/>
              <w:right w:w="113" w:type="dxa"/>
            </w:tcMar>
            <w:hideMark/>
          </w:tcPr>
          <w:p w14:paraId="200C4D7C" w14:textId="04AFDEF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13054A98" w14:textId="1321D3E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w:t>
            </w:r>
          </w:p>
        </w:tc>
        <w:tc>
          <w:tcPr>
            <w:tcW w:w="2433" w:type="dxa"/>
            <w:tcMar>
              <w:top w:w="113" w:type="dxa"/>
              <w:left w:w="113" w:type="dxa"/>
              <w:bottom w:w="113" w:type="dxa"/>
              <w:right w:w="113" w:type="dxa"/>
            </w:tcMar>
            <w:hideMark/>
          </w:tcPr>
          <w:p w14:paraId="4D0B53B4" w14:textId="54D17EE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-0.0151 – 0.0082</w:t>
            </w:r>
          </w:p>
        </w:tc>
        <w:tc>
          <w:tcPr>
            <w:tcW w:w="1216" w:type="dxa"/>
            <w:tcMar>
              <w:top w:w="113" w:type="dxa"/>
              <w:left w:w="113" w:type="dxa"/>
              <w:bottom w:w="113" w:type="dxa"/>
              <w:right w:w="113" w:type="dxa"/>
            </w:tcMar>
            <w:hideMark/>
          </w:tcPr>
          <w:p w14:paraId="4696F9DB" w14:textId="6894DF1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0.558</w:t>
            </w:r>
          </w:p>
        </w:tc>
      </w:tr>
      <w:tr w:rsidR="007841CD" w:rsidRPr="007841CD" w14:paraId="5920A73C" w14:textId="77777777" w:rsidTr="00643F3A">
        <w:tc>
          <w:tcPr>
            <w:tcW w:w="4140" w:type="dxa"/>
            <w:tcMar>
              <w:top w:w="113" w:type="dxa"/>
              <w:left w:w="113" w:type="dxa"/>
              <w:bottom w:w="113" w:type="dxa"/>
              <w:right w:w="113" w:type="dxa"/>
            </w:tcMar>
            <w:hideMark/>
          </w:tcPr>
          <w:p w14:paraId="6AC182BE" w14:textId="5F10F8FD"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1CC1A5BE" w14:textId="50473C2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4C002105" w14:textId="00BEAC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-0.0003 – 0.0003</w:t>
            </w:r>
          </w:p>
        </w:tc>
        <w:tc>
          <w:tcPr>
            <w:tcW w:w="1216" w:type="dxa"/>
            <w:tcMar>
              <w:top w:w="113" w:type="dxa"/>
              <w:left w:w="113" w:type="dxa"/>
              <w:bottom w:w="113" w:type="dxa"/>
              <w:right w:w="113" w:type="dxa"/>
            </w:tcMar>
            <w:hideMark/>
          </w:tcPr>
          <w:p w14:paraId="3BFFA318" w14:textId="7103E0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0.991</w:t>
            </w:r>
          </w:p>
        </w:tc>
      </w:tr>
      <w:tr w:rsidR="007841CD" w:rsidRPr="007841CD" w14:paraId="26EDD84B" w14:textId="77777777" w:rsidTr="00643F3A">
        <w:tc>
          <w:tcPr>
            <w:tcW w:w="4140" w:type="dxa"/>
            <w:tcMar>
              <w:top w:w="113" w:type="dxa"/>
              <w:left w:w="113" w:type="dxa"/>
              <w:bottom w:w="113" w:type="dxa"/>
              <w:right w:w="113" w:type="dxa"/>
            </w:tcMar>
            <w:hideMark/>
          </w:tcPr>
          <w:p w14:paraId="54BC88A1" w14:textId="773DCC4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5FD26E8A" w14:textId="1139089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0.0078</w:t>
            </w:r>
          </w:p>
        </w:tc>
        <w:tc>
          <w:tcPr>
            <w:tcW w:w="2433" w:type="dxa"/>
            <w:tcMar>
              <w:top w:w="113" w:type="dxa"/>
              <w:left w:w="113" w:type="dxa"/>
              <w:bottom w:w="113" w:type="dxa"/>
              <w:right w:w="113" w:type="dxa"/>
            </w:tcMar>
            <w:hideMark/>
          </w:tcPr>
          <w:p w14:paraId="26E78D1C" w14:textId="3BD18CF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-0.0039 – 0.0196</w:t>
            </w:r>
          </w:p>
        </w:tc>
        <w:tc>
          <w:tcPr>
            <w:tcW w:w="1216" w:type="dxa"/>
            <w:tcMar>
              <w:top w:w="113" w:type="dxa"/>
              <w:left w:w="113" w:type="dxa"/>
              <w:bottom w:w="113" w:type="dxa"/>
              <w:right w:w="113" w:type="dxa"/>
            </w:tcMar>
            <w:hideMark/>
          </w:tcPr>
          <w:p w14:paraId="1C1D3102" w14:textId="0195175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0.192</w:t>
            </w:r>
          </w:p>
        </w:tc>
      </w:tr>
      <w:tr w:rsidR="007841CD" w:rsidRPr="007841CD" w14:paraId="12ABCC4D" w14:textId="77777777" w:rsidTr="00643F3A">
        <w:tc>
          <w:tcPr>
            <w:tcW w:w="4140" w:type="dxa"/>
            <w:tcMar>
              <w:top w:w="113" w:type="dxa"/>
              <w:left w:w="113" w:type="dxa"/>
              <w:bottom w:w="113" w:type="dxa"/>
              <w:right w:w="113" w:type="dxa"/>
            </w:tcMar>
            <w:hideMark/>
          </w:tcPr>
          <w:p w14:paraId="0D8F826D" w14:textId="5A43961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558B4685" w14:textId="60EEE2C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0.0088</w:t>
            </w:r>
          </w:p>
        </w:tc>
        <w:tc>
          <w:tcPr>
            <w:tcW w:w="2433" w:type="dxa"/>
            <w:tcMar>
              <w:top w:w="113" w:type="dxa"/>
              <w:left w:w="113" w:type="dxa"/>
              <w:bottom w:w="113" w:type="dxa"/>
              <w:right w:w="113" w:type="dxa"/>
            </w:tcMar>
            <w:hideMark/>
          </w:tcPr>
          <w:p w14:paraId="5B1D3BA0" w14:textId="765E75E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 – 0.0204</w:t>
            </w:r>
          </w:p>
        </w:tc>
        <w:tc>
          <w:tcPr>
            <w:tcW w:w="1216" w:type="dxa"/>
            <w:tcMar>
              <w:top w:w="113" w:type="dxa"/>
              <w:left w:w="113" w:type="dxa"/>
              <w:bottom w:w="113" w:type="dxa"/>
              <w:right w:w="113" w:type="dxa"/>
            </w:tcMar>
            <w:hideMark/>
          </w:tcPr>
          <w:p w14:paraId="0B8544C4" w14:textId="02E9EAC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0.137</w:t>
            </w:r>
          </w:p>
        </w:tc>
      </w:tr>
      <w:tr w:rsidR="007841CD" w:rsidRPr="007841CD" w14:paraId="3A844613" w14:textId="77777777" w:rsidTr="00643F3A">
        <w:tc>
          <w:tcPr>
            <w:tcW w:w="4140" w:type="dxa"/>
            <w:tcMar>
              <w:top w:w="113" w:type="dxa"/>
              <w:left w:w="113" w:type="dxa"/>
              <w:bottom w:w="113" w:type="dxa"/>
              <w:right w:w="113" w:type="dxa"/>
            </w:tcMar>
            <w:hideMark/>
          </w:tcPr>
          <w:p w14:paraId="63C9692E" w14:textId="1F1BF1F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0D5074B" w14:textId="507978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0.0082</w:t>
            </w:r>
          </w:p>
        </w:tc>
        <w:tc>
          <w:tcPr>
            <w:tcW w:w="2433" w:type="dxa"/>
            <w:tcMar>
              <w:top w:w="113" w:type="dxa"/>
              <w:left w:w="113" w:type="dxa"/>
              <w:bottom w:w="113" w:type="dxa"/>
              <w:right w:w="113" w:type="dxa"/>
            </w:tcMar>
            <w:hideMark/>
          </w:tcPr>
          <w:p w14:paraId="47858C35" w14:textId="0517F8D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-0.0052 – 0.0216</w:t>
            </w:r>
          </w:p>
        </w:tc>
        <w:tc>
          <w:tcPr>
            <w:tcW w:w="1216" w:type="dxa"/>
            <w:tcMar>
              <w:top w:w="113" w:type="dxa"/>
              <w:left w:w="113" w:type="dxa"/>
              <w:bottom w:w="113" w:type="dxa"/>
              <w:right w:w="113" w:type="dxa"/>
            </w:tcMar>
            <w:hideMark/>
          </w:tcPr>
          <w:p w14:paraId="69609D6D" w14:textId="360AD76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0.232</w:t>
            </w:r>
          </w:p>
        </w:tc>
      </w:tr>
      <w:tr w:rsidR="007841CD" w:rsidRPr="007841CD" w14:paraId="56506F8E" w14:textId="77777777" w:rsidTr="00643F3A">
        <w:tc>
          <w:tcPr>
            <w:tcW w:w="4140" w:type="dxa"/>
            <w:tcMar>
              <w:top w:w="113" w:type="dxa"/>
              <w:left w:w="113" w:type="dxa"/>
              <w:bottom w:w="113" w:type="dxa"/>
              <w:right w:w="113" w:type="dxa"/>
            </w:tcMar>
            <w:hideMark/>
          </w:tcPr>
          <w:p w14:paraId="7F811AD2" w14:textId="428C90B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16EED4EA" w14:textId="233CED5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w:t>
            </w:r>
          </w:p>
        </w:tc>
        <w:tc>
          <w:tcPr>
            <w:tcW w:w="2433" w:type="dxa"/>
            <w:tcMar>
              <w:top w:w="113" w:type="dxa"/>
              <w:left w:w="113" w:type="dxa"/>
              <w:bottom w:w="113" w:type="dxa"/>
              <w:right w:w="113" w:type="dxa"/>
            </w:tcMar>
            <w:hideMark/>
          </w:tcPr>
          <w:p w14:paraId="636ADAC4" w14:textId="5E0D874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-0.0102 – 0.0171</w:t>
            </w:r>
          </w:p>
        </w:tc>
        <w:tc>
          <w:tcPr>
            <w:tcW w:w="1216" w:type="dxa"/>
            <w:tcMar>
              <w:top w:w="113" w:type="dxa"/>
              <w:left w:w="113" w:type="dxa"/>
              <w:bottom w:w="113" w:type="dxa"/>
              <w:right w:w="113" w:type="dxa"/>
            </w:tcMar>
            <w:hideMark/>
          </w:tcPr>
          <w:p w14:paraId="15576F2B" w14:textId="2B6C6FD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0.621</w:t>
            </w:r>
          </w:p>
        </w:tc>
      </w:tr>
      <w:tr w:rsidR="007841CD" w:rsidRPr="007841CD" w14:paraId="1A87748F" w14:textId="77777777" w:rsidTr="00643F3A">
        <w:tc>
          <w:tcPr>
            <w:tcW w:w="4140" w:type="dxa"/>
            <w:tcMar>
              <w:top w:w="113" w:type="dxa"/>
              <w:left w:w="113" w:type="dxa"/>
              <w:bottom w:w="113" w:type="dxa"/>
              <w:right w:w="113" w:type="dxa"/>
            </w:tcMar>
            <w:hideMark/>
          </w:tcPr>
          <w:p w14:paraId="66D4777F" w14:textId="6C102EA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7FF925F7" w14:textId="214C33A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0.0068</w:t>
            </w:r>
          </w:p>
        </w:tc>
        <w:tc>
          <w:tcPr>
            <w:tcW w:w="2433" w:type="dxa"/>
            <w:tcMar>
              <w:top w:w="113" w:type="dxa"/>
              <w:left w:w="113" w:type="dxa"/>
              <w:bottom w:w="113" w:type="dxa"/>
              <w:right w:w="113" w:type="dxa"/>
            </w:tcMar>
            <w:hideMark/>
          </w:tcPr>
          <w:p w14:paraId="143264FA" w14:textId="2978D48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-0.0049 – 0.0186</w:t>
            </w:r>
          </w:p>
        </w:tc>
        <w:tc>
          <w:tcPr>
            <w:tcW w:w="1216" w:type="dxa"/>
            <w:tcMar>
              <w:top w:w="113" w:type="dxa"/>
              <w:left w:w="113" w:type="dxa"/>
              <w:bottom w:w="113" w:type="dxa"/>
              <w:right w:w="113" w:type="dxa"/>
            </w:tcMar>
            <w:hideMark/>
          </w:tcPr>
          <w:p w14:paraId="6C588231" w14:textId="375DBE5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0.255</w:t>
            </w:r>
          </w:p>
        </w:tc>
      </w:tr>
      <w:tr w:rsidR="007841CD" w:rsidRPr="007841CD" w14:paraId="6209D46F" w14:textId="77777777" w:rsidTr="00643F3A">
        <w:tc>
          <w:tcPr>
            <w:tcW w:w="4140" w:type="dxa"/>
            <w:tcMar>
              <w:top w:w="113" w:type="dxa"/>
              <w:left w:w="113" w:type="dxa"/>
              <w:bottom w:w="113" w:type="dxa"/>
              <w:right w:w="113" w:type="dxa"/>
            </w:tcMar>
            <w:hideMark/>
          </w:tcPr>
          <w:p w14:paraId="598F5502" w14:textId="449C069C"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6ABD1D5E" w14:textId="3D3F734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741C91B6" w14:textId="0A8C01C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070EE8E9" w14:textId="1610F99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0.905</w:t>
            </w:r>
          </w:p>
        </w:tc>
      </w:tr>
      <w:tr w:rsidR="007841CD" w:rsidRPr="007841CD" w14:paraId="6F5115C8" w14:textId="77777777" w:rsidTr="00643F3A">
        <w:tc>
          <w:tcPr>
            <w:tcW w:w="4140" w:type="dxa"/>
            <w:tcMar>
              <w:top w:w="113" w:type="dxa"/>
              <w:left w:w="113" w:type="dxa"/>
              <w:bottom w:w="113" w:type="dxa"/>
              <w:right w:w="113" w:type="dxa"/>
            </w:tcMar>
            <w:hideMark/>
          </w:tcPr>
          <w:p w14:paraId="2E27A375" w14:textId="285C010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41B68004" w14:textId="4F4632F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2433" w:type="dxa"/>
            <w:tcMar>
              <w:top w:w="113" w:type="dxa"/>
              <w:left w:w="113" w:type="dxa"/>
              <w:bottom w:w="113" w:type="dxa"/>
              <w:right w:w="113" w:type="dxa"/>
            </w:tcMar>
            <w:hideMark/>
          </w:tcPr>
          <w:p w14:paraId="115A025B" w14:textId="6BDA5C9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 – 0.0014</w:t>
            </w:r>
          </w:p>
        </w:tc>
        <w:tc>
          <w:tcPr>
            <w:tcW w:w="1216" w:type="dxa"/>
            <w:tcMar>
              <w:top w:w="113" w:type="dxa"/>
              <w:left w:w="113" w:type="dxa"/>
              <w:bottom w:w="113" w:type="dxa"/>
              <w:right w:w="113" w:type="dxa"/>
            </w:tcMar>
            <w:hideMark/>
          </w:tcPr>
          <w:p w14:paraId="45191BEC" w14:textId="6DF0E3D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23805D4F" w14:textId="77777777" w:rsidTr="00643F3A">
        <w:tc>
          <w:tcPr>
            <w:tcW w:w="4140" w:type="dxa"/>
            <w:tcMar>
              <w:top w:w="113" w:type="dxa"/>
              <w:left w:w="113" w:type="dxa"/>
              <w:bottom w:w="113" w:type="dxa"/>
              <w:right w:w="113" w:type="dxa"/>
            </w:tcMar>
            <w:hideMark/>
          </w:tcPr>
          <w:p w14:paraId="14BD8CD3" w14:textId="4D65F21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46D0352C" w14:textId="1136D50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0.0100</w:t>
            </w:r>
          </w:p>
        </w:tc>
        <w:tc>
          <w:tcPr>
            <w:tcW w:w="2433" w:type="dxa"/>
            <w:tcMar>
              <w:top w:w="113" w:type="dxa"/>
              <w:left w:w="113" w:type="dxa"/>
              <w:bottom w:w="113" w:type="dxa"/>
              <w:right w:w="113" w:type="dxa"/>
            </w:tcMar>
            <w:hideMark/>
          </w:tcPr>
          <w:p w14:paraId="3C94AD81" w14:textId="5D267B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 – 0.0185</w:t>
            </w:r>
          </w:p>
        </w:tc>
        <w:tc>
          <w:tcPr>
            <w:tcW w:w="1216" w:type="dxa"/>
            <w:tcMar>
              <w:top w:w="113" w:type="dxa"/>
              <w:left w:w="113" w:type="dxa"/>
              <w:bottom w:w="113" w:type="dxa"/>
              <w:right w:w="113" w:type="dxa"/>
            </w:tcMar>
            <w:hideMark/>
          </w:tcPr>
          <w:p w14:paraId="2ED10382" w14:textId="28179F8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0.022</w:t>
            </w:r>
          </w:p>
        </w:tc>
      </w:tr>
      <w:tr w:rsidR="007841CD" w:rsidRPr="007841CD" w14:paraId="1879002D" w14:textId="77777777" w:rsidTr="00643F3A">
        <w:tc>
          <w:tcPr>
            <w:tcW w:w="4140" w:type="dxa"/>
            <w:tcMar>
              <w:top w:w="113" w:type="dxa"/>
              <w:left w:w="113" w:type="dxa"/>
              <w:bottom w:w="113" w:type="dxa"/>
              <w:right w:w="113" w:type="dxa"/>
            </w:tcMar>
            <w:hideMark/>
          </w:tcPr>
          <w:p w14:paraId="0E885354" w14:textId="24D85B5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1EF176C3" w14:textId="5BBD7BB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3065E7FD" w14:textId="00DE6DA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5081A3E2" w14:textId="2DF7413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0.191</w:t>
            </w:r>
          </w:p>
        </w:tc>
      </w:tr>
      <w:tr w:rsidR="007841CD" w:rsidRPr="007841CD" w14:paraId="67BEACA3" w14:textId="77777777" w:rsidTr="00643F3A">
        <w:tc>
          <w:tcPr>
            <w:tcW w:w="4140" w:type="dxa"/>
            <w:tcMar>
              <w:top w:w="113" w:type="dxa"/>
              <w:left w:w="113" w:type="dxa"/>
              <w:bottom w:w="113" w:type="dxa"/>
              <w:right w:w="113" w:type="dxa"/>
            </w:tcMar>
            <w:hideMark/>
          </w:tcPr>
          <w:p w14:paraId="7508877A" w14:textId="61CA0AF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634237F2" w14:textId="3E123E3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7E693D04" w14:textId="15DA8E5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2656B731" w14:textId="5849ABD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0.897</w:t>
            </w:r>
          </w:p>
        </w:tc>
      </w:tr>
      <w:tr w:rsidR="007841CD" w:rsidRPr="007841CD" w14:paraId="6B2238D5" w14:textId="77777777" w:rsidTr="00643F3A">
        <w:tc>
          <w:tcPr>
            <w:tcW w:w="4140" w:type="dxa"/>
            <w:tcMar>
              <w:top w:w="113" w:type="dxa"/>
              <w:left w:w="113" w:type="dxa"/>
              <w:bottom w:w="113" w:type="dxa"/>
              <w:right w:w="113" w:type="dxa"/>
            </w:tcMar>
            <w:hideMark/>
          </w:tcPr>
          <w:p w14:paraId="18F1E141" w14:textId="66D6756C"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125B2DA4" w14:textId="0B68058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-0.0006</w:t>
            </w:r>
          </w:p>
        </w:tc>
        <w:tc>
          <w:tcPr>
            <w:tcW w:w="2433" w:type="dxa"/>
            <w:tcMar>
              <w:top w:w="113" w:type="dxa"/>
              <w:left w:w="113" w:type="dxa"/>
              <w:bottom w:w="113" w:type="dxa"/>
              <w:right w:w="113" w:type="dxa"/>
            </w:tcMar>
            <w:hideMark/>
          </w:tcPr>
          <w:p w14:paraId="4EF2BACD" w14:textId="50B791C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 – 0.0002</w:t>
            </w:r>
          </w:p>
        </w:tc>
        <w:tc>
          <w:tcPr>
            <w:tcW w:w="1216" w:type="dxa"/>
            <w:tcMar>
              <w:top w:w="113" w:type="dxa"/>
              <w:left w:w="113" w:type="dxa"/>
              <w:bottom w:w="113" w:type="dxa"/>
              <w:right w:w="113" w:type="dxa"/>
            </w:tcMar>
            <w:hideMark/>
          </w:tcPr>
          <w:p w14:paraId="50F53C96" w14:textId="0BCE77C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0.147</w:t>
            </w:r>
          </w:p>
        </w:tc>
      </w:tr>
      <w:tr w:rsidR="007841CD" w:rsidRPr="007841CD" w14:paraId="28641662" w14:textId="77777777" w:rsidTr="00643F3A">
        <w:tc>
          <w:tcPr>
            <w:tcW w:w="4140" w:type="dxa"/>
            <w:tcMar>
              <w:top w:w="113" w:type="dxa"/>
              <w:left w:w="113" w:type="dxa"/>
              <w:bottom w:w="113" w:type="dxa"/>
              <w:right w:w="113" w:type="dxa"/>
            </w:tcMar>
            <w:hideMark/>
          </w:tcPr>
          <w:p w14:paraId="1AEB2444" w14:textId="21DE0C0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49DAF2EF" w14:textId="6706530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w:t>
            </w:r>
          </w:p>
        </w:tc>
        <w:tc>
          <w:tcPr>
            <w:tcW w:w="2433" w:type="dxa"/>
            <w:tcMar>
              <w:top w:w="113" w:type="dxa"/>
              <w:left w:w="113" w:type="dxa"/>
              <w:bottom w:w="113" w:type="dxa"/>
              <w:right w:w="113" w:type="dxa"/>
            </w:tcMar>
            <w:hideMark/>
          </w:tcPr>
          <w:p w14:paraId="6FA6976F" w14:textId="5637682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-0.0022 – -0.0007</w:t>
            </w:r>
          </w:p>
        </w:tc>
        <w:tc>
          <w:tcPr>
            <w:tcW w:w="1216" w:type="dxa"/>
            <w:tcMar>
              <w:top w:w="113" w:type="dxa"/>
              <w:left w:w="113" w:type="dxa"/>
              <w:bottom w:w="113" w:type="dxa"/>
              <w:right w:w="113" w:type="dxa"/>
            </w:tcMar>
            <w:hideMark/>
          </w:tcPr>
          <w:p w14:paraId="650C6AA5" w14:textId="68E86C4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B25166A" w14:textId="77777777" w:rsidTr="00643F3A">
        <w:tc>
          <w:tcPr>
            <w:tcW w:w="4140" w:type="dxa"/>
            <w:tcMar>
              <w:top w:w="113" w:type="dxa"/>
              <w:left w:w="113" w:type="dxa"/>
              <w:bottom w:w="113" w:type="dxa"/>
              <w:right w:w="113" w:type="dxa"/>
            </w:tcMar>
            <w:hideMark/>
          </w:tcPr>
          <w:p w14:paraId="22BB6A4C" w14:textId="42CD32C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0AE99E09" w14:textId="5FE0342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-0.0020</w:t>
            </w:r>
          </w:p>
        </w:tc>
        <w:tc>
          <w:tcPr>
            <w:tcW w:w="2433" w:type="dxa"/>
            <w:tcMar>
              <w:top w:w="113" w:type="dxa"/>
              <w:left w:w="113" w:type="dxa"/>
              <w:bottom w:w="113" w:type="dxa"/>
              <w:right w:w="113" w:type="dxa"/>
            </w:tcMar>
            <w:hideMark/>
          </w:tcPr>
          <w:p w14:paraId="3F606A21" w14:textId="2C71BD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 – -0.0011</w:t>
            </w:r>
          </w:p>
        </w:tc>
        <w:tc>
          <w:tcPr>
            <w:tcW w:w="1216" w:type="dxa"/>
            <w:tcMar>
              <w:top w:w="113" w:type="dxa"/>
              <w:left w:w="113" w:type="dxa"/>
              <w:bottom w:w="113" w:type="dxa"/>
              <w:right w:w="113" w:type="dxa"/>
            </w:tcMar>
            <w:hideMark/>
          </w:tcPr>
          <w:p w14:paraId="70D449EE" w14:textId="2CF56B1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11160D" w:rsidRPr="007841CD" w14:paraId="31593985" w14:textId="77777777" w:rsidTr="00643F3A">
        <w:tc>
          <w:tcPr>
            <w:tcW w:w="4140" w:type="dxa"/>
            <w:tcBorders>
              <w:top w:val="single" w:sz="6" w:space="0" w:color="auto"/>
            </w:tcBorders>
            <w:tcMar>
              <w:top w:w="57" w:type="dxa"/>
              <w:left w:w="113" w:type="dxa"/>
              <w:bottom w:w="57" w:type="dxa"/>
              <w:right w:w="113" w:type="dxa"/>
            </w:tcMar>
            <w:hideMark/>
          </w:tcPr>
          <w:p w14:paraId="78D9AA29"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5161D5F0"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11160D" w:rsidRPr="007841CD" w14:paraId="55950203" w14:textId="77777777" w:rsidTr="00643F3A">
        <w:tc>
          <w:tcPr>
            <w:tcW w:w="4140" w:type="dxa"/>
            <w:tcMar>
              <w:top w:w="57" w:type="dxa"/>
              <w:left w:w="113" w:type="dxa"/>
              <w:bottom w:w="57" w:type="dxa"/>
              <w:right w:w="113" w:type="dxa"/>
            </w:tcMar>
            <w:hideMark/>
          </w:tcPr>
          <w:p w14:paraId="47007B48"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78865C6F"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0.183</w:t>
            </w:r>
          </w:p>
        </w:tc>
      </w:tr>
    </w:tbl>
    <w:p w14:paraId="0022872B" w14:textId="77777777" w:rsidR="0011160D" w:rsidRPr="005076A2" w:rsidRDefault="0011160D" w:rsidP="005076A2">
      <w:pPr>
        <w:rPr>
          <w:rFonts w:ascii="Times New Roman" w:hAnsi="Times New Roman" w:cs="Times New Roman"/>
          <w:b/>
          <w:sz w:val="24"/>
          <w:szCs w:val="24"/>
          <w:lang w:val="en-US"/>
        </w:rPr>
      </w:pPr>
    </w:p>
    <w:p w14:paraId="1D608C22" w14:textId="77777777" w:rsidR="0011160D" w:rsidRDefault="0011160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E9B8AFE" w14:textId="1BECAA61"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6k.  M</w:t>
      </w:r>
      <w:r>
        <w:rPr>
          <w:rFonts w:ascii="Times New Roman" w:hAnsi="Times New Roman" w:cs="Times New Roman"/>
          <w:b/>
          <w:sz w:val="24"/>
          <w:szCs w:val="24"/>
          <w:lang w:val="en-US"/>
        </w:rPr>
        <w:t>ercury.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40"/>
        <w:gridCol w:w="1350"/>
        <w:gridCol w:w="2610"/>
        <w:gridCol w:w="949"/>
      </w:tblGrid>
      <w:tr w:rsidR="006F3591" w:rsidRPr="009F53A7" w14:paraId="437A88F7" w14:textId="77777777" w:rsidTr="00643F3A">
        <w:tc>
          <w:tcPr>
            <w:tcW w:w="4140" w:type="dxa"/>
            <w:tcBorders>
              <w:top w:val="double" w:sz="6" w:space="0" w:color="auto"/>
            </w:tcBorders>
            <w:tcMar>
              <w:top w:w="113" w:type="dxa"/>
              <w:left w:w="113" w:type="dxa"/>
              <w:bottom w:w="113" w:type="dxa"/>
              <w:right w:w="113" w:type="dxa"/>
            </w:tcMar>
            <w:vAlign w:val="center"/>
            <w:hideMark/>
          </w:tcPr>
          <w:p w14:paraId="18206C42" w14:textId="77777777" w:rsidR="006F3591" w:rsidRPr="009F53A7" w:rsidRDefault="006F3591" w:rsidP="006F3591">
            <w:pPr>
              <w:spacing w:after="0" w:line="240" w:lineRule="auto"/>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2EE5DDCB" w14:textId="064DA0E4" w:rsidR="006F3591" w:rsidRPr="009F53A7" w:rsidRDefault="00643F3A" w:rsidP="006F3591">
            <w:pPr>
              <w:spacing w:after="0" w:line="240" w:lineRule="auto"/>
              <w:jc w:val="center"/>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Mercury</w:t>
            </w:r>
          </w:p>
        </w:tc>
      </w:tr>
      <w:tr w:rsidR="006F3591" w:rsidRPr="009F53A7" w14:paraId="208683E4" w14:textId="77777777" w:rsidTr="00643F3A">
        <w:tc>
          <w:tcPr>
            <w:tcW w:w="4140" w:type="dxa"/>
            <w:tcBorders>
              <w:bottom w:val="single" w:sz="6" w:space="0" w:color="auto"/>
            </w:tcBorders>
            <w:vAlign w:val="center"/>
            <w:hideMark/>
          </w:tcPr>
          <w:p w14:paraId="4EE54BDD" w14:textId="77777777" w:rsidR="006F3591" w:rsidRPr="009F53A7" w:rsidRDefault="006F3591" w:rsidP="006F3591">
            <w:pPr>
              <w:spacing w:after="0" w:line="240" w:lineRule="auto"/>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Predictors</w:t>
            </w:r>
          </w:p>
        </w:tc>
        <w:tc>
          <w:tcPr>
            <w:tcW w:w="1350" w:type="dxa"/>
            <w:tcBorders>
              <w:bottom w:val="single" w:sz="6" w:space="0" w:color="auto"/>
            </w:tcBorders>
            <w:vAlign w:val="center"/>
            <w:hideMark/>
          </w:tcPr>
          <w:p w14:paraId="4D9C38D9"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Estimates</w:t>
            </w:r>
          </w:p>
        </w:tc>
        <w:tc>
          <w:tcPr>
            <w:tcW w:w="2610" w:type="dxa"/>
            <w:tcBorders>
              <w:bottom w:val="single" w:sz="6" w:space="0" w:color="auto"/>
            </w:tcBorders>
            <w:vAlign w:val="center"/>
            <w:hideMark/>
          </w:tcPr>
          <w:p w14:paraId="7D3DB552"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CI</w:t>
            </w:r>
          </w:p>
        </w:tc>
        <w:tc>
          <w:tcPr>
            <w:tcW w:w="949" w:type="dxa"/>
            <w:tcBorders>
              <w:bottom w:val="single" w:sz="6" w:space="0" w:color="auto"/>
            </w:tcBorders>
            <w:vAlign w:val="center"/>
            <w:hideMark/>
          </w:tcPr>
          <w:p w14:paraId="4361F87C"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w:t>
            </w:r>
          </w:p>
        </w:tc>
      </w:tr>
      <w:tr w:rsidR="009F53A7" w:rsidRPr="009F53A7" w14:paraId="464514E6" w14:textId="77777777" w:rsidTr="00643F3A">
        <w:tc>
          <w:tcPr>
            <w:tcW w:w="4140" w:type="dxa"/>
            <w:tcMar>
              <w:top w:w="113" w:type="dxa"/>
              <w:left w:w="113" w:type="dxa"/>
              <w:bottom w:w="113" w:type="dxa"/>
              <w:right w:w="113" w:type="dxa"/>
            </w:tcMar>
            <w:hideMark/>
          </w:tcPr>
          <w:p w14:paraId="637E894F" w14:textId="787993F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Intercept (Midwest)</w:t>
            </w:r>
          </w:p>
        </w:tc>
        <w:tc>
          <w:tcPr>
            <w:tcW w:w="1350" w:type="dxa"/>
            <w:tcMar>
              <w:top w:w="113" w:type="dxa"/>
              <w:left w:w="113" w:type="dxa"/>
              <w:bottom w:w="113" w:type="dxa"/>
              <w:right w:w="113" w:type="dxa"/>
            </w:tcMar>
            <w:hideMark/>
          </w:tcPr>
          <w:p w14:paraId="0866807B" w14:textId="6320986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0.00097</w:t>
            </w:r>
          </w:p>
        </w:tc>
        <w:tc>
          <w:tcPr>
            <w:tcW w:w="2610" w:type="dxa"/>
            <w:tcMar>
              <w:top w:w="113" w:type="dxa"/>
              <w:left w:w="113" w:type="dxa"/>
              <w:bottom w:w="113" w:type="dxa"/>
              <w:right w:w="113" w:type="dxa"/>
            </w:tcMar>
            <w:hideMark/>
          </w:tcPr>
          <w:p w14:paraId="5F5BADEC" w14:textId="72D1E05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-0.00365 – 0.00560</w:t>
            </w:r>
          </w:p>
        </w:tc>
        <w:tc>
          <w:tcPr>
            <w:tcW w:w="949" w:type="dxa"/>
            <w:tcMar>
              <w:top w:w="113" w:type="dxa"/>
              <w:left w:w="113" w:type="dxa"/>
              <w:bottom w:w="113" w:type="dxa"/>
              <w:right w:w="113" w:type="dxa"/>
            </w:tcMar>
            <w:hideMark/>
          </w:tcPr>
          <w:p w14:paraId="5B2C1C43" w14:textId="1D871C7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0.681</w:t>
            </w:r>
          </w:p>
        </w:tc>
      </w:tr>
      <w:tr w:rsidR="009F53A7" w:rsidRPr="009F53A7" w14:paraId="219C2ED9" w14:textId="77777777" w:rsidTr="00643F3A">
        <w:tc>
          <w:tcPr>
            <w:tcW w:w="4140" w:type="dxa"/>
            <w:tcMar>
              <w:top w:w="113" w:type="dxa"/>
              <w:left w:w="113" w:type="dxa"/>
              <w:bottom w:w="113" w:type="dxa"/>
              <w:right w:w="113" w:type="dxa"/>
            </w:tcMar>
            <w:hideMark/>
          </w:tcPr>
          <w:p w14:paraId="633F9E3C" w14:textId="3BD9E530"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Racial isolation quintile</w:t>
            </w:r>
          </w:p>
        </w:tc>
        <w:tc>
          <w:tcPr>
            <w:tcW w:w="1350" w:type="dxa"/>
            <w:tcMar>
              <w:top w:w="113" w:type="dxa"/>
              <w:left w:w="113" w:type="dxa"/>
              <w:bottom w:w="113" w:type="dxa"/>
              <w:right w:w="113" w:type="dxa"/>
            </w:tcMar>
            <w:hideMark/>
          </w:tcPr>
          <w:p w14:paraId="1AA6461B" w14:textId="5ED4ACC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0.00003</w:t>
            </w:r>
          </w:p>
        </w:tc>
        <w:tc>
          <w:tcPr>
            <w:tcW w:w="2610" w:type="dxa"/>
            <w:tcMar>
              <w:top w:w="113" w:type="dxa"/>
              <w:left w:w="113" w:type="dxa"/>
              <w:bottom w:w="113" w:type="dxa"/>
              <w:right w:w="113" w:type="dxa"/>
            </w:tcMar>
            <w:hideMark/>
          </w:tcPr>
          <w:p w14:paraId="77DC3945" w14:textId="260CB38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-0.00004 – 0.00010</w:t>
            </w:r>
          </w:p>
        </w:tc>
        <w:tc>
          <w:tcPr>
            <w:tcW w:w="949" w:type="dxa"/>
            <w:tcMar>
              <w:top w:w="113" w:type="dxa"/>
              <w:left w:w="113" w:type="dxa"/>
              <w:bottom w:w="113" w:type="dxa"/>
              <w:right w:w="113" w:type="dxa"/>
            </w:tcMar>
            <w:hideMark/>
          </w:tcPr>
          <w:p w14:paraId="568E0680" w14:textId="42E1FA9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0.445</w:t>
            </w:r>
          </w:p>
        </w:tc>
      </w:tr>
      <w:tr w:rsidR="009F53A7" w:rsidRPr="009F53A7" w14:paraId="5F586ECB" w14:textId="77777777" w:rsidTr="00643F3A">
        <w:tc>
          <w:tcPr>
            <w:tcW w:w="4140" w:type="dxa"/>
            <w:tcMar>
              <w:top w:w="113" w:type="dxa"/>
              <w:left w:w="113" w:type="dxa"/>
              <w:bottom w:w="113" w:type="dxa"/>
              <w:right w:w="113" w:type="dxa"/>
            </w:tcMar>
            <w:hideMark/>
          </w:tcPr>
          <w:p w14:paraId="7FBE0635" w14:textId="591C182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Black or African American (%)</w:t>
            </w:r>
          </w:p>
        </w:tc>
        <w:tc>
          <w:tcPr>
            <w:tcW w:w="1350" w:type="dxa"/>
            <w:tcMar>
              <w:top w:w="113" w:type="dxa"/>
              <w:left w:w="113" w:type="dxa"/>
              <w:bottom w:w="113" w:type="dxa"/>
              <w:right w:w="113" w:type="dxa"/>
            </w:tcMar>
            <w:hideMark/>
          </w:tcPr>
          <w:p w14:paraId="3801151E" w14:textId="7C92AEF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-0.00022</w:t>
            </w:r>
          </w:p>
        </w:tc>
        <w:tc>
          <w:tcPr>
            <w:tcW w:w="2610" w:type="dxa"/>
            <w:tcMar>
              <w:top w:w="113" w:type="dxa"/>
              <w:left w:w="113" w:type="dxa"/>
              <w:bottom w:w="113" w:type="dxa"/>
              <w:right w:w="113" w:type="dxa"/>
            </w:tcMar>
            <w:hideMark/>
          </w:tcPr>
          <w:p w14:paraId="1C93EF1A" w14:textId="6551951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-0.00488 – 0.00443</w:t>
            </w:r>
          </w:p>
        </w:tc>
        <w:tc>
          <w:tcPr>
            <w:tcW w:w="949" w:type="dxa"/>
            <w:tcMar>
              <w:top w:w="113" w:type="dxa"/>
              <w:left w:w="113" w:type="dxa"/>
              <w:bottom w:w="113" w:type="dxa"/>
              <w:right w:w="113" w:type="dxa"/>
            </w:tcMar>
            <w:hideMark/>
          </w:tcPr>
          <w:p w14:paraId="72486BB2" w14:textId="2996B01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0.925</w:t>
            </w:r>
          </w:p>
        </w:tc>
      </w:tr>
      <w:tr w:rsidR="009F53A7" w:rsidRPr="009F53A7" w14:paraId="6393E932" w14:textId="77777777" w:rsidTr="00643F3A">
        <w:tc>
          <w:tcPr>
            <w:tcW w:w="4140" w:type="dxa"/>
            <w:tcMar>
              <w:top w:w="113" w:type="dxa"/>
              <w:left w:w="113" w:type="dxa"/>
              <w:bottom w:w="113" w:type="dxa"/>
              <w:right w:w="113" w:type="dxa"/>
            </w:tcMar>
            <w:hideMark/>
          </w:tcPr>
          <w:p w14:paraId="5E9F4792" w14:textId="76259784"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Hispanic or Latino (%)</w:t>
            </w:r>
          </w:p>
        </w:tc>
        <w:tc>
          <w:tcPr>
            <w:tcW w:w="1350" w:type="dxa"/>
            <w:tcMar>
              <w:top w:w="113" w:type="dxa"/>
              <w:left w:w="113" w:type="dxa"/>
              <w:bottom w:w="113" w:type="dxa"/>
              <w:right w:w="113" w:type="dxa"/>
            </w:tcMar>
            <w:hideMark/>
          </w:tcPr>
          <w:p w14:paraId="1F89A679" w14:textId="3E1C05E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-0.00064</w:t>
            </w:r>
          </w:p>
        </w:tc>
        <w:tc>
          <w:tcPr>
            <w:tcW w:w="2610" w:type="dxa"/>
            <w:tcMar>
              <w:top w:w="113" w:type="dxa"/>
              <w:left w:w="113" w:type="dxa"/>
              <w:bottom w:w="113" w:type="dxa"/>
              <w:right w:w="113" w:type="dxa"/>
            </w:tcMar>
            <w:hideMark/>
          </w:tcPr>
          <w:p w14:paraId="7EC44226" w14:textId="52FD5B8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-0.00526 – 0.00397</w:t>
            </w:r>
          </w:p>
        </w:tc>
        <w:tc>
          <w:tcPr>
            <w:tcW w:w="949" w:type="dxa"/>
            <w:tcMar>
              <w:top w:w="113" w:type="dxa"/>
              <w:left w:w="113" w:type="dxa"/>
              <w:bottom w:w="113" w:type="dxa"/>
              <w:right w:w="113" w:type="dxa"/>
            </w:tcMar>
            <w:hideMark/>
          </w:tcPr>
          <w:p w14:paraId="4A2AB5F9" w14:textId="6466B73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0.785</w:t>
            </w:r>
          </w:p>
        </w:tc>
      </w:tr>
      <w:tr w:rsidR="009F53A7" w:rsidRPr="009F53A7" w14:paraId="7C91490E" w14:textId="77777777" w:rsidTr="00643F3A">
        <w:tc>
          <w:tcPr>
            <w:tcW w:w="4140" w:type="dxa"/>
            <w:tcMar>
              <w:top w:w="113" w:type="dxa"/>
              <w:left w:w="113" w:type="dxa"/>
              <w:bottom w:w="113" w:type="dxa"/>
              <w:right w:w="113" w:type="dxa"/>
            </w:tcMar>
            <w:hideMark/>
          </w:tcPr>
          <w:p w14:paraId="3C6617E7" w14:textId="29033C8A"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Asian (%)</w:t>
            </w:r>
          </w:p>
        </w:tc>
        <w:tc>
          <w:tcPr>
            <w:tcW w:w="1350" w:type="dxa"/>
            <w:tcMar>
              <w:top w:w="113" w:type="dxa"/>
              <w:left w:w="113" w:type="dxa"/>
              <w:bottom w:w="113" w:type="dxa"/>
              <w:right w:w="113" w:type="dxa"/>
            </w:tcMar>
            <w:hideMark/>
          </w:tcPr>
          <w:p w14:paraId="33AFD29C" w14:textId="21B3161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-0.00117</w:t>
            </w:r>
          </w:p>
        </w:tc>
        <w:tc>
          <w:tcPr>
            <w:tcW w:w="2610" w:type="dxa"/>
            <w:tcMar>
              <w:top w:w="113" w:type="dxa"/>
              <w:left w:w="113" w:type="dxa"/>
              <w:bottom w:w="113" w:type="dxa"/>
              <w:right w:w="113" w:type="dxa"/>
            </w:tcMar>
            <w:hideMark/>
          </w:tcPr>
          <w:p w14:paraId="7B2F6E67" w14:textId="57044A28"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-0.00651 – 0.00417</w:t>
            </w:r>
          </w:p>
        </w:tc>
        <w:tc>
          <w:tcPr>
            <w:tcW w:w="949" w:type="dxa"/>
            <w:tcMar>
              <w:top w:w="113" w:type="dxa"/>
              <w:left w:w="113" w:type="dxa"/>
              <w:bottom w:w="113" w:type="dxa"/>
              <w:right w:w="113" w:type="dxa"/>
            </w:tcMar>
            <w:hideMark/>
          </w:tcPr>
          <w:p w14:paraId="65AB6D69" w14:textId="726504C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0.669</w:t>
            </w:r>
          </w:p>
        </w:tc>
      </w:tr>
      <w:tr w:rsidR="009F53A7" w:rsidRPr="009F53A7" w14:paraId="196F820B" w14:textId="77777777" w:rsidTr="00643F3A">
        <w:tc>
          <w:tcPr>
            <w:tcW w:w="4140" w:type="dxa"/>
            <w:tcMar>
              <w:top w:w="113" w:type="dxa"/>
              <w:left w:w="113" w:type="dxa"/>
              <w:bottom w:w="113" w:type="dxa"/>
              <w:right w:w="113" w:type="dxa"/>
            </w:tcMar>
            <w:hideMark/>
          </w:tcPr>
          <w:p w14:paraId="6CAC9E36" w14:textId="7AFF5355"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American Indian, Alaska Native, Native Hawaiian, or Pacific Islander (%)</w:t>
            </w:r>
          </w:p>
        </w:tc>
        <w:tc>
          <w:tcPr>
            <w:tcW w:w="1350" w:type="dxa"/>
            <w:tcMar>
              <w:top w:w="113" w:type="dxa"/>
              <w:left w:w="113" w:type="dxa"/>
              <w:bottom w:w="113" w:type="dxa"/>
              <w:right w:w="113" w:type="dxa"/>
            </w:tcMar>
            <w:hideMark/>
          </w:tcPr>
          <w:p w14:paraId="353E6ED6" w14:textId="205B828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-0.00369</w:t>
            </w:r>
          </w:p>
        </w:tc>
        <w:tc>
          <w:tcPr>
            <w:tcW w:w="2610" w:type="dxa"/>
            <w:tcMar>
              <w:top w:w="113" w:type="dxa"/>
              <w:left w:w="113" w:type="dxa"/>
              <w:bottom w:w="113" w:type="dxa"/>
              <w:right w:w="113" w:type="dxa"/>
            </w:tcMar>
            <w:hideMark/>
          </w:tcPr>
          <w:p w14:paraId="372ECCE7" w14:textId="44C7150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-0.01085 – 0.00347</w:t>
            </w:r>
          </w:p>
        </w:tc>
        <w:tc>
          <w:tcPr>
            <w:tcW w:w="949" w:type="dxa"/>
            <w:tcMar>
              <w:top w:w="113" w:type="dxa"/>
              <w:left w:w="113" w:type="dxa"/>
              <w:bottom w:w="113" w:type="dxa"/>
              <w:right w:w="113" w:type="dxa"/>
            </w:tcMar>
            <w:hideMark/>
          </w:tcPr>
          <w:p w14:paraId="1977867F" w14:textId="0B82B32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0.314</w:t>
            </w:r>
          </w:p>
        </w:tc>
      </w:tr>
      <w:tr w:rsidR="009F53A7" w:rsidRPr="009F53A7" w14:paraId="12FF3AEE" w14:textId="77777777" w:rsidTr="00643F3A">
        <w:tc>
          <w:tcPr>
            <w:tcW w:w="4140" w:type="dxa"/>
            <w:tcMar>
              <w:top w:w="113" w:type="dxa"/>
              <w:left w:w="113" w:type="dxa"/>
              <w:bottom w:w="113" w:type="dxa"/>
              <w:right w:w="113" w:type="dxa"/>
            </w:tcMar>
            <w:hideMark/>
          </w:tcPr>
          <w:p w14:paraId="65DC938B" w14:textId="3941CC1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White (%)</w:t>
            </w:r>
          </w:p>
        </w:tc>
        <w:tc>
          <w:tcPr>
            <w:tcW w:w="1350" w:type="dxa"/>
            <w:tcMar>
              <w:top w:w="113" w:type="dxa"/>
              <w:left w:w="113" w:type="dxa"/>
              <w:bottom w:w="113" w:type="dxa"/>
              <w:right w:w="113" w:type="dxa"/>
            </w:tcMar>
            <w:hideMark/>
          </w:tcPr>
          <w:p w14:paraId="5A153A80" w14:textId="3486223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-0.00016</w:t>
            </w:r>
          </w:p>
        </w:tc>
        <w:tc>
          <w:tcPr>
            <w:tcW w:w="2610" w:type="dxa"/>
            <w:tcMar>
              <w:top w:w="113" w:type="dxa"/>
              <w:left w:w="113" w:type="dxa"/>
              <w:bottom w:w="113" w:type="dxa"/>
              <w:right w:w="113" w:type="dxa"/>
            </w:tcMar>
            <w:hideMark/>
          </w:tcPr>
          <w:p w14:paraId="7B7215C4" w14:textId="29C3600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-0.00484 – 0.00453</w:t>
            </w:r>
          </w:p>
        </w:tc>
        <w:tc>
          <w:tcPr>
            <w:tcW w:w="949" w:type="dxa"/>
            <w:tcMar>
              <w:top w:w="113" w:type="dxa"/>
              <w:left w:w="113" w:type="dxa"/>
              <w:bottom w:w="113" w:type="dxa"/>
              <w:right w:w="113" w:type="dxa"/>
            </w:tcMar>
            <w:hideMark/>
          </w:tcPr>
          <w:p w14:paraId="62B9F52A" w14:textId="437C6DC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0.948</w:t>
            </w:r>
          </w:p>
        </w:tc>
      </w:tr>
      <w:tr w:rsidR="009F53A7" w:rsidRPr="009F53A7" w14:paraId="30973E24" w14:textId="77777777" w:rsidTr="00643F3A">
        <w:tc>
          <w:tcPr>
            <w:tcW w:w="4140" w:type="dxa"/>
            <w:tcMar>
              <w:top w:w="113" w:type="dxa"/>
              <w:left w:w="113" w:type="dxa"/>
              <w:bottom w:w="113" w:type="dxa"/>
              <w:right w:w="113" w:type="dxa"/>
            </w:tcMar>
            <w:hideMark/>
          </w:tcPr>
          <w:p w14:paraId="64847ACD" w14:textId="6052E114"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Education less than high school (%)</w:t>
            </w:r>
            <w:r w:rsidRPr="009F53A7">
              <w:rPr>
                <w:rFonts w:ascii="Times New Roman" w:eastAsia="Times New Roman" w:hAnsi="Times New Roman" w:cs="Times New Roman"/>
                <w:lang w:val="en-US" w:eastAsia="de-DE"/>
              </w:rPr>
              <w:br/>
            </w:r>
          </w:p>
        </w:tc>
        <w:tc>
          <w:tcPr>
            <w:tcW w:w="1350" w:type="dxa"/>
            <w:tcMar>
              <w:top w:w="113" w:type="dxa"/>
              <w:left w:w="113" w:type="dxa"/>
              <w:bottom w:w="113" w:type="dxa"/>
              <w:right w:w="113" w:type="dxa"/>
            </w:tcMar>
            <w:hideMark/>
          </w:tcPr>
          <w:p w14:paraId="4967E91B" w14:textId="6F6983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32669A75" w14:textId="5A284F3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254058B1" w14:textId="148B5A2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0.188</w:t>
            </w:r>
          </w:p>
        </w:tc>
      </w:tr>
      <w:tr w:rsidR="009F53A7" w:rsidRPr="009F53A7" w14:paraId="680E4DCC" w14:textId="77777777" w:rsidTr="00643F3A">
        <w:tc>
          <w:tcPr>
            <w:tcW w:w="4140" w:type="dxa"/>
            <w:tcMar>
              <w:top w:w="113" w:type="dxa"/>
              <w:left w:w="113" w:type="dxa"/>
              <w:bottom w:w="113" w:type="dxa"/>
              <w:right w:w="113" w:type="dxa"/>
            </w:tcMar>
            <w:hideMark/>
          </w:tcPr>
          <w:p w14:paraId="3537BBA1" w14:textId="58CA94DA"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Poverty (%)</w:t>
            </w:r>
          </w:p>
        </w:tc>
        <w:tc>
          <w:tcPr>
            <w:tcW w:w="1350" w:type="dxa"/>
            <w:tcMar>
              <w:top w:w="113" w:type="dxa"/>
              <w:left w:w="113" w:type="dxa"/>
              <w:bottom w:w="113" w:type="dxa"/>
              <w:right w:w="113" w:type="dxa"/>
            </w:tcMar>
            <w:hideMark/>
          </w:tcPr>
          <w:p w14:paraId="3625CD15" w14:textId="7ABEDFC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-0.00001</w:t>
            </w:r>
          </w:p>
        </w:tc>
        <w:tc>
          <w:tcPr>
            <w:tcW w:w="2610" w:type="dxa"/>
            <w:tcMar>
              <w:top w:w="113" w:type="dxa"/>
              <w:left w:w="113" w:type="dxa"/>
              <w:bottom w:w="113" w:type="dxa"/>
              <w:right w:w="113" w:type="dxa"/>
            </w:tcMar>
            <w:hideMark/>
          </w:tcPr>
          <w:p w14:paraId="63395DF1" w14:textId="6B07906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-0.00050 – 0.00048</w:t>
            </w:r>
          </w:p>
        </w:tc>
        <w:tc>
          <w:tcPr>
            <w:tcW w:w="949" w:type="dxa"/>
            <w:tcMar>
              <w:top w:w="113" w:type="dxa"/>
              <w:left w:w="113" w:type="dxa"/>
              <w:bottom w:w="113" w:type="dxa"/>
              <w:right w:w="113" w:type="dxa"/>
            </w:tcMar>
            <w:hideMark/>
          </w:tcPr>
          <w:p w14:paraId="2AD5D30C" w14:textId="2F99AE2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0.966</w:t>
            </w:r>
          </w:p>
        </w:tc>
      </w:tr>
      <w:tr w:rsidR="009F53A7" w:rsidRPr="009F53A7" w14:paraId="6226F878" w14:textId="77777777" w:rsidTr="00643F3A">
        <w:tc>
          <w:tcPr>
            <w:tcW w:w="4140" w:type="dxa"/>
            <w:tcMar>
              <w:top w:w="113" w:type="dxa"/>
              <w:left w:w="113" w:type="dxa"/>
              <w:bottom w:w="113" w:type="dxa"/>
              <w:right w:w="113" w:type="dxa"/>
            </w:tcMar>
            <w:hideMark/>
          </w:tcPr>
          <w:p w14:paraId="07CB6E2B" w14:textId="64D4056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Unemployed (%)</w:t>
            </w:r>
          </w:p>
        </w:tc>
        <w:tc>
          <w:tcPr>
            <w:tcW w:w="1350" w:type="dxa"/>
            <w:tcMar>
              <w:top w:w="113" w:type="dxa"/>
              <w:left w:w="113" w:type="dxa"/>
              <w:bottom w:w="113" w:type="dxa"/>
              <w:right w:w="113" w:type="dxa"/>
            </w:tcMar>
            <w:hideMark/>
          </w:tcPr>
          <w:p w14:paraId="224E200B" w14:textId="02B6640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0.00058</w:t>
            </w:r>
          </w:p>
        </w:tc>
        <w:tc>
          <w:tcPr>
            <w:tcW w:w="2610" w:type="dxa"/>
            <w:tcMar>
              <w:top w:w="113" w:type="dxa"/>
              <w:left w:w="113" w:type="dxa"/>
              <w:bottom w:w="113" w:type="dxa"/>
              <w:right w:w="113" w:type="dxa"/>
            </w:tcMar>
            <w:hideMark/>
          </w:tcPr>
          <w:p w14:paraId="2A301738" w14:textId="6714D3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-0.00117 – 0.00233</w:t>
            </w:r>
          </w:p>
        </w:tc>
        <w:tc>
          <w:tcPr>
            <w:tcW w:w="949" w:type="dxa"/>
            <w:tcMar>
              <w:top w:w="113" w:type="dxa"/>
              <w:left w:w="113" w:type="dxa"/>
              <w:bottom w:w="113" w:type="dxa"/>
              <w:right w:w="113" w:type="dxa"/>
            </w:tcMar>
            <w:hideMark/>
          </w:tcPr>
          <w:p w14:paraId="11F7954A" w14:textId="78D4297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0.516</w:t>
            </w:r>
          </w:p>
        </w:tc>
      </w:tr>
      <w:tr w:rsidR="009F53A7" w:rsidRPr="009F53A7" w14:paraId="22AB25CE" w14:textId="77777777" w:rsidTr="00643F3A">
        <w:tc>
          <w:tcPr>
            <w:tcW w:w="4140" w:type="dxa"/>
            <w:tcMar>
              <w:top w:w="113" w:type="dxa"/>
              <w:left w:w="113" w:type="dxa"/>
              <w:bottom w:w="113" w:type="dxa"/>
              <w:right w:w="113" w:type="dxa"/>
            </w:tcMar>
            <w:hideMark/>
          </w:tcPr>
          <w:p w14:paraId="0C170377" w14:textId="47152298"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0 to 19 (%)</w:t>
            </w:r>
          </w:p>
        </w:tc>
        <w:tc>
          <w:tcPr>
            <w:tcW w:w="1350" w:type="dxa"/>
            <w:tcMar>
              <w:top w:w="113" w:type="dxa"/>
              <w:left w:w="113" w:type="dxa"/>
              <w:bottom w:w="113" w:type="dxa"/>
              <w:right w:w="113" w:type="dxa"/>
            </w:tcMar>
            <w:hideMark/>
          </w:tcPr>
          <w:p w14:paraId="69ECA6F9" w14:textId="3E78302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36CE87E2" w14:textId="332D39A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2C3FB262" w14:textId="23373DF8"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0.823</w:t>
            </w:r>
          </w:p>
        </w:tc>
      </w:tr>
      <w:tr w:rsidR="009F53A7" w:rsidRPr="009F53A7" w14:paraId="5EBBFFA5" w14:textId="77777777" w:rsidTr="00643F3A">
        <w:tc>
          <w:tcPr>
            <w:tcW w:w="4140" w:type="dxa"/>
            <w:tcMar>
              <w:top w:w="113" w:type="dxa"/>
              <w:left w:w="113" w:type="dxa"/>
              <w:bottom w:w="113" w:type="dxa"/>
              <w:right w:w="113" w:type="dxa"/>
            </w:tcMar>
            <w:hideMark/>
          </w:tcPr>
          <w:p w14:paraId="1AD61F43" w14:textId="7C907021"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65 or over (%)</w:t>
            </w:r>
          </w:p>
        </w:tc>
        <w:tc>
          <w:tcPr>
            <w:tcW w:w="1350" w:type="dxa"/>
            <w:tcMar>
              <w:top w:w="113" w:type="dxa"/>
              <w:left w:w="113" w:type="dxa"/>
              <w:bottom w:w="113" w:type="dxa"/>
              <w:right w:w="113" w:type="dxa"/>
            </w:tcMar>
            <w:hideMark/>
          </w:tcPr>
          <w:p w14:paraId="237A157F" w14:textId="583BB54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1D977FE8" w14:textId="3863B09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5812A7CB" w14:textId="5DA612B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0.931</w:t>
            </w:r>
          </w:p>
        </w:tc>
      </w:tr>
      <w:tr w:rsidR="009F53A7" w:rsidRPr="009F53A7" w14:paraId="66D613CB" w14:textId="77777777" w:rsidTr="00643F3A">
        <w:tc>
          <w:tcPr>
            <w:tcW w:w="4140" w:type="dxa"/>
            <w:tcMar>
              <w:top w:w="113" w:type="dxa"/>
              <w:left w:w="113" w:type="dxa"/>
              <w:bottom w:w="113" w:type="dxa"/>
              <w:right w:w="113" w:type="dxa"/>
            </w:tcMar>
            <w:hideMark/>
          </w:tcPr>
          <w:p w14:paraId="6D4B422B" w14:textId="21EB6A1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Northeast</w:t>
            </w:r>
          </w:p>
        </w:tc>
        <w:tc>
          <w:tcPr>
            <w:tcW w:w="1350" w:type="dxa"/>
            <w:tcMar>
              <w:top w:w="113" w:type="dxa"/>
              <w:left w:w="113" w:type="dxa"/>
              <w:bottom w:w="113" w:type="dxa"/>
              <w:right w:w="113" w:type="dxa"/>
            </w:tcMar>
            <w:hideMark/>
          </w:tcPr>
          <w:p w14:paraId="7B3654AB" w14:textId="1E2FBB8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0.00011</w:t>
            </w:r>
          </w:p>
        </w:tc>
        <w:tc>
          <w:tcPr>
            <w:tcW w:w="2610" w:type="dxa"/>
            <w:tcMar>
              <w:top w:w="113" w:type="dxa"/>
              <w:left w:w="113" w:type="dxa"/>
              <w:bottom w:w="113" w:type="dxa"/>
              <w:right w:w="113" w:type="dxa"/>
            </w:tcMar>
            <w:hideMark/>
          </w:tcPr>
          <w:p w14:paraId="6E5B176F" w14:textId="6ED799B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-0.00006 – 0.00029</w:t>
            </w:r>
          </w:p>
        </w:tc>
        <w:tc>
          <w:tcPr>
            <w:tcW w:w="949" w:type="dxa"/>
            <w:tcMar>
              <w:top w:w="113" w:type="dxa"/>
              <w:left w:w="113" w:type="dxa"/>
              <w:bottom w:w="113" w:type="dxa"/>
              <w:right w:w="113" w:type="dxa"/>
            </w:tcMar>
            <w:hideMark/>
          </w:tcPr>
          <w:p w14:paraId="379EEC25" w14:textId="3B973721"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0.213</w:t>
            </w:r>
          </w:p>
        </w:tc>
      </w:tr>
      <w:tr w:rsidR="009F53A7" w:rsidRPr="009F53A7" w14:paraId="51129980" w14:textId="77777777" w:rsidTr="00643F3A">
        <w:tc>
          <w:tcPr>
            <w:tcW w:w="4140" w:type="dxa"/>
            <w:tcMar>
              <w:top w:w="113" w:type="dxa"/>
              <w:left w:w="113" w:type="dxa"/>
              <w:bottom w:w="113" w:type="dxa"/>
              <w:right w:w="113" w:type="dxa"/>
            </w:tcMar>
            <w:hideMark/>
          </w:tcPr>
          <w:p w14:paraId="3DC2301B" w14:textId="6BE957C1"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South</w:t>
            </w:r>
          </w:p>
        </w:tc>
        <w:tc>
          <w:tcPr>
            <w:tcW w:w="1350" w:type="dxa"/>
            <w:tcMar>
              <w:top w:w="113" w:type="dxa"/>
              <w:left w:w="113" w:type="dxa"/>
              <w:bottom w:w="113" w:type="dxa"/>
              <w:right w:w="113" w:type="dxa"/>
            </w:tcMar>
            <w:hideMark/>
          </w:tcPr>
          <w:p w14:paraId="5DBC6216" w14:textId="0BBE5D5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-0.00002</w:t>
            </w:r>
          </w:p>
        </w:tc>
        <w:tc>
          <w:tcPr>
            <w:tcW w:w="2610" w:type="dxa"/>
            <w:tcMar>
              <w:top w:w="113" w:type="dxa"/>
              <w:left w:w="113" w:type="dxa"/>
              <w:bottom w:w="113" w:type="dxa"/>
              <w:right w:w="113" w:type="dxa"/>
            </w:tcMar>
            <w:hideMark/>
          </w:tcPr>
          <w:p w14:paraId="1F0BBD83" w14:textId="4E12994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-0.00018 – 0.00014</w:t>
            </w:r>
          </w:p>
        </w:tc>
        <w:tc>
          <w:tcPr>
            <w:tcW w:w="949" w:type="dxa"/>
            <w:tcMar>
              <w:top w:w="113" w:type="dxa"/>
              <w:left w:w="113" w:type="dxa"/>
              <w:bottom w:w="113" w:type="dxa"/>
              <w:right w:w="113" w:type="dxa"/>
            </w:tcMar>
            <w:hideMark/>
          </w:tcPr>
          <w:p w14:paraId="20720410" w14:textId="3CD69CF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0.803</w:t>
            </w:r>
          </w:p>
        </w:tc>
      </w:tr>
      <w:tr w:rsidR="009F53A7" w:rsidRPr="009F53A7" w14:paraId="76B3B469" w14:textId="77777777" w:rsidTr="00643F3A">
        <w:tc>
          <w:tcPr>
            <w:tcW w:w="4140" w:type="dxa"/>
            <w:tcMar>
              <w:top w:w="113" w:type="dxa"/>
              <w:left w:w="113" w:type="dxa"/>
              <w:bottom w:w="113" w:type="dxa"/>
              <w:right w:w="113" w:type="dxa"/>
            </w:tcMar>
            <w:hideMark/>
          </w:tcPr>
          <w:p w14:paraId="5197AC79" w14:textId="159B11E5"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West</w:t>
            </w:r>
          </w:p>
        </w:tc>
        <w:tc>
          <w:tcPr>
            <w:tcW w:w="1350" w:type="dxa"/>
            <w:tcMar>
              <w:top w:w="113" w:type="dxa"/>
              <w:left w:w="113" w:type="dxa"/>
              <w:bottom w:w="113" w:type="dxa"/>
              <w:right w:w="113" w:type="dxa"/>
            </w:tcMar>
            <w:hideMark/>
          </w:tcPr>
          <w:p w14:paraId="42C08A27" w14:textId="544B696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0.00036</w:t>
            </w:r>
          </w:p>
        </w:tc>
        <w:tc>
          <w:tcPr>
            <w:tcW w:w="2610" w:type="dxa"/>
            <w:tcMar>
              <w:top w:w="113" w:type="dxa"/>
              <w:left w:w="113" w:type="dxa"/>
              <w:bottom w:w="113" w:type="dxa"/>
              <w:right w:w="113" w:type="dxa"/>
            </w:tcMar>
            <w:hideMark/>
          </w:tcPr>
          <w:p w14:paraId="6F80DF18" w14:textId="6A1BD14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0.00015 – 0.00057</w:t>
            </w:r>
          </w:p>
        </w:tc>
        <w:tc>
          <w:tcPr>
            <w:tcW w:w="949" w:type="dxa"/>
            <w:tcMar>
              <w:top w:w="113" w:type="dxa"/>
              <w:left w:w="113" w:type="dxa"/>
              <w:bottom w:w="113" w:type="dxa"/>
              <w:right w:w="113" w:type="dxa"/>
            </w:tcMar>
            <w:hideMark/>
          </w:tcPr>
          <w:p w14:paraId="3DFB8F42" w14:textId="49BE46F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0.001</w:t>
            </w:r>
          </w:p>
        </w:tc>
      </w:tr>
      <w:tr w:rsidR="006F3591" w:rsidRPr="009F53A7" w14:paraId="306AC128" w14:textId="77777777" w:rsidTr="00643F3A">
        <w:tc>
          <w:tcPr>
            <w:tcW w:w="4140" w:type="dxa"/>
            <w:tcBorders>
              <w:top w:val="single" w:sz="6" w:space="0" w:color="auto"/>
            </w:tcBorders>
            <w:tcMar>
              <w:top w:w="57" w:type="dxa"/>
              <w:left w:w="113" w:type="dxa"/>
              <w:bottom w:w="57" w:type="dxa"/>
              <w:right w:w="113" w:type="dxa"/>
            </w:tcMar>
            <w:hideMark/>
          </w:tcPr>
          <w:p w14:paraId="671D0D63"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609788DF"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162</w:t>
            </w:r>
          </w:p>
        </w:tc>
      </w:tr>
      <w:tr w:rsidR="006F3591" w:rsidRPr="009F53A7" w14:paraId="4CC3D2CF" w14:textId="77777777" w:rsidTr="00643F3A">
        <w:tc>
          <w:tcPr>
            <w:tcW w:w="4140" w:type="dxa"/>
            <w:tcMar>
              <w:top w:w="57" w:type="dxa"/>
              <w:left w:w="113" w:type="dxa"/>
              <w:bottom w:w="57" w:type="dxa"/>
              <w:right w:w="113" w:type="dxa"/>
            </w:tcMar>
            <w:hideMark/>
          </w:tcPr>
          <w:p w14:paraId="0A80F5D3"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Nagelkerke's R</w:t>
            </w:r>
            <w:r w:rsidRPr="009F53A7">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10634E69" w14:textId="0D55CB70"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0.13</w:t>
            </w:r>
            <w:r w:rsidR="009F53A7">
              <w:rPr>
                <w:rFonts w:ascii="Times New Roman" w:eastAsia="Times New Roman" w:hAnsi="Times New Roman" w:cs="Times New Roman"/>
                <w:lang w:eastAsia="de-DE"/>
              </w:rPr>
              <w:t>4</w:t>
            </w:r>
          </w:p>
        </w:tc>
      </w:tr>
    </w:tbl>
    <w:p w14:paraId="6150FD4A" w14:textId="77777777" w:rsidR="0011160D" w:rsidRPr="005076A2" w:rsidRDefault="0011160D" w:rsidP="005076A2">
      <w:pPr>
        <w:rPr>
          <w:rFonts w:ascii="Times New Roman" w:hAnsi="Times New Roman" w:cs="Times New Roman"/>
          <w:b/>
          <w:sz w:val="24"/>
          <w:szCs w:val="24"/>
          <w:lang w:val="en-US"/>
        </w:rPr>
      </w:pPr>
    </w:p>
    <w:p w14:paraId="017AE679" w14:textId="77777777" w:rsidR="006F3591" w:rsidRDefault="006F359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45F0089" w14:textId="11A920DD"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6l.  Nickel.</w:t>
      </w:r>
    </w:p>
    <w:tbl>
      <w:tblPr>
        <w:tblW w:w="0" w:type="auto"/>
        <w:tblCellMar>
          <w:top w:w="15" w:type="dxa"/>
          <w:left w:w="15" w:type="dxa"/>
          <w:bottom w:w="15" w:type="dxa"/>
          <w:right w:w="15" w:type="dxa"/>
        </w:tblCellMar>
        <w:tblLook w:val="04A0" w:firstRow="1" w:lastRow="0" w:firstColumn="1" w:lastColumn="0" w:noHBand="0" w:noVBand="1"/>
      </w:tblPr>
      <w:tblGrid>
        <w:gridCol w:w="3780"/>
        <w:gridCol w:w="1350"/>
        <w:gridCol w:w="2597"/>
        <w:gridCol w:w="1322"/>
      </w:tblGrid>
      <w:tr w:rsidR="00185956" w:rsidRPr="009F53A7" w14:paraId="7DE58EC4" w14:textId="77777777" w:rsidTr="002A1C71">
        <w:tc>
          <w:tcPr>
            <w:tcW w:w="3780" w:type="dxa"/>
            <w:tcBorders>
              <w:top w:val="double" w:sz="6" w:space="0" w:color="auto"/>
            </w:tcBorders>
            <w:tcMar>
              <w:top w:w="113" w:type="dxa"/>
              <w:left w:w="113" w:type="dxa"/>
              <w:bottom w:w="113" w:type="dxa"/>
              <w:right w:w="113" w:type="dxa"/>
            </w:tcMar>
            <w:vAlign w:val="center"/>
            <w:hideMark/>
          </w:tcPr>
          <w:p w14:paraId="1726AD53" w14:textId="77777777" w:rsidR="00185956" w:rsidRPr="009F53A7" w:rsidRDefault="00185956" w:rsidP="00185956">
            <w:pPr>
              <w:spacing w:after="0" w:line="240" w:lineRule="auto"/>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 </w:t>
            </w:r>
          </w:p>
        </w:tc>
        <w:tc>
          <w:tcPr>
            <w:tcW w:w="5269" w:type="dxa"/>
            <w:gridSpan w:val="3"/>
            <w:tcBorders>
              <w:top w:val="double" w:sz="6" w:space="0" w:color="auto"/>
            </w:tcBorders>
            <w:tcMar>
              <w:top w:w="113" w:type="dxa"/>
              <w:left w:w="113" w:type="dxa"/>
              <w:bottom w:w="113" w:type="dxa"/>
              <w:right w:w="113" w:type="dxa"/>
            </w:tcMar>
            <w:vAlign w:val="center"/>
            <w:hideMark/>
          </w:tcPr>
          <w:p w14:paraId="41D4058B" w14:textId="0C5327EE" w:rsidR="00185956" w:rsidRPr="009F53A7" w:rsidRDefault="00185956" w:rsidP="00185956">
            <w:pPr>
              <w:spacing w:after="0" w:line="240" w:lineRule="auto"/>
              <w:jc w:val="center"/>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Nickel</w:t>
            </w:r>
          </w:p>
        </w:tc>
      </w:tr>
      <w:tr w:rsidR="00185956" w:rsidRPr="009F53A7" w14:paraId="1913D65A" w14:textId="77777777" w:rsidTr="002A1C71">
        <w:tc>
          <w:tcPr>
            <w:tcW w:w="3780" w:type="dxa"/>
            <w:tcBorders>
              <w:bottom w:val="single" w:sz="6" w:space="0" w:color="auto"/>
            </w:tcBorders>
            <w:vAlign w:val="center"/>
            <w:hideMark/>
          </w:tcPr>
          <w:p w14:paraId="6AA2FD45" w14:textId="77777777" w:rsidR="00185956" w:rsidRPr="009F53A7" w:rsidRDefault="00185956" w:rsidP="00185956">
            <w:pPr>
              <w:spacing w:after="0" w:line="240" w:lineRule="auto"/>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Predictors</w:t>
            </w:r>
          </w:p>
        </w:tc>
        <w:tc>
          <w:tcPr>
            <w:tcW w:w="1350" w:type="dxa"/>
            <w:tcBorders>
              <w:bottom w:val="single" w:sz="6" w:space="0" w:color="auto"/>
            </w:tcBorders>
            <w:vAlign w:val="center"/>
            <w:hideMark/>
          </w:tcPr>
          <w:p w14:paraId="09DB3AE1"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Estimates</w:t>
            </w:r>
          </w:p>
        </w:tc>
        <w:tc>
          <w:tcPr>
            <w:tcW w:w="2597" w:type="dxa"/>
            <w:tcBorders>
              <w:bottom w:val="single" w:sz="6" w:space="0" w:color="auto"/>
            </w:tcBorders>
            <w:vAlign w:val="center"/>
            <w:hideMark/>
          </w:tcPr>
          <w:p w14:paraId="3A6E720D"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CI</w:t>
            </w:r>
          </w:p>
        </w:tc>
        <w:tc>
          <w:tcPr>
            <w:tcW w:w="1322" w:type="dxa"/>
            <w:tcBorders>
              <w:bottom w:val="single" w:sz="6" w:space="0" w:color="auto"/>
            </w:tcBorders>
            <w:vAlign w:val="center"/>
            <w:hideMark/>
          </w:tcPr>
          <w:p w14:paraId="3A1A2BEC"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w:t>
            </w:r>
          </w:p>
        </w:tc>
      </w:tr>
      <w:tr w:rsidR="009F53A7" w:rsidRPr="009F53A7" w14:paraId="7804C65F" w14:textId="77777777" w:rsidTr="002A1C71">
        <w:tc>
          <w:tcPr>
            <w:tcW w:w="3780" w:type="dxa"/>
            <w:tcMar>
              <w:top w:w="113" w:type="dxa"/>
              <w:left w:w="113" w:type="dxa"/>
              <w:bottom w:w="113" w:type="dxa"/>
              <w:right w:w="113" w:type="dxa"/>
            </w:tcMar>
            <w:hideMark/>
          </w:tcPr>
          <w:p w14:paraId="2912F777" w14:textId="7A42E066"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Intercept (Midwest)</w:t>
            </w:r>
          </w:p>
        </w:tc>
        <w:tc>
          <w:tcPr>
            <w:tcW w:w="1350" w:type="dxa"/>
            <w:tcMar>
              <w:top w:w="113" w:type="dxa"/>
              <w:left w:w="113" w:type="dxa"/>
              <w:bottom w:w="113" w:type="dxa"/>
              <w:right w:w="113" w:type="dxa"/>
            </w:tcMar>
            <w:hideMark/>
          </w:tcPr>
          <w:p w14:paraId="57AC4F9E" w14:textId="577FD1E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0.000215</w:t>
            </w:r>
          </w:p>
        </w:tc>
        <w:tc>
          <w:tcPr>
            <w:tcW w:w="2597" w:type="dxa"/>
            <w:tcMar>
              <w:top w:w="113" w:type="dxa"/>
              <w:left w:w="113" w:type="dxa"/>
              <w:bottom w:w="113" w:type="dxa"/>
              <w:right w:w="113" w:type="dxa"/>
            </w:tcMar>
            <w:hideMark/>
          </w:tcPr>
          <w:p w14:paraId="087753DE" w14:textId="35701E2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-0.004669 – 0.005099</w:t>
            </w:r>
          </w:p>
        </w:tc>
        <w:tc>
          <w:tcPr>
            <w:tcW w:w="1322" w:type="dxa"/>
            <w:tcMar>
              <w:top w:w="113" w:type="dxa"/>
              <w:left w:w="113" w:type="dxa"/>
              <w:bottom w:w="113" w:type="dxa"/>
              <w:right w:w="113" w:type="dxa"/>
            </w:tcMar>
            <w:hideMark/>
          </w:tcPr>
          <w:p w14:paraId="64D91B9A" w14:textId="55180EE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0.931</w:t>
            </w:r>
          </w:p>
        </w:tc>
      </w:tr>
      <w:tr w:rsidR="009F53A7" w:rsidRPr="009F53A7" w14:paraId="07C02B43" w14:textId="77777777" w:rsidTr="002A1C71">
        <w:tc>
          <w:tcPr>
            <w:tcW w:w="3780" w:type="dxa"/>
            <w:tcMar>
              <w:top w:w="113" w:type="dxa"/>
              <w:left w:w="113" w:type="dxa"/>
              <w:bottom w:w="113" w:type="dxa"/>
              <w:right w:w="113" w:type="dxa"/>
            </w:tcMar>
            <w:hideMark/>
          </w:tcPr>
          <w:p w14:paraId="6A3B2C23" w14:textId="1E980A7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Racial isolation quintile</w:t>
            </w:r>
          </w:p>
        </w:tc>
        <w:tc>
          <w:tcPr>
            <w:tcW w:w="1350" w:type="dxa"/>
            <w:tcMar>
              <w:top w:w="113" w:type="dxa"/>
              <w:left w:w="113" w:type="dxa"/>
              <w:bottom w:w="113" w:type="dxa"/>
              <w:right w:w="113" w:type="dxa"/>
            </w:tcMar>
            <w:hideMark/>
          </w:tcPr>
          <w:p w14:paraId="7B191DD7" w14:textId="0426EF6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0.000190</w:t>
            </w:r>
          </w:p>
        </w:tc>
        <w:tc>
          <w:tcPr>
            <w:tcW w:w="2597" w:type="dxa"/>
            <w:tcMar>
              <w:top w:w="113" w:type="dxa"/>
              <w:left w:w="113" w:type="dxa"/>
              <w:bottom w:w="113" w:type="dxa"/>
              <w:right w:w="113" w:type="dxa"/>
            </w:tcMar>
            <w:hideMark/>
          </w:tcPr>
          <w:p w14:paraId="0D9ACD3A" w14:textId="753E4F6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0.000061 – 0.000318</w:t>
            </w:r>
          </w:p>
        </w:tc>
        <w:tc>
          <w:tcPr>
            <w:tcW w:w="1322" w:type="dxa"/>
            <w:tcMar>
              <w:top w:w="113" w:type="dxa"/>
              <w:left w:w="113" w:type="dxa"/>
              <w:bottom w:w="113" w:type="dxa"/>
              <w:right w:w="113" w:type="dxa"/>
            </w:tcMar>
            <w:hideMark/>
          </w:tcPr>
          <w:p w14:paraId="06BFD0F6" w14:textId="4EC7712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0.004</w:t>
            </w:r>
          </w:p>
        </w:tc>
      </w:tr>
      <w:tr w:rsidR="009F53A7" w:rsidRPr="009F53A7" w14:paraId="1CAF50F9" w14:textId="77777777" w:rsidTr="002A1C71">
        <w:tc>
          <w:tcPr>
            <w:tcW w:w="3780" w:type="dxa"/>
            <w:tcMar>
              <w:top w:w="113" w:type="dxa"/>
              <w:left w:w="113" w:type="dxa"/>
              <w:bottom w:w="113" w:type="dxa"/>
              <w:right w:w="113" w:type="dxa"/>
            </w:tcMar>
            <w:hideMark/>
          </w:tcPr>
          <w:p w14:paraId="72485E29" w14:textId="637B0E93"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Black or African American (%)</w:t>
            </w:r>
          </w:p>
        </w:tc>
        <w:tc>
          <w:tcPr>
            <w:tcW w:w="1350" w:type="dxa"/>
            <w:tcMar>
              <w:top w:w="113" w:type="dxa"/>
              <w:left w:w="113" w:type="dxa"/>
              <w:bottom w:w="113" w:type="dxa"/>
              <w:right w:w="113" w:type="dxa"/>
            </w:tcMar>
            <w:hideMark/>
          </w:tcPr>
          <w:p w14:paraId="5D514D45" w14:textId="4F125AF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-0.000549</w:t>
            </w:r>
          </w:p>
        </w:tc>
        <w:tc>
          <w:tcPr>
            <w:tcW w:w="2597" w:type="dxa"/>
            <w:tcMar>
              <w:top w:w="113" w:type="dxa"/>
              <w:left w:w="113" w:type="dxa"/>
              <w:bottom w:w="113" w:type="dxa"/>
              <w:right w:w="113" w:type="dxa"/>
            </w:tcMar>
            <w:hideMark/>
          </w:tcPr>
          <w:p w14:paraId="130E2C02" w14:textId="4C41E59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-0.005482 – 0.004384</w:t>
            </w:r>
          </w:p>
        </w:tc>
        <w:tc>
          <w:tcPr>
            <w:tcW w:w="1322" w:type="dxa"/>
            <w:tcMar>
              <w:top w:w="113" w:type="dxa"/>
              <w:left w:w="113" w:type="dxa"/>
              <w:bottom w:w="113" w:type="dxa"/>
              <w:right w:w="113" w:type="dxa"/>
            </w:tcMar>
            <w:hideMark/>
          </w:tcPr>
          <w:p w14:paraId="21BAF756" w14:textId="3E2293A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0.827</w:t>
            </w:r>
          </w:p>
        </w:tc>
      </w:tr>
      <w:tr w:rsidR="009F53A7" w:rsidRPr="009F53A7" w14:paraId="1ABF1F49" w14:textId="77777777" w:rsidTr="002A1C71">
        <w:tc>
          <w:tcPr>
            <w:tcW w:w="3780" w:type="dxa"/>
            <w:tcMar>
              <w:top w:w="113" w:type="dxa"/>
              <w:left w:w="113" w:type="dxa"/>
              <w:bottom w:w="113" w:type="dxa"/>
              <w:right w:w="113" w:type="dxa"/>
            </w:tcMar>
            <w:hideMark/>
          </w:tcPr>
          <w:p w14:paraId="0CC212D0" w14:textId="7F5C964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Hispanic or Latino (%)</w:t>
            </w:r>
          </w:p>
        </w:tc>
        <w:tc>
          <w:tcPr>
            <w:tcW w:w="1350" w:type="dxa"/>
            <w:tcMar>
              <w:top w:w="113" w:type="dxa"/>
              <w:left w:w="113" w:type="dxa"/>
              <w:bottom w:w="113" w:type="dxa"/>
              <w:right w:w="113" w:type="dxa"/>
            </w:tcMar>
            <w:hideMark/>
          </w:tcPr>
          <w:p w14:paraId="0C586B70" w14:textId="2AC84F4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0.000457</w:t>
            </w:r>
          </w:p>
        </w:tc>
        <w:tc>
          <w:tcPr>
            <w:tcW w:w="2597" w:type="dxa"/>
            <w:tcMar>
              <w:top w:w="113" w:type="dxa"/>
              <w:left w:w="113" w:type="dxa"/>
              <w:bottom w:w="113" w:type="dxa"/>
              <w:right w:w="113" w:type="dxa"/>
            </w:tcMar>
            <w:hideMark/>
          </w:tcPr>
          <w:p w14:paraId="371E722B" w14:textId="77BE2FF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-0.004411 – 0.005325</w:t>
            </w:r>
          </w:p>
        </w:tc>
        <w:tc>
          <w:tcPr>
            <w:tcW w:w="1322" w:type="dxa"/>
            <w:tcMar>
              <w:top w:w="113" w:type="dxa"/>
              <w:left w:w="113" w:type="dxa"/>
              <w:bottom w:w="113" w:type="dxa"/>
              <w:right w:w="113" w:type="dxa"/>
            </w:tcMar>
            <w:hideMark/>
          </w:tcPr>
          <w:p w14:paraId="260EA43B" w14:textId="13C35B0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0.854</w:t>
            </w:r>
          </w:p>
        </w:tc>
      </w:tr>
      <w:tr w:rsidR="009F53A7" w:rsidRPr="009F53A7" w14:paraId="105BFD3F" w14:textId="77777777" w:rsidTr="002A1C71">
        <w:tc>
          <w:tcPr>
            <w:tcW w:w="3780" w:type="dxa"/>
            <w:tcMar>
              <w:top w:w="113" w:type="dxa"/>
              <w:left w:w="113" w:type="dxa"/>
              <w:bottom w:w="113" w:type="dxa"/>
              <w:right w:w="113" w:type="dxa"/>
            </w:tcMar>
            <w:hideMark/>
          </w:tcPr>
          <w:p w14:paraId="312001AC" w14:textId="463E42C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Asian (%)</w:t>
            </w:r>
          </w:p>
        </w:tc>
        <w:tc>
          <w:tcPr>
            <w:tcW w:w="1350" w:type="dxa"/>
            <w:tcMar>
              <w:top w:w="113" w:type="dxa"/>
              <w:left w:w="113" w:type="dxa"/>
              <w:bottom w:w="113" w:type="dxa"/>
              <w:right w:w="113" w:type="dxa"/>
            </w:tcMar>
            <w:hideMark/>
          </w:tcPr>
          <w:p w14:paraId="33ECE845" w14:textId="07A89BA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0.003453</w:t>
            </w:r>
          </w:p>
        </w:tc>
        <w:tc>
          <w:tcPr>
            <w:tcW w:w="2597" w:type="dxa"/>
            <w:tcMar>
              <w:top w:w="113" w:type="dxa"/>
              <w:left w:w="113" w:type="dxa"/>
              <w:bottom w:w="113" w:type="dxa"/>
              <w:right w:w="113" w:type="dxa"/>
            </w:tcMar>
            <w:hideMark/>
          </w:tcPr>
          <w:p w14:paraId="22976F2B" w14:textId="19047B3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-0.002172 – 0.009077</w:t>
            </w:r>
          </w:p>
        </w:tc>
        <w:tc>
          <w:tcPr>
            <w:tcW w:w="1322" w:type="dxa"/>
            <w:tcMar>
              <w:top w:w="113" w:type="dxa"/>
              <w:left w:w="113" w:type="dxa"/>
              <w:bottom w:w="113" w:type="dxa"/>
              <w:right w:w="113" w:type="dxa"/>
            </w:tcMar>
            <w:hideMark/>
          </w:tcPr>
          <w:p w14:paraId="26907EC4" w14:textId="4626D66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0.230</w:t>
            </w:r>
          </w:p>
        </w:tc>
      </w:tr>
      <w:tr w:rsidR="009F53A7" w:rsidRPr="009F53A7" w14:paraId="6CB6E082" w14:textId="77777777" w:rsidTr="002A1C71">
        <w:tc>
          <w:tcPr>
            <w:tcW w:w="3780" w:type="dxa"/>
            <w:tcMar>
              <w:top w:w="113" w:type="dxa"/>
              <w:left w:w="113" w:type="dxa"/>
              <w:bottom w:w="113" w:type="dxa"/>
              <w:right w:w="113" w:type="dxa"/>
            </w:tcMar>
            <w:hideMark/>
          </w:tcPr>
          <w:p w14:paraId="340F1DC6" w14:textId="41DE31EA"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American Indian, Alaska Native, Native Hawaiian, or Pacific Islander (%)</w:t>
            </w:r>
          </w:p>
        </w:tc>
        <w:tc>
          <w:tcPr>
            <w:tcW w:w="1350" w:type="dxa"/>
            <w:tcMar>
              <w:top w:w="113" w:type="dxa"/>
              <w:left w:w="113" w:type="dxa"/>
              <w:bottom w:w="113" w:type="dxa"/>
              <w:right w:w="113" w:type="dxa"/>
            </w:tcMar>
            <w:hideMark/>
          </w:tcPr>
          <w:p w14:paraId="42F5FE23" w14:textId="3372DBC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-0.001508</w:t>
            </w:r>
          </w:p>
        </w:tc>
        <w:tc>
          <w:tcPr>
            <w:tcW w:w="2597" w:type="dxa"/>
            <w:tcMar>
              <w:top w:w="113" w:type="dxa"/>
              <w:left w:w="113" w:type="dxa"/>
              <w:bottom w:w="113" w:type="dxa"/>
              <w:right w:w="113" w:type="dxa"/>
            </w:tcMar>
            <w:hideMark/>
          </w:tcPr>
          <w:p w14:paraId="722349F2" w14:textId="538D019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-0.007249 – 0.004233</w:t>
            </w:r>
          </w:p>
        </w:tc>
        <w:tc>
          <w:tcPr>
            <w:tcW w:w="1322" w:type="dxa"/>
            <w:tcMar>
              <w:top w:w="113" w:type="dxa"/>
              <w:left w:w="113" w:type="dxa"/>
              <w:bottom w:w="113" w:type="dxa"/>
              <w:right w:w="113" w:type="dxa"/>
            </w:tcMar>
            <w:hideMark/>
          </w:tcPr>
          <w:p w14:paraId="4ED8C2D2" w14:textId="480B08C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0.607</w:t>
            </w:r>
          </w:p>
        </w:tc>
      </w:tr>
      <w:tr w:rsidR="009F53A7" w:rsidRPr="009F53A7" w14:paraId="532CE283" w14:textId="77777777" w:rsidTr="002A1C71">
        <w:tc>
          <w:tcPr>
            <w:tcW w:w="3780" w:type="dxa"/>
            <w:tcMar>
              <w:top w:w="113" w:type="dxa"/>
              <w:left w:w="113" w:type="dxa"/>
              <w:bottom w:w="113" w:type="dxa"/>
              <w:right w:w="113" w:type="dxa"/>
            </w:tcMar>
            <w:hideMark/>
          </w:tcPr>
          <w:p w14:paraId="3ECFBC7C" w14:textId="45546893"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White (%)</w:t>
            </w:r>
          </w:p>
        </w:tc>
        <w:tc>
          <w:tcPr>
            <w:tcW w:w="1350" w:type="dxa"/>
            <w:tcMar>
              <w:top w:w="113" w:type="dxa"/>
              <w:left w:w="113" w:type="dxa"/>
              <w:bottom w:w="113" w:type="dxa"/>
              <w:right w:w="113" w:type="dxa"/>
            </w:tcMar>
            <w:hideMark/>
          </w:tcPr>
          <w:p w14:paraId="427EB232" w14:textId="76FA4F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-0.000508</w:t>
            </w:r>
          </w:p>
        </w:tc>
        <w:tc>
          <w:tcPr>
            <w:tcW w:w="2597" w:type="dxa"/>
            <w:tcMar>
              <w:top w:w="113" w:type="dxa"/>
              <w:left w:w="113" w:type="dxa"/>
              <w:bottom w:w="113" w:type="dxa"/>
              <w:right w:w="113" w:type="dxa"/>
            </w:tcMar>
            <w:hideMark/>
          </w:tcPr>
          <w:p w14:paraId="1186F724" w14:textId="6599D99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-0.005438 – 0.004422</w:t>
            </w:r>
          </w:p>
        </w:tc>
        <w:tc>
          <w:tcPr>
            <w:tcW w:w="1322" w:type="dxa"/>
            <w:tcMar>
              <w:top w:w="113" w:type="dxa"/>
              <w:left w:w="113" w:type="dxa"/>
              <w:bottom w:w="113" w:type="dxa"/>
              <w:right w:w="113" w:type="dxa"/>
            </w:tcMar>
            <w:hideMark/>
          </w:tcPr>
          <w:p w14:paraId="01C3E4CB" w14:textId="1CFF429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0.840</w:t>
            </w:r>
          </w:p>
        </w:tc>
      </w:tr>
      <w:tr w:rsidR="009F53A7" w:rsidRPr="009F53A7" w14:paraId="7C0B4CC6" w14:textId="77777777" w:rsidTr="002A1C71">
        <w:tc>
          <w:tcPr>
            <w:tcW w:w="3780" w:type="dxa"/>
            <w:tcMar>
              <w:top w:w="113" w:type="dxa"/>
              <w:left w:w="113" w:type="dxa"/>
              <w:bottom w:w="113" w:type="dxa"/>
              <w:right w:w="113" w:type="dxa"/>
            </w:tcMar>
            <w:hideMark/>
          </w:tcPr>
          <w:p w14:paraId="7BFAA038" w14:textId="7EF28508"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Education less than high school (%)</w:t>
            </w:r>
            <w:r w:rsidRPr="009F53A7">
              <w:rPr>
                <w:rFonts w:ascii="Times New Roman" w:eastAsia="Times New Roman" w:hAnsi="Times New Roman" w:cs="Times New Roman"/>
                <w:lang w:val="en-US" w:eastAsia="de-DE"/>
              </w:rPr>
              <w:br/>
            </w:r>
          </w:p>
        </w:tc>
        <w:tc>
          <w:tcPr>
            <w:tcW w:w="1350" w:type="dxa"/>
            <w:tcMar>
              <w:top w:w="113" w:type="dxa"/>
              <w:left w:w="113" w:type="dxa"/>
              <w:bottom w:w="113" w:type="dxa"/>
              <w:right w:w="113" w:type="dxa"/>
            </w:tcMar>
            <w:hideMark/>
          </w:tcPr>
          <w:p w14:paraId="58E17303" w14:textId="10C1592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5C061EDE" w14:textId="587EA77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 – 0.000000</w:t>
            </w:r>
          </w:p>
        </w:tc>
        <w:tc>
          <w:tcPr>
            <w:tcW w:w="1322" w:type="dxa"/>
            <w:tcMar>
              <w:top w:w="113" w:type="dxa"/>
              <w:left w:w="113" w:type="dxa"/>
              <w:bottom w:w="113" w:type="dxa"/>
              <w:right w:w="113" w:type="dxa"/>
            </w:tcMar>
            <w:hideMark/>
          </w:tcPr>
          <w:p w14:paraId="71DB1040" w14:textId="11374EE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0.662</w:t>
            </w:r>
          </w:p>
        </w:tc>
      </w:tr>
      <w:tr w:rsidR="009F53A7" w:rsidRPr="009F53A7" w14:paraId="34740846" w14:textId="77777777" w:rsidTr="002A1C71">
        <w:tc>
          <w:tcPr>
            <w:tcW w:w="3780" w:type="dxa"/>
            <w:tcMar>
              <w:top w:w="113" w:type="dxa"/>
              <w:left w:w="113" w:type="dxa"/>
              <w:bottom w:w="113" w:type="dxa"/>
              <w:right w:w="113" w:type="dxa"/>
            </w:tcMar>
            <w:hideMark/>
          </w:tcPr>
          <w:p w14:paraId="588D4CED" w14:textId="72DABF92"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Poverty (%)</w:t>
            </w:r>
          </w:p>
        </w:tc>
        <w:tc>
          <w:tcPr>
            <w:tcW w:w="1350" w:type="dxa"/>
            <w:tcMar>
              <w:top w:w="113" w:type="dxa"/>
              <w:left w:w="113" w:type="dxa"/>
              <w:bottom w:w="113" w:type="dxa"/>
              <w:right w:w="113" w:type="dxa"/>
            </w:tcMar>
            <w:hideMark/>
          </w:tcPr>
          <w:p w14:paraId="3FCD09D2" w14:textId="387B22D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0.000373</w:t>
            </w:r>
          </w:p>
        </w:tc>
        <w:tc>
          <w:tcPr>
            <w:tcW w:w="2597" w:type="dxa"/>
            <w:tcMar>
              <w:top w:w="113" w:type="dxa"/>
              <w:left w:w="113" w:type="dxa"/>
              <w:bottom w:w="113" w:type="dxa"/>
              <w:right w:w="113" w:type="dxa"/>
            </w:tcMar>
            <w:hideMark/>
          </w:tcPr>
          <w:p w14:paraId="37FEA271" w14:textId="5E9845D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-0.000650 – 0.001396</w:t>
            </w:r>
          </w:p>
        </w:tc>
        <w:tc>
          <w:tcPr>
            <w:tcW w:w="1322" w:type="dxa"/>
            <w:tcMar>
              <w:top w:w="113" w:type="dxa"/>
              <w:left w:w="113" w:type="dxa"/>
              <w:bottom w:w="113" w:type="dxa"/>
              <w:right w:w="113" w:type="dxa"/>
            </w:tcMar>
            <w:hideMark/>
          </w:tcPr>
          <w:p w14:paraId="3EAAAB22" w14:textId="6608BDA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0.476</w:t>
            </w:r>
          </w:p>
        </w:tc>
      </w:tr>
      <w:tr w:rsidR="009F53A7" w:rsidRPr="009F53A7" w14:paraId="2234C181" w14:textId="77777777" w:rsidTr="002A1C71">
        <w:tc>
          <w:tcPr>
            <w:tcW w:w="3780" w:type="dxa"/>
            <w:tcMar>
              <w:top w:w="113" w:type="dxa"/>
              <w:left w:w="113" w:type="dxa"/>
              <w:bottom w:w="113" w:type="dxa"/>
              <w:right w:w="113" w:type="dxa"/>
            </w:tcMar>
            <w:hideMark/>
          </w:tcPr>
          <w:p w14:paraId="626E45DC" w14:textId="19752CF0"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Unemployed (%)</w:t>
            </w:r>
          </w:p>
        </w:tc>
        <w:tc>
          <w:tcPr>
            <w:tcW w:w="1350" w:type="dxa"/>
            <w:tcMar>
              <w:top w:w="113" w:type="dxa"/>
              <w:left w:w="113" w:type="dxa"/>
              <w:bottom w:w="113" w:type="dxa"/>
              <w:right w:w="113" w:type="dxa"/>
            </w:tcMar>
            <w:hideMark/>
          </w:tcPr>
          <w:p w14:paraId="3B7B005C" w14:textId="0ECC115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0.003255</w:t>
            </w:r>
          </w:p>
        </w:tc>
        <w:tc>
          <w:tcPr>
            <w:tcW w:w="2597" w:type="dxa"/>
            <w:tcMar>
              <w:top w:w="113" w:type="dxa"/>
              <w:left w:w="113" w:type="dxa"/>
              <w:bottom w:w="113" w:type="dxa"/>
              <w:right w:w="113" w:type="dxa"/>
            </w:tcMar>
            <w:hideMark/>
          </w:tcPr>
          <w:p w14:paraId="78C9916D" w14:textId="3755A64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-0.000313 – 0.006823</w:t>
            </w:r>
          </w:p>
        </w:tc>
        <w:tc>
          <w:tcPr>
            <w:tcW w:w="1322" w:type="dxa"/>
            <w:tcMar>
              <w:top w:w="113" w:type="dxa"/>
              <w:left w:w="113" w:type="dxa"/>
              <w:bottom w:w="113" w:type="dxa"/>
              <w:right w:w="113" w:type="dxa"/>
            </w:tcMar>
            <w:hideMark/>
          </w:tcPr>
          <w:p w14:paraId="67DCF1CA" w14:textId="21692F7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0.075</w:t>
            </w:r>
          </w:p>
        </w:tc>
      </w:tr>
      <w:tr w:rsidR="009F53A7" w:rsidRPr="009F53A7" w14:paraId="0FC97B48" w14:textId="77777777" w:rsidTr="002A1C71">
        <w:tc>
          <w:tcPr>
            <w:tcW w:w="3780" w:type="dxa"/>
            <w:tcMar>
              <w:top w:w="113" w:type="dxa"/>
              <w:left w:w="113" w:type="dxa"/>
              <w:bottom w:w="113" w:type="dxa"/>
              <w:right w:w="113" w:type="dxa"/>
            </w:tcMar>
            <w:hideMark/>
          </w:tcPr>
          <w:p w14:paraId="5CF033A6" w14:textId="08A97F5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0 to 19 (%)</w:t>
            </w:r>
          </w:p>
        </w:tc>
        <w:tc>
          <w:tcPr>
            <w:tcW w:w="1350" w:type="dxa"/>
            <w:tcMar>
              <w:top w:w="113" w:type="dxa"/>
              <w:left w:w="113" w:type="dxa"/>
              <w:bottom w:w="113" w:type="dxa"/>
              <w:right w:w="113" w:type="dxa"/>
            </w:tcMar>
            <w:hideMark/>
          </w:tcPr>
          <w:p w14:paraId="05FA5394" w14:textId="5E0C2301"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6F651A4C" w14:textId="4845CAE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 – 0.000000</w:t>
            </w:r>
          </w:p>
        </w:tc>
        <w:tc>
          <w:tcPr>
            <w:tcW w:w="1322" w:type="dxa"/>
            <w:tcMar>
              <w:top w:w="113" w:type="dxa"/>
              <w:left w:w="113" w:type="dxa"/>
              <w:bottom w:w="113" w:type="dxa"/>
              <w:right w:w="113" w:type="dxa"/>
            </w:tcMar>
            <w:hideMark/>
          </w:tcPr>
          <w:p w14:paraId="14AEC508" w14:textId="6DA7237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0.729</w:t>
            </w:r>
          </w:p>
        </w:tc>
      </w:tr>
      <w:tr w:rsidR="009F53A7" w:rsidRPr="009F53A7" w14:paraId="29ED09DE" w14:textId="77777777" w:rsidTr="002A1C71">
        <w:tc>
          <w:tcPr>
            <w:tcW w:w="3780" w:type="dxa"/>
            <w:tcMar>
              <w:top w:w="113" w:type="dxa"/>
              <w:left w:w="113" w:type="dxa"/>
              <w:bottom w:w="113" w:type="dxa"/>
              <w:right w:w="113" w:type="dxa"/>
            </w:tcMar>
            <w:hideMark/>
          </w:tcPr>
          <w:p w14:paraId="3F8B358C" w14:textId="1A1BA972"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65 or over (%)</w:t>
            </w:r>
          </w:p>
        </w:tc>
        <w:tc>
          <w:tcPr>
            <w:tcW w:w="1350" w:type="dxa"/>
            <w:tcMar>
              <w:top w:w="113" w:type="dxa"/>
              <w:left w:w="113" w:type="dxa"/>
              <w:bottom w:w="113" w:type="dxa"/>
              <w:right w:w="113" w:type="dxa"/>
            </w:tcMar>
            <w:hideMark/>
          </w:tcPr>
          <w:p w14:paraId="5A922522" w14:textId="3DA85D0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33A76B0F" w14:textId="3B81DD0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-0.000001 – 0.000000</w:t>
            </w:r>
          </w:p>
        </w:tc>
        <w:tc>
          <w:tcPr>
            <w:tcW w:w="1322" w:type="dxa"/>
            <w:tcMar>
              <w:top w:w="113" w:type="dxa"/>
              <w:left w:w="113" w:type="dxa"/>
              <w:bottom w:w="113" w:type="dxa"/>
              <w:right w:w="113" w:type="dxa"/>
            </w:tcMar>
            <w:hideMark/>
          </w:tcPr>
          <w:p w14:paraId="38C2F2E5" w14:textId="79CDA6E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0.552</w:t>
            </w:r>
          </w:p>
        </w:tc>
      </w:tr>
      <w:tr w:rsidR="009F53A7" w:rsidRPr="009F53A7" w14:paraId="79383C38" w14:textId="77777777" w:rsidTr="002A1C71">
        <w:tc>
          <w:tcPr>
            <w:tcW w:w="3780" w:type="dxa"/>
            <w:tcMar>
              <w:top w:w="113" w:type="dxa"/>
              <w:left w:w="113" w:type="dxa"/>
              <w:bottom w:w="113" w:type="dxa"/>
              <w:right w:w="113" w:type="dxa"/>
            </w:tcMar>
            <w:hideMark/>
          </w:tcPr>
          <w:p w14:paraId="05A058DA" w14:textId="0850B9D4"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Northeast</w:t>
            </w:r>
          </w:p>
        </w:tc>
        <w:tc>
          <w:tcPr>
            <w:tcW w:w="1350" w:type="dxa"/>
            <w:tcMar>
              <w:top w:w="113" w:type="dxa"/>
              <w:left w:w="113" w:type="dxa"/>
              <w:bottom w:w="113" w:type="dxa"/>
              <w:right w:w="113" w:type="dxa"/>
            </w:tcMar>
            <w:hideMark/>
          </w:tcPr>
          <w:p w14:paraId="737D5672" w14:textId="4E38A90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0.000777</w:t>
            </w:r>
          </w:p>
        </w:tc>
        <w:tc>
          <w:tcPr>
            <w:tcW w:w="2597" w:type="dxa"/>
            <w:tcMar>
              <w:top w:w="113" w:type="dxa"/>
              <w:left w:w="113" w:type="dxa"/>
              <w:bottom w:w="113" w:type="dxa"/>
              <w:right w:w="113" w:type="dxa"/>
            </w:tcMar>
            <w:hideMark/>
          </w:tcPr>
          <w:p w14:paraId="2A6A368C" w14:textId="5614DA3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0.000411 – 0.001142</w:t>
            </w:r>
          </w:p>
        </w:tc>
        <w:tc>
          <w:tcPr>
            <w:tcW w:w="1322" w:type="dxa"/>
            <w:tcMar>
              <w:top w:w="113" w:type="dxa"/>
              <w:left w:w="113" w:type="dxa"/>
              <w:bottom w:w="113" w:type="dxa"/>
              <w:right w:w="113" w:type="dxa"/>
            </w:tcMar>
            <w:hideMark/>
          </w:tcPr>
          <w:p w14:paraId="47BB5853" w14:textId="177BDDE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&lt;0.001</w:t>
            </w:r>
          </w:p>
        </w:tc>
      </w:tr>
      <w:tr w:rsidR="009F53A7" w:rsidRPr="009F53A7" w14:paraId="6A5C2F73" w14:textId="77777777" w:rsidTr="002A1C71">
        <w:tc>
          <w:tcPr>
            <w:tcW w:w="3780" w:type="dxa"/>
            <w:tcMar>
              <w:top w:w="113" w:type="dxa"/>
              <w:left w:w="113" w:type="dxa"/>
              <w:bottom w:w="113" w:type="dxa"/>
              <w:right w:w="113" w:type="dxa"/>
            </w:tcMar>
            <w:hideMark/>
          </w:tcPr>
          <w:p w14:paraId="7D6B28E6" w14:textId="1A9E023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South</w:t>
            </w:r>
          </w:p>
        </w:tc>
        <w:tc>
          <w:tcPr>
            <w:tcW w:w="1350" w:type="dxa"/>
            <w:tcMar>
              <w:top w:w="113" w:type="dxa"/>
              <w:left w:w="113" w:type="dxa"/>
              <w:bottom w:w="113" w:type="dxa"/>
              <w:right w:w="113" w:type="dxa"/>
            </w:tcMar>
            <w:hideMark/>
          </w:tcPr>
          <w:p w14:paraId="130D09CD" w14:textId="5EF14F8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-0.000195</w:t>
            </w:r>
          </w:p>
        </w:tc>
        <w:tc>
          <w:tcPr>
            <w:tcW w:w="2597" w:type="dxa"/>
            <w:tcMar>
              <w:top w:w="113" w:type="dxa"/>
              <w:left w:w="113" w:type="dxa"/>
              <w:bottom w:w="113" w:type="dxa"/>
              <w:right w:w="113" w:type="dxa"/>
            </w:tcMar>
            <w:hideMark/>
          </w:tcPr>
          <w:p w14:paraId="763DB5E4" w14:textId="10AD9CB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-0.000525 – 0.000134</w:t>
            </w:r>
          </w:p>
        </w:tc>
        <w:tc>
          <w:tcPr>
            <w:tcW w:w="1322" w:type="dxa"/>
            <w:tcMar>
              <w:top w:w="113" w:type="dxa"/>
              <w:left w:w="113" w:type="dxa"/>
              <w:bottom w:w="113" w:type="dxa"/>
              <w:right w:w="113" w:type="dxa"/>
            </w:tcMar>
            <w:hideMark/>
          </w:tcPr>
          <w:p w14:paraId="3877E36A" w14:textId="3C7A8AC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0.247</w:t>
            </w:r>
          </w:p>
        </w:tc>
      </w:tr>
      <w:tr w:rsidR="009F53A7" w:rsidRPr="009F53A7" w14:paraId="436BAD28" w14:textId="77777777" w:rsidTr="002A1C71">
        <w:tc>
          <w:tcPr>
            <w:tcW w:w="3780" w:type="dxa"/>
            <w:tcMar>
              <w:top w:w="113" w:type="dxa"/>
              <w:left w:w="113" w:type="dxa"/>
              <w:bottom w:w="113" w:type="dxa"/>
              <w:right w:w="113" w:type="dxa"/>
            </w:tcMar>
            <w:hideMark/>
          </w:tcPr>
          <w:p w14:paraId="6D9535BA" w14:textId="19AFA14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West</w:t>
            </w:r>
          </w:p>
        </w:tc>
        <w:tc>
          <w:tcPr>
            <w:tcW w:w="1350" w:type="dxa"/>
            <w:tcMar>
              <w:top w:w="113" w:type="dxa"/>
              <w:left w:w="113" w:type="dxa"/>
              <w:bottom w:w="113" w:type="dxa"/>
              <w:right w:w="113" w:type="dxa"/>
            </w:tcMar>
            <w:hideMark/>
          </w:tcPr>
          <w:p w14:paraId="103B1071" w14:textId="52D818A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0.000164</w:t>
            </w:r>
          </w:p>
        </w:tc>
        <w:tc>
          <w:tcPr>
            <w:tcW w:w="2597" w:type="dxa"/>
            <w:tcMar>
              <w:top w:w="113" w:type="dxa"/>
              <w:left w:w="113" w:type="dxa"/>
              <w:bottom w:w="113" w:type="dxa"/>
              <w:right w:w="113" w:type="dxa"/>
            </w:tcMar>
            <w:hideMark/>
          </w:tcPr>
          <w:p w14:paraId="44F279DF" w14:textId="06EF616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-0.000196 – 0.000523</w:t>
            </w:r>
          </w:p>
        </w:tc>
        <w:tc>
          <w:tcPr>
            <w:tcW w:w="1322" w:type="dxa"/>
            <w:tcMar>
              <w:top w:w="113" w:type="dxa"/>
              <w:left w:w="113" w:type="dxa"/>
              <w:bottom w:w="113" w:type="dxa"/>
              <w:right w:w="113" w:type="dxa"/>
            </w:tcMar>
            <w:hideMark/>
          </w:tcPr>
          <w:p w14:paraId="253A2A0B" w14:textId="15D6B0C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0.373</w:t>
            </w:r>
          </w:p>
        </w:tc>
      </w:tr>
      <w:tr w:rsidR="00185956" w:rsidRPr="009F53A7" w14:paraId="13D2BCD2" w14:textId="77777777" w:rsidTr="002A1C71">
        <w:tc>
          <w:tcPr>
            <w:tcW w:w="3780" w:type="dxa"/>
            <w:tcBorders>
              <w:top w:val="single" w:sz="6" w:space="0" w:color="auto"/>
            </w:tcBorders>
            <w:tcMar>
              <w:top w:w="57" w:type="dxa"/>
              <w:left w:w="113" w:type="dxa"/>
              <w:bottom w:w="57" w:type="dxa"/>
              <w:right w:w="113" w:type="dxa"/>
            </w:tcMar>
            <w:hideMark/>
          </w:tcPr>
          <w:p w14:paraId="14DEA41C"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Observations</w:t>
            </w:r>
          </w:p>
        </w:tc>
        <w:tc>
          <w:tcPr>
            <w:tcW w:w="5269" w:type="dxa"/>
            <w:gridSpan w:val="3"/>
            <w:tcBorders>
              <w:top w:val="single" w:sz="6" w:space="0" w:color="auto"/>
            </w:tcBorders>
            <w:tcMar>
              <w:top w:w="57" w:type="dxa"/>
              <w:left w:w="113" w:type="dxa"/>
              <w:bottom w:w="57" w:type="dxa"/>
              <w:right w:w="113" w:type="dxa"/>
            </w:tcMar>
            <w:hideMark/>
          </w:tcPr>
          <w:p w14:paraId="3C4A9213"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274</w:t>
            </w:r>
          </w:p>
        </w:tc>
      </w:tr>
      <w:tr w:rsidR="00185956" w:rsidRPr="009F53A7" w14:paraId="58A5AB83" w14:textId="77777777" w:rsidTr="002A1C71">
        <w:tc>
          <w:tcPr>
            <w:tcW w:w="3780" w:type="dxa"/>
            <w:tcMar>
              <w:top w:w="57" w:type="dxa"/>
              <w:left w:w="113" w:type="dxa"/>
              <w:bottom w:w="57" w:type="dxa"/>
              <w:right w:w="113" w:type="dxa"/>
            </w:tcMar>
            <w:hideMark/>
          </w:tcPr>
          <w:p w14:paraId="16A27692"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Nagelkerke's R</w:t>
            </w:r>
            <w:r w:rsidRPr="009F53A7">
              <w:rPr>
                <w:rFonts w:ascii="Times New Roman" w:eastAsia="Times New Roman" w:hAnsi="Times New Roman" w:cs="Times New Roman"/>
                <w:vertAlign w:val="superscript"/>
                <w:lang w:eastAsia="de-DE"/>
              </w:rPr>
              <w:t>2</w:t>
            </w:r>
          </w:p>
        </w:tc>
        <w:tc>
          <w:tcPr>
            <w:tcW w:w="5269" w:type="dxa"/>
            <w:gridSpan w:val="3"/>
            <w:tcMar>
              <w:top w:w="57" w:type="dxa"/>
              <w:left w:w="113" w:type="dxa"/>
              <w:bottom w:w="57" w:type="dxa"/>
              <w:right w:w="113" w:type="dxa"/>
            </w:tcMar>
            <w:hideMark/>
          </w:tcPr>
          <w:p w14:paraId="71AB6DF1" w14:textId="59EA6090"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0.32</w:t>
            </w:r>
            <w:r w:rsidR="009F53A7">
              <w:rPr>
                <w:rFonts w:ascii="Times New Roman" w:eastAsia="Times New Roman" w:hAnsi="Times New Roman" w:cs="Times New Roman"/>
                <w:lang w:eastAsia="de-DE"/>
              </w:rPr>
              <w:t>3</w:t>
            </w:r>
          </w:p>
        </w:tc>
      </w:tr>
    </w:tbl>
    <w:p w14:paraId="205E8672" w14:textId="77777777" w:rsidR="00185956" w:rsidRPr="005076A2" w:rsidRDefault="00185956" w:rsidP="005076A2">
      <w:pPr>
        <w:rPr>
          <w:rFonts w:ascii="Times New Roman" w:hAnsi="Times New Roman" w:cs="Times New Roman"/>
          <w:b/>
          <w:sz w:val="24"/>
          <w:szCs w:val="24"/>
          <w:lang w:val="en-US"/>
        </w:rPr>
      </w:pPr>
    </w:p>
    <w:p w14:paraId="47FF73C6"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FACEBC4" w14:textId="75A089B0" w:rsid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lang w:val="en-US"/>
        </w:rPr>
        <w:lastRenderedPageBreak/>
        <w:t xml:space="preserve">6m.  </w:t>
      </w:r>
      <w:r w:rsidRPr="005076A2">
        <w:rPr>
          <w:rFonts w:ascii="Times New Roman" w:hAnsi="Times New Roman" w:cs="Times New Roman"/>
          <w:b/>
          <w:sz w:val="24"/>
          <w:szCs w:val="24"/>
        </w:rPr>
        <w:t>Silicon.</w:t>
      </w:r>
    </w:p>
    <w:tbl>
      <w:tblPr>
        <w:tblW w:w="0" w:type="auto"/>
        <w:tblCellMar>
          <w:top w:w="15" w:type="dxa"/>
          <w:left w:w="15" w:type="dxa"/>
          <w:bottom w:w="15" w:type="dxa"/>
          <w:right w:w="15" w:type="dxa"/>
        </w:tblCellMar>
        <w:tblLook w:val="04A0" w:firstRow="1" w:lastRow="0" w:firstColumn="1" w:lastColumn="0" w:noHBand="0" w:noVBand="1"/>
      </w:tblPr>
      <w:tblGrid>
        <w:gridCol w:w="4140"/>
        <w:gridCol w:w="1260"/>
        <w:gridCol w:w="2340"/>
        <w:gridCol w:w="1309"/>
      </w:tblGrid>
      <w:tr w:rsidR="00266752" w:rsidRPr="00EA542E" w14:paraId="0A6F3E36" w14:textId="77777777" w:rsidTr="00643F3A">
        <w:tc>
          <w:tcPr>
            <w:tcW w:w="4140" w:type="dxa"/>
            <w:tcBorders>
              <w:top w:val="double" w:sz="6" w:space="0" w:color="auto"/>
            </w:tcBorders>
            <w:tcMar>
              <w:top w:w="113" w:type="dxa"/>
              <w:left w:w="113" w:type="dxa"/>
              <w:bottom w:w="113" w:type="dxa"/>
              <w:right w:w="113" w:type="dxa"/>
            </w:tcMar>
            <w:vAlign w:val="center"/>
            <w:hideMark/>
          </w:tcPr>
          <w:p w14:paraId="427FF8C8"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4277D691" w14:textId="5384E970"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Silicon</w:t>
            </w:r>
          </w:p>
        </w:tc>
      </w:tr>
      <w:tr w:rsidR="00266752" w:rsidRPr="00EA542E" w14:paraId="3C7B7590" w14:textId="77777777" w:rsidTr="00643F3A">
        <w:tc>
          <w:tcPr>
            <w:tcW w:w="4140" w:type="dxa"/>
            <w:tcBorders>
              <w:bottom w:val="single" w:sz="6" w:space="0" w:color="auto"/>
            </w:tcBorders>
            <w:vAlign w:val="center"/>
            <w:hideMark/>
          </w:tcPr>
          <w:p w14:paraId="68B266AC"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F19B226"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340" w:type="dxa"/>
            <w:tcBorders>
              <w:bottom w:val="single" w:sz="6" w:space="0" w:color="auto"/>
            </w:tcBorders>
            <w:vAlign w:val="center"/>
            <w:hideMark/>
          </w:tcPr>
          <w:p w14:paraId="37D4113B"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309" w:type="dxa"/>
            <w:tcBorders>
              <w:bottom w:val="single" w:sz="6" w:space="0" w:color="auto"/>
            </w:tcBorders>
            <w:vAlign w:val="center"/>
            <w:hideMark/>
          </w:tcPr>
          <w:p w14:paraId="5DA5CB77"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2AA43650" w14:textId="77777777" w:rsidTr="00643F3A">
        <w:tc>
          <w:tcPr>
            <w:tcW w:w="4140" w:type="dxa"/>
            <w:tcMar>
              <w:top w:w="113" w:type="dxa"/>
              <w:left w:w="113" w:type="dxa"/>
              <w:bottom w:w="113" w:type="dxa"/>
              <w:right w:w="113" w:type="dxa"/>
            </w:tcMar>
            <w:hideMark/>
          </w:tcPr>
          <w:p w14:paraId="6759ED47" w14:textId="218E8355"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7FF0A012" w14:textId="287C69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-0.5233</w:t>
            </w:r>
          </w:p>
        </w:tc>
        <w:tc>
          <w:tcPr>
            <w:tcW w:w="2340" w:type="dxa"/>
            <w:tcMar>
              <w:top w:w="113" w:type="dxa"/>
              <w:left w:w="113" w:type="dxa"/>
              <w:bottom w:w="113" w:type="dxa"/>
              <w:right w:w="113" w:type="dxa"/>
            </w:tcMar>
            <w:hideMark/>
          </w:tcPr>
          <w:p w14:paraId="4D39C63A" w14:textId="5573A69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-0.8874 – -0.1591</w:t>
            </w:r>
          </w:p>
        </w:tc>
        <w:tc>
          <w:tcPr>
            <w:tcW w:w="1309" w:type="dxa"/>
            <w:tcMar>
              <w:top w:w="113" w:type="dxa"/>
              <w:left w:w="113" w:type="dxa"/>
              <w:bottom w:w="113" w:type="dxa"/>
              <w:right w:w="113" w:type="dxa"/>
            </w:tcMar>
            <w:hideMark/>
          </w:tcPr>
          <w:p w14:paraId="3C768A4B" w14:textId="12399B8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5D7D4AD5" w14:textId="77777777" w:rsidTr="00643F3A">
        <w:tc>
          <w:tcPr>
            <w:tcW w:w="4140" w:type="dxa"/>
            <w:tcMar>
              <w:top w:w="113" w:type="dxa"/>
              <w:left w:w="113" w:type="dxa"/>
              <w:bottom w:w="113" w:type="dxa"/>
              <w:right w:w="113" w:type="dxa"/>
            </w:tcMar>
            <w:hideMark/>
          </w:tcPr>
          <w:p w14:paraId="78C47772" w14:textId="386D90B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24274F32" w14:textId="5D4FEA3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-0.0149</w:t>
            </w:r>
          </w:p>
        </w:tc>
        <w:tc>
          <w:tcPr>
            <w:tcW w:w="2340" w:type="dxa"/>
            <w:tcMar>
              <w:top w:w="113" w:type="dxa"/>
              <w:left w:w="113" w:type="dxa"/>
              <w:bottom w:w="113" w:type="dxa"/>
              <w:right w:w="113" w:type="dxa"/>
            </w:tcMar>
            <w:hideMark/>
          </w:tcPr>
          <w:p w14:paraId="1315F188" w14:textId="4BAEFBD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-0.0245 – -0.0053</w:t>
            </w:r>
          </w:p>
        </w:tc>
        <w:tc>
          <w:tcPr>
            <w:tcW w:w="1309" w:type="dxa"/>
            <w:tcMar>
              <w:top w:w="113" w:type="dxa"/>
              <w:left w:w="113" w:type="dxa"/>
              <w:bottom w:w="113" w:type="dxa"/>
              <w:right w:w="113" w:type="dxa"/>
            </w:tcMar>
            <w:hideMark/>
          </w:tcPr>
          <w:p w14:paraId="4BDFA301" w14:textId="76C6278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0.003</w:t>
            </w:r>
          </w:p>
        </w:tc>
      </w:tr>
      <w:tr w:rsidR="00EA542E" w:rsidRPr="00EA542E" w14:paraId="30D2B9A2" w14:textId="77777777" w:rsidTr="00643F3A">
        <w:tc>
          <w:tcPr>
            <w:tcW w:w="4140" w:type="dxa"/>
            <w:tcMar>
              <w:top w:w="113" w:type="dxa"/>
              <w:left w:w="113" w:type="dxa"/>
              <w:bottom w:w="113" w:type="dxa"/>
              <w:right w:w="113" w:type="dxa"/>
            </w:tcMar>
            <w:hideMark/>
          </w:tcPr>
          <w:p w14:paraId="2AACB5AE" w14:textId="0CBCA47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3EC2A80E" w14:textId="2CA3651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0.6793</w:t>
            </w:r>
          </w:p>
        </w:tc>
        <w:tc>
          <w:tcPr>
            <w:tcW w:w="2340" w:type="dxa"/>
            <w:tcMar>
              <w:top w:w="113" w:type="dxa"/>
              <w:left w:w="113" w:type="dxa"/>
              <w:bottom w:w="113" w:type="dxa"/>
              <w:right w:w="113" w:type="dxa"/>
            </w:tcMar>
            <w:hideMark/>
          </w:tcPr>
          <w:p w14:paraId="4CB604BD" w14:textId="73EFA2D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0.3115 – 1.0470</w:t>
            </w:r>
          </w:p>
        </w:tc>
        <w:tc>
          <w:tcPr>
            <w:tcW w:w="1309" w:type="dxa"/>
            <w:tcMar>
              <w:top w:w="113" w:type="dxa"/>
              <w:left w:w="113" w:type="dxa"/>
              <w:bottom w:w="113" w:type="dxa"/>
              <w:right w:w="113" w:type="dxa"/>
            </w:tcMar>
            <w:hideMark/>
          </w:tcPr>
          <w:p w14:paraId="7DE0B6D3" w14:textId="2DB10AD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21D262C7" w14:textId="77777777" w:rsidTr="00643F3A">
        <w:tc>
          <w:tcPr>
            <w:tcW w:w="4140" w:type="dxa"/>
            <w:tcMar>
              <w:top w:w="113" w:type="dxa"/>
              <w:left w:w="113" w:type="dxa"/>
              <w:bottom w:w="113" w:type="dxa"/>
              <w:right w:w="113" w:type="dxa"/>
            </w:tcMar>
            <w:hideMark/>
          </w:tcPr>
          <w:p w14:paraId="1F2854CB" w14:textId="374BBDE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6949BA86" w14:textId="6071CDA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0.8230</w:t>
            </w:r>
          </w:p>
        </w:tc>
        <w:tc>
          <w:tcPr>
            <w:tcW w:w="2340" w:type="dxa"/>
            <w:tcMar>
              <w:top w:w="113" w:type="dxa"/>
              <w:left w:w="113" w:type="dxa"/>
              <w:bottom w:w="113" w:type="dxa"/>
              <w:right w:w="113" w:type="dxa"/>
            </w:tcMar>
            <w:hideMark/>
          </w:tcPr>
          <w:p w14:paraId="4C858B28" w14:textId="4CEEA72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0.4600 – 1.1859</w:t>
            </w:r>
          </w:p>
        </w:tc>
        <w:tc>
          <w:tcPr>
            <w:tcW w:w="1309" w:type="dxa"/>
            <w:tcMar>
              <w:top w:w="113" w:type="dxa"/>
              <w:left w:w="113" w:type="dxa"/>
              <w:bottom w:w="113" w:type="dxa"/>
              <w:right w:w="113" w:type="dxa"/>
            </w:tcMar>
            <w:hideMark/>
          </w:tcPr>
          <w:p w14:paraId="3A386DA0" w14:textId="182FC7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05BEAE67" w14:textId="77777777" w:rsidTr="00643F3A">
        <w:tc>
          <w:tcPr>
            <w:tcW w:w="4140" w:type="dxa"/>
            <w:tcMar>
              <w:top w:w="113" w:type="dxa"/>
              <w:left w:w="113" w:type="dxa"/>
              <w:bottom w:w="113" w:type="dxa"/>
              <w:right w:w="113" w:type="dxa"/>
            </w:tcMar>
            <w:hideMark/>
          </w:tcPr>
          <w:p w14:paraId="1F2422FE" w14:textId="581EAD0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85F34AD" w14:textId="32B5B19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0.5919</w:t>
            </w:r>
          </w:p>
        </w:tc>
        <w:tc>
          <w:tcPr>
            <w:tcW w:w="2340" w:type="dxa"/>
            <w:tcMar>
              <w:top w:w="113" w:type="dxa"/>
              <w:left w:w="113" w:type="dxa"/>
              <w:bottom w:w="113" w:type="dxa"/>
              <w:right w:w="113" w:type="dxa"/>
            </w:tcMar>
            <w:hideMark/>
          </w:tcPr>
          <w:p w14:paraId="0774B8DA" w14:textId="6D48AE4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0.1726 – 1.0112</w:t>
            </w:r>
          </w:p>
        </w:tc>
        <w:tc>
          <w:tcPr>
            <w:tcW w:w="1309" w:type="dxa"/>
            <w:tcMar>
              <w:top w:w="113" w:type="dxa"/>
              <w:left w:w="113" w:type="dxa"/>
              <w:bottom w:w="113" w:type="dxa"/>
              <w:right w:w="113" w:type="dxa"/>
            </w:tcMar>
            <w:hideMark/>
          </w:tcPr>
          <w:p w14:paraId="23E43B2B" w14:textId="617BBF0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0.006</w:t>
            </w:r>
          </w:p>
        </w:tc>
      </w:tr>
      <w:tr w:rsidR="00EA542E" w:rsidRPr="00EA542E" w14:paraId="69C1284F" w14:textId="77777777" w:rsidTr="00643F3A">
        <w:tc>
          <w:tcPr>
            <w:tcW w:w="4140" w:type="dxa"/>
            <w:tcMar>
              <w:top w:w="113" w:type="dxa"/>
              <w:left w:w="113" w:type="dxa"/>
              <w:bottom w:w="113" w:type="dxa"/>
              <w:right w:w="113" w:type="dxa"/>
            </w:tcMar>
            <w:hideMark/>
          </w:tcPr>
          <w:p w14:paraId="7F35475B" w14:textId="69FE2579"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39FF7920" w14:textId="60A9E92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0.7346</w:t>
            </w:r>
          </w:p>
        </w:tc>
        <w:tc>
          <w:tcPr>
            <w:tcW w:w="2340" w:type="dxa"/>
            <w:tcMar>
              <w:top w:w="113" w:type="dxa"/>
              <w:left w:w="113" w:type="dxa"/>
              <w:bottom w:w="113" w:type="dxa"/>
              <w:right w:w="113" w:type="dxa"/>
            </w:tcMar>
            <w:hideMark/>
          </w:tcPr>
          <w:p w14:paraId="18D69F43" w14:textId="4AF741A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0.3066 – 1.1626</w:t>
            </w:r>
          </w:p>
        </w:tc>
        <w:tc>
          <w:tcPr>
            <w:tcW w:w="1309" w:type="dxa"/>
            <w:tcMar>
              <w:top w:w="113" w:type="dxa"/>
              <w:left w:w="113" w:type="dxa"/>
              <w:bottom w:w="113" w:type="dxa"/>
              <w:right w:w="113" w:type="dxa"/>
            </w:tcMar>
            <w:hideMark/>
          </w:tcPr>
          <w:p w14:paraId="7CA8909F" w14:textId="2BC99DF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EA542E" w:rsidRPr="00EA542E" w14:paraId="3241A49E" w14:textId="77777777" w:rsidTr="00643F3A">
        <w:tc>
          <w:tcPr>
            <w:tcW w:w="4140" w:type="dxa"/>
            <w:tcMar>
              <w:top w:w="113" w:type="dxa"/>
              <w:left w:w="113" w:type="dxa"/>
              <w:bottom w:w="113" w:type="dxa"/>
              <w:right w:w="113" w:type="dxa"/>
            </w:tcMar>
            <w:hideMark/>
          </w:tcPr>
          <w:p w14:paraId="323444FA" w14:textId="7C609F4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1A470257" w14:textId="4ACB876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0.6395</w:t>
            </w:r>
          </w:p>
        </w:tc>
        <w:tc>
          <w:tcPr>
            <w:tcW w:w="2340" w:type="dxa"/>
            <w:tcMar>
              <w:top w:w="113" w:type="dxa"/>
              <w:left w:w="113" w:type="dxa"/>
              <w:bottom w:w="113" w:type="dxa"/>
              <w:right w:w="113" w:type="dxa"/>
            </w:tcMar>
            <w:hideMark/>
          </w:tcPr>
          <w:p w14:paraId="31317D14" w14:textId="5DF8AAA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0.2720 – 1.0071</w:t>
            </w:r>
          </w:p>
        </w:tc>
        <w:tc>
          <w:tcPr>
            <w:tcW w:w="1309" w:type="dxa"/>
            <w:tcMar>
              <w:top w:w="113" w:type="dxa"/>
              <w:left w:w="113" w:type="dxa"/>
              <w:bottom w:w="113" w:type="dxa"/>
              <w:right w:w="113" w:type="dxa"/>
            </w:tcMar>
            <w:hideMark/>
          </w:tcPr>
          <w:p w14:paraId="529827F4" w14:textId="4270882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EA542E" w:rsidRPr="00EA542E" w14:paraId="032476FB" w14:textId="77777777" w:rsidTr="00643F3A">
        <w:tc>
          <w:tcPr>
            <w:tcW w:w="4140" w:type="dxa"/>
            <w:tcMar>
              <w:top w:w="113" w:type="dxa"/>
              <w:left w:w="113" w:type="dxa"/>
              <w:bottom w:w="113" w:type="dxa"/>
              <w:right w:w="113" w:type="dxa"/>
            </w:tcMar>
            <w:hideMark/>
          </w:tcPr>
          <w:p w14:paraId="1B55073C" w14:textId="7D0B27A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2803475D" w14:textId="6CB35FA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20D587F7" w14:textId="47AC55C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3ACDC5A7" w14:textId="4A6113C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0.094</w:t>
            </w:r>
          </w:p>
        </w:tc>
      </w:tr>
      <w:tr w:rsidR="00EA542E" w:rsidRPr="00EA542E" w14:paraId="156A930A" w14:textId="77777777" w:rsidTr="00643F3A">
        <w:tc>
          <w:tcPr>
            <w:tcW w:w="4140" w:type="dxa"/>
            <w:tcMar>
              <w:top w:w="113" w:type="dxa"/>
              <w:left w:w="113" w:type="dxa"/>
              <w:bottom w:w="113" w:type="dxa"/>
              <w:right w:w="113" w:type="dxa"/>
            </w:tcMar>
            <w:hideMark/>
          </w:tcPr>
          <w:p w14:paraId="28F53076" w14:textId="50D6DCA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6150D7F7" w14:textId="1B54100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0.0833</w:t>
            </w:r>
          </w:p>
        </w:tc>
        <w:tc>
          <w:tcPr>
            <w:tcW w:w="2340" w:type="dxa"/>
            <w:tcMar>
              <w:top w:w="113" w:type="dxa"/>
              <w:left w:w="113" w:type="dxa"/>
              <w:bottom w:w="113" w:type="dxa"/>
              <w:right w:w="113" w:type="dxa"/>
            </w:tcMar>
            <w:hideMark/>
          </w:tcPr>
          <w:p w14:paraId="7579F8F1" w14:textId="5E8AB7B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0.0071 – 0.1596</w:t>
            </w:r>
          </w:p>
        </w:tc>
        <w:tc>
          <w:tcPr>
            <w:tcW w:w="1309" w:type="dxa"/>
            <w:tcMar>
              <w:top w:w="113" w:type="dxa"/>
              <w:left w:w="113" w:type="dxa"/>
              <w:bottom w:w="113" w:type="dxa"/>
              <w:right w:w="113" w:type="dxa"/>
            </w:tcMar>
            <w:hideMark/>
          </w:tcPr>
          <w:p w14:paraId="63502A10" w14:textId="16A09D0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0.033</w:t>
            </w:r>
          </w:p>
        </w:tc>
      </w:tr>
      <w:tr w:rsidR="00EA542E" w:rsidRPr="00EA542E" w14:paraId="0B5B42E8" w14:textId="77777777" w:rsidTr="00643F3A">
        <w:tc>
          <w:tcPr>
            <w:tcW w:w="4140" w:type="dxa"/>
            <w:tcMar>
              <w:top w:w="113" w:type="dxa"/>
              <w:left w:w="113" w:type="dxa"/>
              <w:bottom w:w="113" w:type="dxa"/>
              <w:right w:w="113" w:type="dxa"/>
            </w:tcMar>
            <w:hideMark/>
          </w:tcPr>
          <w:p w14:paraId="34979756" w14:textId="08CD8AF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36959AA1" w14:textId="5650B2E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-0.2505</w:t>
            </w:r>
          </w:p>
        </w:tc>
        <w:tc>
          <w:tcPr>
            <w:tcW w:w="2340" w:type="dxa"/>
            <w:tcMar>
              <w:top w:w="113" w:type="dxa"/>
              <w:left w:w="113" w:type="dxa"/>
              <w:bottom w:w="113" w:type="dxa"/>
              <w:right w:w="113" w:type="dxa"/>
            </w:tcMar>
            <w:hideMark/>
          </w:tcPr>
          <w:p w14:paraId="2459EAE8" w14:textId="1ECC0E7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-0.5165 – 0.0155</w:t>
            </w:r>
          </w:p>
        </w:tc>
        <w:tc>
          <w:tcPr>
            <w:tcW w:w="1309" w:type="dxa"/>
            <w:tcMar>
              <w:top w:w="113" w:type="dxa"/>
              <w:left w:w="113" w:type="dxa"/>
              <w:bottom w:w="113" w:type="dxa"/>
              <w:right w:w="113" w:type="dxa"/>
            </w:tcMar>
            <w:hideMark/>
          </w:tcPr>
          <w:p w14:paraId="289586A5" w14:textId="2CA1646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0.066</w:t>
            </w:r>
          </w:p>
        </w:tc>
      </w:tr>
      <w:tr w:rsidR="00EA542E" w:rsidRPr="00EA542E" w14:paraId="2114A6C2" w14:textId="77777777" w:rsidTr="00643F3A">
        <w:tc>
          <w:tcPr>
            <w:tcW w:w="4140" w:type="dxa"/>
            <w:tcMar>
              <w:top w:w="113" w:type="dxa"/>
              <w:left w:w="113" w:type="dxa"/>
              <w:bottom w:w="113" w:type="dxa"/>
              <w:right w:w="113" w:type="dxa"/>
            </w:tcMar>
            <w:hideMark/>
          </w:tcPr>
          <w:p w14:paraId="47228563" w14:textId="03C8BC1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12640F45" w14:textId="13F0176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23AA778D" w14:textId="1979312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5DB91983" w14:textId="5FEECCF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0.352</w:t>
            </w:r>
          </w:p>
        </w:tc>
      </w:tr>
      <w:tr w:rsidR="00EA542E" w:rsidRPr="00EA542E" w14:paraId="774454F5" w14:textId="77777777" w:rsidTr="00643F3A">
        <w:tc>
          <w:tcPr>
            <w:tcW w:w="4140" w:type="dxa"/>
            <w:tcMar>
              <w:top w:w="113" w:type="dxa"/>
              <w:left w:w="113" w:type="dxa"/>
              <w:bottom w:w="113" w:type="dxa"/>
              <w:right w:w="113" w:type="dxa"/>
            </w:tcMar>
            <w:hideMark/>
          </w:tcPr>
          <w:p w14:paraId="304E3718" w14:textId="643E693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43A46CA9" w14:textId="11708E9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15E95A2D" w14:textId="0FD6B46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34352E77" w14:textId="6A50991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0.795</w:t>
            </w:r>
          </w:p>
        </w:tc>
      </w:tr>
      <w:tr w:rsidR="00EA542E" w:rsidRPr="00EA542E" w14:paraId="7B8CDE0F" w14:textId="77777777" w:rsidTr="00643F3A">
        <w:tc>
          <w:tcPr>
            <w:tcW w:w="4140" w:type="dxa"/>
            <w:tcMar>
              <w:top w:w="113" w:type="dxa"/>
              <w:left w:w="113" w:type="dxa"/>
              <w:bottom w:w="113" w:type="dxa"/>
              <w:right w:w="113" w:type="dxa"/>
            </w:tcMar>
            <w:hideMark/>
          </w:tcPr>
          <w:p w14:paraId="137C3105" w14:textId="3A69B3D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1E714397" w14:textId="167AE1D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-0.0336</w:t>
            </w:r>
          </w:p>
        </w:tc>
        <w:tc>
          <w:tcPr>
            <w:tcW w:w="2340" w:type="dxa"/>
            <w:tcMar>
              <w:top w:w="113" w:type="dxa"/>
              <w:left w:w="113" w:type="dxa"/>
              <w:bottom w:w="113" w:type="dxa"/>
              <w:right w:w="113" w:type="dxa"/>
            </w:tcMar>
            <w:hideMark/>
          </w:tcPr>
          <w:p w14:paraId="7A3AC939" w14:textId="60CC065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-0.0609 – -0.0064</w:t>
            </w:r>
          </w:p>
        </w:tc>
        <w:tc>
          <w:tcPr>
            <w:tcW w:w="1309" w:type="dxa"/>
            <w:tcMar>
              <w:top w:w="113" w:type="dxa"/>
              <w:left w:w="113" w:type="dxa"/>
              <w:bottom w:w="113" w:type="dxa"/>
              <w:right w:w="113" w:type="dxa"/>
            </w:tcMar>
            <w:hideMark/>
          </w:tcPr>
          <w:p w14:paraId="3C4699F3" w14:textId="161E7EF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0.016</w:t>
            </w:r>
          </w:p>
        </w:tc>
      </w:tr>
      <w:tr w:rsidR="00EA542E" w:rsidRPr="00EA542E" w14:paraId="08F43DAF" w14:textId="77777777" w:rsidTr="00643F3A">
        <w:tc>
          <w:tcPr>
            <w:tcW w:w="4140" w:type="dxa"/>
            <w:tcMar>
              <w:top w:w="113" w:type="dxa"/>
              <w:left w:w="113" w:type="dxa"/>
              <w:bottom w:w="113" w:type="dxa"/>
              <w:right w:w="113" w:type="dxa"/>
            </w:tcMar>
            <w:hideMark/>
          </w:tcPr>
          <w:p w14:paraId="662FDD08" w14:textId="46666EB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553F7836" w14:textId="6794C72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0.0528</w:t>
            </w:r>
          </w:p>
        </w:tc>
        <w:tc>
          <w:tcPr>
            <w:tcW w:w="2340" w:type="dxa"/>
            <w:tcMar>
              <w:top w:w="113" w:type="dxa"/>
              <w:left w:w="113" w:type="dxa"/>
              <w:bottom w:w="113" w:type="dxa"/>
              <w:right w:w="113" w:type="dxa"/>
            </w:tcMar>
            <w:hideMark/>
          </w:tcPr>
          <w:p w14:paraId="7EF39691" w14:textId="6031EB8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0.0282 – 0.0774</w:t>
            </w:r>
          </w:p>
        </w:tc>
        <w:tc>
          <w:tcPr>
            <w:tcW w:w="1309" w:type="dxa"/>
            <w:tcMar>
              <w:top w:w="113" w:type="dxa"/>
              <w:left w:w="113" w:type="dxa"/>
              <w:bottom w:w="113" w:type="dxa"/>
              <w:right w:w="113" w:type="dxa"/>
            </w:tcMar>
            <w:hideMark/>
          </w:tcPr>
          <w:p w14:paraId="61E4288B" w14:textId="0BCECA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7AF30773" w14:textId="77777777" w:rsidTr="00643F3A">
        <w:tc>
          <w:tcPr>
            <w:tcW w:w="4140" w:type="dxa"/>
            <w:tcMar>
              <w:top w:w="113" w:type="dxa"/>
              <w:left w:w="113" w:type="dxa"/>
              <w:bottom w:w="113" w:type="dxa"/>
              <w:right w:w="113" w:type="dxa"/>
            </w:tcMar>
            <w:hideMark/>
          </w:tcPr>
          <w:p w14:paraId="1CEF063E" w14:textId="0E1BF9E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18CF3DAF" w14:textId="7AED896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0.0363</w:t>
            </w:r>
          </w:p>
        </w:tc>
        <w:tc>
          <w:tcPr>
            <w:tcW w:w="2340" w:type="dxa"/>
            <w:tcMar>
              <w:top w:w="113" w:type="dxa"/>
              <w:left w:w="113" w:type="dxa"/>
              <w:bottom w:w="113" w:type="dxa"/>
              <w:right w:w="113" w:type="dxa"/>
            </w:tcMar>
            <w:hideMark/>
          </w:tcPr>
          <w:p w14:paraId="617E2F26" w14:textId="4A869C3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0.0095 – 0.0631</w:t>
            </w:r>
          </w:p>
        </w:tc>
        <w:tc>
          <w:tcPr>
            <w:tcW w:w="1309" w:type="dxa"/>
            <w:tcMar>
              <w:top w:w="113" w:type="dxa"/>
              <w:left w:w="113" w:type="dxa"/>
              <w:bottom w:w="113" w:type="dxa"/>
              <w:right w:w="113" w:type="dxa"/>
            </w:tcMar>
            <w:hideMark/>
          </w:tcPr>
          <w:p w14:paraId="40E3B712" w14:textId="07A48B9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0.008</w:t>
            </w:r>
          </w:p>
        </w:tc>
      </w:tr>
      <w:tr w:rsidR="00266752" w:rsidRPr="00EA542E" w14:paraId="3EF25892" w14:textId="77777777" w:rsidTr="00643F3A">
        <w:tc>
          <w:tcPr>
            <w:tcW w:w="4140" w:type="dxa"/>
            <w:tcBorders>
              <w:top w:val="single" w:sz="6" w:space="0" w:color="auto"/>
            </w:tcBorders>
            <w:tcMar>
              <w:top w:w="57" w:type="dxa"/>
              <w:left w:w="113" w:type="dxa"/>
              <w:bottom w:w="57" w:type="dxa"/>
              <w:right w:w="113" w:type="dxa"/>
            </w:tcMar>
            <w:hideMark/>
          </w:tcPr>
          <w:p w14:paraId="5871C5C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1FBD5F00"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46A8283E" w14:textId="77777777" w:rsidTr="00643F3A">
        <w:tc>
          <w:tcPr>
            <w:tcW w:w="4140" w:type="dxa"/>
            <w:tcMar>
              <w:top w:w="57" w:type="dxa"/>
              <w:left w:w="113" w:type="dxa"/>
              <w:bottom w:w="57" w:type="dxa"/>
              <w:right w:w="113" w:type="dxa"/>
            </w:tcMar>
            <w:hideMark/>
          </w:tcPr>
          <w:p w14:paraId="723C9D25"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1A6598EB" w14:textId="66E0FEDC"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w:t>
            </w:r>
            <w:r w:rsidR="009F53A7" w:rsidRPr="00EA542E">
              <w:rPr>
                <w:rFonts w:ascii="Times New Roman" w:eastAsia="Times New Roman" w:hAnsi="Times New Roman" w:cs="Times New Roman"/>
                <w:lang w:eastAsia="de-DE"/>
              </w:rPr>
              <w:t>403</w:t>
            </w:r>
          </w:p>
        </w:tc>
      </w:tr>
    </w:tbl>
    <w:p w14:paraId="2ACF1EB3" w14:textId="77777777" w:rsidR="00266752" w:rsidRPr="005076A2" w:rsidRDefault="00266752" w:rsidP="005076A2">
      <w:pPr>
        <w:rPr>
          <w:rFonts w:ascii="Times New Roman" w:hAnsi="Times New Roman" w:cs="Times New Roman"/>
          <w:b/>
          <w:sz w:val="24"/>
          <w:szCs w:val="24"/>
        </w:rPr>
      </w:pPr>
    </w:p>
    <w:p w14:paraId="3246E662"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1CDB7E2C" w14:textId="3C1CA731" w:rsidR="005076A2" w:rsidRP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rPr>
        <w:lastRenderedPageBreak/>
        <w:t>6n.  Sodium.</w:t>
      </w:r>
    </w:p>
    <w:tbl>
      <w:tblPr>
        <w:tblW w:w="0" w:type="auto"/>
        <w:tblCellMar>
          <w:top w:w="15" w:type="dxa"/>
          <w:left w:w="15" w:type="dxa"/>
          <w:bottom w:w="15" w:type="dxa"/>
          <w:right w:w="15" w:type="dxa"/>
        </w:tblCellMar>
        <w:tblLook w:val="04A0" w:firstRow="1" w:lastRow="0" w:firstColumn="1" w:lastColumn="0" w:noHBand="0" w:noVBand="1"/>
      </w:tblPr>
      <w:tblGrid>
        <w:gridCol w:w="4173"/>
        <w:gridCol w:w="1607"/>
        <w:gridCol w:w="2230"/>
        <w:gridCol w:w="1039"/>
      </w:tblGrid>
      <w:tr w:rsidR="00266752" w:rsidRPr="00EA542E" w14:paraId="474E3C50" w14:textId="77777777" w:rsidTr="00643F3A">
        <w:tc>
          <w:tcPr>
            <w:tcW w:w="4173" w:type="dxa"/>
            <w:tcBorders>
              <w:top w:val="double" w:sz="6" w:space="0" w:color="auto"/>
            </w:tcBorders>
            <w:tcMar>
              <w:top w:w="113" w:type="dxa"/>
              <w:left w:w="113" w:type="dxa"/>
              <w:bottom w:w="113" w:type="dxa"/>
              <w:right w:w="113" w:type="dxa"/>
            </w:tcMar>
            <w:vAlign w:val="center"/>
            <w:hideMark/>
          </w:tcPr>
          <w:p w14:paraId="03D6F19A"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876" w:type="dxa"/>
            <w:gridSpan w:val="3"/>
            <w:tcBorders>
              <w:top w:val="double" w:sz="6" w:space="0" w:color="auto"/>
            </w:tcBorders>
            <w:tcMar>
              <w:top w:w="113" w:type="dxa"/>
              <w:left w:w="113" w:type="dxa"/>
              <w:bottom w:w="113" w:type="dxa"/>
              <w:right w:w="113" w:type="dxa"/>
            </w:tcMar>
            <w:vAlign w:val="center"/>
            <w:hideMark/>
          </w:tcPr>
          <w:p w14:paraId="67FF46DB" w14:textId="1CF28490"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Sodium</w:t>
            </w:r>
          </w:p>
        </w:tc>
      </w:tr>
      <w:tr w:rsidR="00266752" w:rsidRPr="00EA542E" w14:paraId="2ECA2AE9" w14:textId="77777777" w:rsidTr="00643F3A">
        <w:tc>
          <w:tcPr>
            <w:tcW w:w="4173" w:type="dxa"/>
            <w:tcBorders>
              <w:bottom w:val="single" w:sz="6" w:space="0" w:color="auto"/>
            </w:tcBorders>
            <w:vAlign w:val="center"/>
            <w:hideMark/>
          </w:tcPr>
          <w:p w14:paraId="1F6CB377"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607" w:type="dxa"/>
            <w:tcBorders>
              <w:bottom w:val="single" w:sz="6" w:space="0" w:color="auto"/>
            </w:tcBorders>
            <w:vAlign w:val="center"/>
            <w:hideMark/>
          </w:tcPr>
          <w:p w14:paraId="282D8D03"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230" w:type="dxa"/>
            <w:tcBorders>
              <w:bottom w:val="single" w:sz="6" w:space="0" w:color="auto"/>
            </w:tcBorders>
            <w:vAlign w:val="center"/>
            <w:hideMark/>
          </w:tcPr>
          <w:p w14:paraId="76876914"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039" w:type="dxa"/>
            <w:tcBorders>
              <w:bottom w:val="single" w:sz="6" w:space="0" w:color="auto"/>
            </w:tcBorders>
            <w:vAlign w:val="center"/>
            <w:hideMark/>
          </w:tcPr>
          <w:p w14:paraId="43D71EEC"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6035CF70" w14:textId="77777777" w:rsidTr="00643F3A">
        <w:tc>
          <w:tcPr>
            <w:tcW w:w="4173" w:type="dxa"/>
            <w:tcMar>
              <w:top w:w="113" w:type="dxa"/>
              <w:left w:w="113" w:type="dxa"/>
              <w:bottom w:w="113" w:type="dxa"/>
              <w:right w:w="113" w:type="dxa"/>
            </w:tcMar>
            <w:hideMark/>
          </w:tcPr>
          <w:p w14:paraId="1CDD0B0F" w14:textId="0BC403FC"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607" w:type="dxa"/>
            <w:tcMar>
              <w:top w:w="113" w:type="dxa"/>
              <w:left w:w="113" w:type="dxa"/>
              <w:bottom w:w="113" w:type="dxa"/>
              <w:right w:w="113" w:type="dxa"/>
            </w:tcMar>
            <w:hideMark/>
          </w:tcPr>
          <w:p w14:paraId="66FDECD4" w14:textId="7197DFA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0.53937</w:t>
            </w:r>
          </w:p>
        </w:tc>
        <w:tc>
          <w:tcPr>
            <w:tcW w:w="2230" w:type="dxa"/>
            <w:tcMar>
              <w:top w:w="113" w:type="dxa"/>
              <w:left w:w="113" w:type="dxa"/>
              <w:bottom w:w="113" w:type="dxa"/>
              <w:right w:w="113" w:type="dxa"/>
            </w:tcMar>
            <w:hideMark/>
          </w:tcPr>
          <w:p w14:paraId="36736B91" w14:textId="4E81393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0.04680 – 1.03194</w:t>
            </w:r>
          </w:p>
        </w:tc>
        <w:tc>
          <w:tcPr>
            <w:tcW w:w="1039" w:type="dxa"/>
            <w:tcMar>
              <w:top w:w="113" w:type="dxa"/>
              <w:left w:w="113" w:type="dxa"/>
              <w:bottom w:w="113" w:type="dxa"/>
              <w:right w:w="113" w:type="dxa"/>
            </w:tcMar>
            <w:hideMark/>
          </w:tcPr>
          <w:p w14:paraId="04F25865" w14:textId="30BFBC3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0.033</w:t>
            </w:r>
          </w:p>
        </w:tc>
      </w:tr>
      <w:tr w:rsidR="00EA542E" w:rsidRPr="00EA542E" w14:paraId="4D97D839" w14:textId="77777777" w:rsidTr="00643F3A">
        <w:tc>
          <w:tcPr>
            <w:tcW w:w="4173" w:type="dxa"/>
            <w:tcMar>
              <w:top w:w="113" w:type="dxa"/>
              <w:left w:w="113" w:type="dxa"/>
              <w:bottom w:w="113" w:type="dxa"/>
              <w:right w:w="113" w:type="dxa"/>
            </w:tcMar>
            <w:hideMark/>
          </w:tcPr>
          <w:p w14:paraId="0B63F719" w14:textId="0D2B0D6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607" w:type="dxa"/>
            <w:tcMar>
              <w:top w:w="113" w:type="dxa"/>
              <w:left w:w="113" w:type="dxa"/>
              <w:bottom w:w="113" w:type="dxa"/>
              <w:right w:w="113" w:type="dxa"/>
            </w:tcMar>
            <w:hideMark/>
          </w:tcPr>
          <w:p w14:paraId="150B33C8" w14:textId="4030F3A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-0.00327</w:t>
            </w:r>
          </w:p>
        </w:tc>
        <w:tc>
          <w:tcPr>
            <w:tcW w:w="2230" w:type="dxa"/>
            <w:tcMar>
              <w:top w:w="113" w:type="dxa"/>
              <w:left w:w="113" w:type="dxa"/>
              <w:bottom w:w="113" w:type="dxa"/>
              <w:right w:w="113" w:type="dxa"/>
            </w:tcMar>
            <w:hideMark/>
          </w:tcPr>
          <w:p w14:paraId="69CE2DE3" w14:textId="677822C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-0.01642 – 0.00988</w:t>
            </w:r>
          </w:p>
        </w:tc>
        <w:tc>
          <w:tcPr>
            <w:tcW w:w="1039" w:type="dxa"/>
            <w:tcMar>
              <w:top w:w="113" w:type="dxa"/>
              <w:left w:w="113" w:type="dxa"/>
              <w:bottom w:w="113" w:type="dxa"/>
              <w:right w:w="113" w:type="dxa"/>
            </w:tcMar>
            <w:hideMark/>
          </w:tcPr>
          <w:p w14:paraId="25C33A14" w14:textId="1C982BB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0.626</w:t>
            </w:r>
          </w:p>
        </w:tc>
      </w:tr>
      <w:tr w:rsidR="00EA542E" w:rsidRPr="00EA542E" w14:paraId="26589494" w14:textId="77777777" w:rsidTr="00643F3A">
        <w:tc>
          <w:tcPr>
            <w:tcW w:w="4173" w:type="dxa"/>
            <w:tcMar>
              <w:top w:w="113" w:type="dxa"/>
              <w:left w:w="113" w:type="dxa"/>
              <w:bottom w:w="113" w:type="dxa"/>
              <w:right w:w="113" w:type="dxa"/>
            </w:tcMar>
            <w:hideMark/>
          </w:tcPr>
          <w:p w14:paraId="554EDD12" w14:textId="0440043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607" w:type="dxa"/>
            <w:tcMar>
              <w:top w:w="113" w:type="dxa"/>
              <w:left w:w="113" w:type="dxa"/>
              <w:bottom w:w="113" w:type="dxa"/>
              <w:right w:w="113" w:type="dxa"/>
            </w:tcMar>
            <w:hideMark/>
          </w:tcPr>
          <w:p w14:paraId="4D83D7A0" w14:textId="7496AD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-0.48985</w:t>
            </w:r>
          </w:p>
        </w:tc>
        <w:tc>
          <w:tcPr>
            <w:tcW w:w="2230" w:type="dxa"/>
            <w:tcMar>
              <w:top w:w="113" w:type="dxa"/>
              <w:left w:w="113" w:type="dxa"/>
              <w:bottom w:w="113" w:type="dxa"/>
              <w:right w:w="113" w:type="dxa"/>
            </w:tcMar>
            <w:hideMark/>
          </w:tcPr>
          <w:p w14:paraId="55F3F808" w14:textId="39B06EB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-0.98736 – 0.00765</w:t>
            </w:r>
          </w:p>
        </w:tc>
        <w:tc>
          <w:tcPr>
            <w:tcW w:w="1039" w:type="dxa"/>
            <w:tcMar>
              <w:top w:w="113" w:type="dxa"/>
              <w:left w:w="113" w:type="dxa"/>
              <w:bottom w:w="113" w:type="dxa"/>
              <w:right w:w="113" w:type="dxa"/>
            </w:tcMar>
            <w:hideMark/>
          </w:tcPr>
          <w:p w14:paraId="0B7F1BC2" w14:textId="3B2A2BA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0.055</w:t>
            </w:r>
          </w:p>
        </w:tc>
      </w:tr>
      <w:tr w:rsidR="00EA542E" w:rsidRPr="00EA542E" w14:paraId="3299BC84" w14:textId="77777777" w:rsidTr="00643F3A">
        <w:tc>
          <w:tcPr>
            <w:tcW w:w="4173" w:type="dxa"/>
            <w:tcMar>
              <w:top w:w="113" w:type="dxa"/>
              <w:left w:w="113" w:type="dxa"/>
              <w:bottom w:w="113" w:type="dxa"/>
              <w:right w:w="113" w:type="dxa"/>
            </w:tcMar>
            <w:hideMark/>
          </w:tcPr>
          <w:p w14:paraId="2F48C6F6" w14:textId="5D15BB0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607" w:type="dxa"/>
            <w:tcMar>
              <w:top w:w="113" w:type="dxa"/>
              <w:left w:w="113" w:type="dxa"/>
              <w:bottom w:w="113" w:type="dxa"/>
              <w:right w:w="113" w:type="dxa"/>
            </w:tcMar>
            <w:hideMark/>
          </w:tcPr>
          <w:p w14:paraId="16059300" w14:textId="5D7D132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-0.34998</w:t>
            </w:r>
          </w:p>
        </w:tc>
        <w:tc>
          <w:tcPr>
            <w:tcW w:w="2230" w:type="dxa"/>
            <w:tcMar>
              <w:top w:w="113" w:type="dxa"/>
              <w:left w:w="113" w:type="dxa"/>
              <w:bottom w:w="113" w:type="dxa"/>
              <w:right w:w="113" w:type="dxa"/>
            </w:tcMar>
            <w:hideMark/>
          </w:tcPr>
          <w:p w14:paraId="6EE53359" w14:textId="4A3B89B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-0.84308 – 0.14312</w:t>
            </w:r>
          </w:p>
        </w:tc>
        <w:tc>
          <w:tcPr>
            <w:tcW w:w="1039" w:type="dxa"/>
            <w:tcMar>
              <w:top w:w="113" w:type="dxa"/>
              <w:left w:w="113" w:type="dxa"/>
              <w:bottom w:w="113" w:type="dxa"/>
              <w:right w:w="113" w:type="dxa"/>
            </w:tcMar>
            <w:hideMark/>
          </w:tcPr>
          <w:p w14:paraId="69EFE10E" w14:textId="65FC863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0.165</w:t>
            </w:r>
          </w:p>
        </w:tc>
      </w:tr>
      <w:tr w:rsidR="00EA542E" w:rsidRPr="00EA542E" w14:paraId="5607C7B2" w14:textId="77777777" w:rsidTr="00643F3A">
        <w:tc>
          <w:tcPr>
            <w:tcW w:w="4173" w:type="dxa"/>
            <w:tcMar>
              <w:top w:w="113" w:type="dxa"/>
              <w:left w:w="113" w:type="dxa"/>
              <w:bottom w:w="113" w:type="dxa"/>
              <w:right w:w="113" w:type="dxa"/>
            </w:tcMar>
            <w:hideMark/>
          </w:tcPr>
          <w:p w14:paraId="4EE1D30B" w14:textId="6B67FE4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607" w:type="dxa"/>
            <w:tcMar>
              <w:top w:w="113" w:type="dxa"/>
              <w:left w:w="113" w:type="dxa"/>
              <w:bottom w:w="113" w:type="dxa"/>
              <w:right w:w="113" w:type="dxa"/>
            </w:tcMar>
            <w:hideMark/>
          </w:tcPr>
          <w:p w14:paraId="486A2496" w14:textId="251601C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-0.22688</w:t>
            </w:r>
          </w:p>
        </w:tc>
        <w:tc>
          <w:tcPr>
            <w:tcW w:w="2230" w:type="dxa"/>
            <w:tcMar>
              <w:top w:w="113" w:type="dxa"/>
              <w:left w:w="113" w:type="dxa"/>
              <w:bottom w:w="113" w:type="dxa"/>
              <w:right w:w="113" w:type="dxa"/>
            </w:tcMar>
            <w:hideMark/>
          </w:tcPr>
          <w:p w14:paraId="2B0A754C" w14:textId="42CBDF6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-0.79523 – 0.34147</w:t>
            </w:r>
          </w:p>
        </w:tc>
        <w:tc>
          <w:tcPr>
            <w:tcW w:w="1039" w:type="dxa"/>
            <w:tcMar>
              <w:top w:w="113" w:type="dxa"/>
              <w:left w:w="113" w:type="dxa"/>
              <w:bottom w:w="113" w:type="dxa"/>
              <w:right w:w="113" w:type="dxa"/>
            </w:tcMar>
            <w:hideMark/>
          </w:tcPr>
          <w:p w14:paraId="4B42A02D" w14:textId="2A67F12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0.435</w:t>
            </w:r>
          </w:p>
        </w:tc>
      </w:tr>
      <w:tr w:rsidR="00EA542E" w:rsidRPr="00EA542E" w14:paraId="1914D314" w14:textId="77777777" w:rsidTr="00643F3A">
        <w:tc>
          <w:tcPr>
            <w:tcW w:w="4173" w:type="dxa"/>
            <w:tcMar>
              <w:top w:w="113" w:type="dxa"/>
              <w:left w:w="113" w:type="dxa"/>
              <w:bottom w:w="113" w:type="dxa"/>
              <w:right w:w="113" w:type="dxa"/>
            </w:tcMar>
            <w:hideMark/>
          </w:tcPr>
          <w:p w14:paraId="0384E058" w14:textId="09477DB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607" w:type="dxa"/>
            <w:tcMar>
              <w:top w:w="113" w:type="dxa"/>
              <w:left w:w="113" w:type="dxa"/>
              <w:bottom w:w="113" w:type="dxa"/>
              <w:right w:w="113" w:type="dxa"/>
            </w:tcMar>
            <w:hideMark/>
          </w:tcPr>
          <w:p w14:paraId="1B9F39EE" w14:textId="6DE3DC7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-0.48456</w:t>
            </w:r>
          </w:p>
        </w:tc>
        <w:tc>
          <w:tcPr>
            <w:tcW w:w="2230" w:type="dxa"/>
            <w:tcMar>
              <w:top w:w="113" w:type="dxa"/>
              <w:left w:w="113" w:type="dxa"/>
              <w:bottom w:w="113" w:type="dxa"/>
              <w:right w:w="113" w:type="dxa"/>
            </w:tcMar>
            <w:hideMark/>
          </w:tcPr>
          <w:p w14:paraId="467E2E83" w14:textId="165DA44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-1.06320 – 0.09409</w:t>
            </w:r>
          </w:p>
        </w:tc>
        <w:tc>
          <w:tcPr>
            <w:tcW w:w="1039" w:type="dxa"/>
            <w:tcMar>
              <w:top w:w="113" w:type="dxa"/>
              <w:left w:w="113" w:type="dxa"/>
              <w:bottom w:w="113" w:type="dxa"/>
              <w:right w:w="113" w:type="dxa"/>
            </w:tcMar>
            <w:hideMark/>
          </w:tcPr>
          <w:p w14:paraId="71CB2344" w14:textId="7B79752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0.102</w:t>
            </w:r>
          </w:p>
        </w:tc>
      </w:tr>
      <w:tr w:rsidR="00EA542E" w:rsidRPr="00EA542E" w14:paraId="5F49362A" w14:textId="77777777" w:rsidTr="00643F3A">
        <w:tc>
          <w:tcPr>
            <w:tcW w:w="4173" w:type="dxa"/>
            <w:tcMar>
              <w:top w:w="113" w:type="dxa"/>
              <w:left w:w="113" w:type="dxa"/>
              <w:bottom w:w="113" w:type="dxa"/>
              <w:right w:w="113" w:type="dxa"/>
            </w:tcMar>
            <w:hideMark/>
          </w:tcPr>
          <w:p w14:paraId="4EF264FB" w14:textId="6D27ACD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607" w:type="dxa"/>
            <w:tcMar>
              <w:top w:w="113" w:type="dxa"/>
              <w:left w:w="113" w:type="dxa"/>
              <w:bottom w:w="113" w:type="dxa"/>
              <w:right w:w="113" w:type="dxa"/>
            </w:tcMar>
            <w:hideMark/>
          </w:tcPr>
          <w:p w14:paraId="4418CC4C" w14:textId="3CAC3B3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-0.50048</w:t>
            </w:r>
          </w:p>
        </w:tc>
        <w:tc>
          <w:tcPr>
            <w:tcW w:w="2230" w:type="dxa"/>
            <w:tcMar>
              <w:top w:w="113" w:type="dxa"/>
              <w:left w:w="113" w:type="dxa"/>
              <w:bottom w:w="113" w:type="dxa"/>
              <w:right w:w="113" w:type="dxa"/>
            </w:tcMar>
            <w:hideMark/>
          </w:tcPr>
          <w:p w14:paraId="066254A8" w14:textId="788C802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-0.99745 – -0.00351</w:t>
            </w:r>
          </w:p>
        </w:tc>
        <w:tc>
          <w:tcPr>
            <w:tcW w:w="1039" w:type="dxa"/>
            <w:tcMar>
              <w:top w:w="113" w:type="dxa"/>
              <w:left w:w="113" w:type="dxa"/>
              <w:bottom w:w="113" w:type="dxa"/>
              <w:right w:w="113" w:type="dxa"/>
            </w:tcMar>
            <w:hideMark/>
          </w:tcPr>
          <w:p w14:paraId="05566ABB" w14:textId="35CA324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0.050</w:t>
            </w:r>
          </w:p>
        </w:tc>
      </w:tr>
      <w:tr w:rsidR="00EA542E" w:rsidRPr="00EA542E" w14:paraId="1A368581" w14:textId="77777777" w:rsidTr="00643F3A">
        <w:tc>
          <w:tcPr>
            <w:tcW w:w="4173" w:type="dxa"/>
            <w:tcMar>
              <w:top w:w="113" w:type="dxa"/>
              <w:left w:w="113" w:type="dxa"/>
              <w:bottom w:w="113" w:type="dxa"/>
              <w:right w:w="113" w:type="dxa"/>
            </w:tcMar>
            <w:hideMark/>
          </w:tcPr>
          <w:p w14:paraId="16AFC5DF" w14:textId="0A729B8C"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607" w:type="dxa"/>
            <w:tcMar>
              <w:top w:w="113" w:type="dxa"/>
              <w:left w:w="113" w:type="dxa"/>
              <w:bottom w:w="113" w:type="dxa"/>
              <w:right w:w="113" w:type="dxa"/>
            </w:tcMar>
            <w:hideMark/>
          </w:tcPr>
          <w:p w14:paraId="7046C2F7" w14:textId="3F82280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0.00001</w:t>
            </w:r>
          </w:p>
        </w:tc>
        <w:tc>
          <w:tcPr>
            <w:tcW w:w="2230" w:type="dxa"/>
            <w:tcMar>
              <w:top w:w="113" w:type="dxa"/>
              <w:left w:w="113" w:type="dxa"/>
              <w:bottom w:w="113" w:type="dxa"/>
              <w:right w:w="113" w:type="dxa"/>
            </w:tcMar>
            <w:hideMark/>
          </w:tcPr>
          <w:p w14:paraId="65B27E75" w14:textId="6D111AA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-0.00002 – 0.00004</w:t>
            </w:r>
          </w:p>
        </w:tc>
        <w:tc>
          <w:tcPr>
            <w:tcW w:w="1039" w:type="dxa"/>
            <w:tcMar>
              <w:top w:w="113" w:type="dxa"/>
              <w:left w:w="113" w:type="dxa"/>
              <w:bottom w:w="113" w:type="dxa"/>
              <w:right w:w="113" w:type="dxa"/>
            </w:tcMar>
            <w:hideMark/>
          </w:tcPr>
          <w:p w14:paraId="0BAA2ABF" w14:textId="55E0D8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0.649</w:t>
            </w:r>
          </w:p>
        </w:tc>
      </w:tr>
      <w:tr w:rsidR="00EA542E" w:rsidRPr="00EA542E" w14:paraId="08887DC9" w14:textId="77777777" w:rsidTr="00643F3A">
        <w:tc>
          <w:tcPr>
            <w:tcW w:w="4173" w:type="dxa"/>
            <w:tcMar>
              <w:top w:w="113" w:type="dxa"/>
              <w:left w:w="113" w:type="dxa"/>
              <w:bottom w:w="113" w:type="dxa"/>
              <w:right w:w="113" w:type="dxa"/>
            </w:tcMar>
            <w:hideMark/>
          </w:tcPr>
          <w:p w14:paraId="38AC6E78" w14:textId="0505573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607" w:type="dxa"/>
            <w:tcMar>
              <w:top w:w="113" w:type="dxa"/>
              <w:left w:w="113" w:type="dxa"/>
              <w:bottom w:w="113" w:type="dxa"/>
              <w:right w:w="113" w:type="dxa"/>
            </w:tcMar>
            <w:hideMark/>
          </w:tcPr>
          <w:p w14:paraId="4A16CBCF" w14:textId="146A017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-0.03326</w:t>
            </w:r>
          </w:p>
        </w:tc>
        <w:tc>
          <w:tcPr>
            <w:tcW w:w="2230" w:type="dxa"/>
            <w:tcMar>
              <w:top w:w="113" w:type="dxa"/>
              <w:left w:w="113" w:type="dxa"/>
              <w:bottom w:w="113" w:type="dxa"/>
              <w:right w:w="113" w:type="dxa"/>
            </w:tcMar>
            <w:hideMark/>
          </w:tcPr>
          <w:p w14:paraId="67959259" w14:textId="2203846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-0.14202 – 0.07550</w:t>
            </w:r>
          </w:p>
        </w:tc>
        <w:tc>
          <w:tcPr>
            <w:tcW w:w="1039" w:type="dxa"/>
            <w:tcMar>
              <w:top w:w="113" w:type="dxa"/>
              <w:left w:w="113" w:type="dxa"/>
              <w:bottom w:w="113" w:type="dxa"/>
              <w:right w:w="113" w:type="dxa"/>
            </w:tcMar>
            <w:hideMark/>
          </w:tcPr>
          <w:p w14:paraId="701C4B7A" w14:textId="00BA82B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0.549</w:t>
            </w:r>
          </w:p>
        </w:tc>
      </w:tr>
      <w:tr w:rsidR="00EA542E" w:rsidRPr="00EA542E" w14:paraId="6D0EB197" w14:textId="77777777" w:rsidTr="00643F3A">
        <w:tc>
          <w:tcPr>
            <w:tcW w:w="4173" w:type="dxa"/>
            <w:tcMar>
              <w:top w:w="113" w:type="dxa"/>
              <w:left w:w="113" w:type="dxa"/>
              <w:bottom w:w="113" w:type="dxa"/>
              <w:right w:w="113" w:type="dxa"/>
            </w:tcMar>
            <w:hideMark/>
          </w:tcPr>
          <w:p w14:paraId="774E423C" w14:textId="645363A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607" w:type="dxa"/>
            <w:tcMar>
              <w:top w:w="113" w:type="dxa"/>
              <w:left w:w="113" w:type="dxa"/>
              <w:bottom w:w="113" w:type="dxa"/>
              <w:right w:w="113" w:type="dxa"/>
            </w:tcMar>
            <w:hideMark/>
          </w:tcPr>
          <w:p w14:paraId="104FFD2C" w14:textId="577D146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-0.07318</w:t>
            </w:r>
          </w:p>
        </w:tc>
        <w:tc>
          <w:tcPr>
            <w:tcW w:w="2230" w:type="dxa"/>
            <w:tcMar>
              <w:top w:w="113" w:type="dxa"/>
              <w:left w:w="113" w:type="dxa"/>
              <w:bottom w:w="113" w:type="dxa"/>
              <w:right w:w="113" w:type="dxa"/>
            </w:tcMar>
            <w:hideMark/>
          </w:tcPr>
          <w:p w14:paraId="67B040BF" w14:textId="7C3B6E8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-0.44470 – 0.29833</w:t>
            </w:r>
          </w:p>
        </w:tc>
        <w:tc>
          <w:tcPr>
            <w:tcW w:w="1039" w:type="dxa"/>
            <w:tcMar>
              <w:top w:w="113" w:type="dxa"/>
              <w:left w:w="113" w:type="dxa"/>
              <w:bottom w:w="113" w:type="dxa"/>
              <w:right w:w="113" w:type="dxa"/>
            </w:tcMar>
            <w:hideMark/>
          </w:tcPr>
          <w:p w14:paraId="6FB0CF54" w14:textId="02379A2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0.700</w:t>
            </w:r>
          </w:p>
        </w:tc>
      </w:tr>
      <w:tr w:rsidR="00EA542E" w:rsidRPr="00EA542E" w14:paraId="7C8CD40B" w14:textId="77777777" w:rsidTr="00643F3A">
        <w:tc>
          <w:tcPr>
            <w:tcW w:w="4173" w:type="dxa"/>
            <w:tcMar>
              <w:top w:w="113" w:type="dxa"/>
              <w:left w:w="113" w:type="dxa"/>
              <w:bottom w:w="113" w:type="dxa"/>
              <w:right w:w="113" w:type="dxa"/>
            </w:tcMar>
            <w:hideMark/>
          </w:tcPr>
          <w:p w14:paraId="67BFD33B" w14:textId="67E6F754"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607" w:type="dxa"/>
            <w:tcMar>
              <w:top w:w="113" w:type="dxa"/>
              <w:left w:w="113" w:type="dxa"/>
              <w:bottom w:w="113" w:type="dxa"/>
              <w:right w:w="113" w:type="dxa"/>
            </w:tcMar>
            <w:hideMark/>
          </w:tcPr>
          <w:p w14:paraId="4517757F" w14:textId="55FF9D5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-0.00002</w:t>
            </w:r>
          </w:p>
        </w:tc>
        <w:tc>
          <w:tcPr>
            <w:tcW w:w="2230" w:type="dxa"/>
            <w:tcMar>
              <w:top w:w="113" w:type="dxa"/>
              <w:left w:w="113" w:type="dxa"/>
              <w:bottom w:w="113" w:type="dxa"/>
              <w:right w:w="113" w:type="dxa"/>
            </w:tcMar>
            <w:hideMark/>
          </w:tcPr>
          <w:p w14:paraId="300354AA" w14:textId="0357E9C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-0.00004 – 0.00000</w:t>
            </w:r>
          </w:p>
        </w:tc>
        <w:tc>
          <w:tcPr>
            <w:tcW w:w="1039" w:type="dxa"/>
            <w:tcMar>
              <w:top w:w="113" w:type="dxa"/>
              <w:left w:w="113" w:type="dxa"/>
              <w:bottom w:w="113" w:type="dxa"/>
              <w:right w:w="113" w:type="dxa"/>
            </w:tcMar>
            <w:hideMark/>
          </w:tcPr>
          <w:p w14:paraId="0AD3DB32" w14:textId="481260E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0.100</w:t>
            </w:r>
          </w:p>
        </w:tc>
      </w:tr>
      <w:tr w:rsidR="00EA542E" w:rsidRPr="00EA542E" w14:paraId="5F5CBDCD" w14:textId="77777777" w:rsidTr="00643F3A">
        <w:tc>
          <w:tcPr>
            <w:tcW w:w="4173" w:type="dxa"/>
            <w:tcMar>
              <w:top w:w="113" w:type="dxa"/>
              <w:left w:w="113" w:type="dxa"/>
              <w:bottom w:w="113" w:type="dxa"/>
              <w:right w:w="113" w:type="dxa"/>
            </w:tcMar>
            <w:hideMark/>
          </w:tcPr>
          <w:p w14:paraId="41AFA3C1" w14:textId="3186045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607" w:type="dxa"/>
            <w:tcMar>
              <w:top w:w="113" w:type="dxa"/>
              <w:left w:w="113" w:type="dxa"/>
              <w:bottom w:w="113" w:type="dxa"/>
              <w:right w:w="113" w:type="dxa"/>
            </w:tcMar>
            <w:hideMark/>
          </w:tcPr>
          <w:p w14:paraId="0A2A0366" w14:textId="4ADEA77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0.00001</w:t>
            </w:r>
          </w:p>
        </w:tc>
        <w:tc>
          <w:tcPr>
            <w:tcW w:w="2230" w:type="dxa"/>
            <w:tcMar>
              <w:top w:w="113" w:type="dxa"/>
              <w:left w:w="113" w:type="dxa"/>
              <w:bottom w:w="113" w:type="dxa"/>
              <w:right w:w="113" w:type="dxa"/>
            </w:tcMar>
            <w:hideMark/>
          </w:tcPr>
          <w:p w14:paraId="08D12332" w14:textId="772EC31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-0.00004 – 0.00005</w:t>
            </w:r>
          </w:p>
        </w:tc>
        <w:tc>
          <w:tcPr>
            <w:tcW w:w="1039" w:type="dxa"/>
            <w:tcMar>
              <w:top w:w="113" w:type="dxa"/>
              <w:left w:w="113" w:type="dxa"/>
              <w:bottom w:w="113" w:type="dxa"/>
              <w:right w:w="113" w:type="dxa"/>
            </w:tcMar>
            <w:hideMark/>
          </w:tcPr>
          <w:p w14:paraId="5A3FDF0C" w14:textId="274620E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0.781</w:t>
            </w:r>
          </w:p>
        </w:tc>
      </w:tr>
      <w:tr w:rsidR="00EA542E" w:rsidRPr="00EA542E" w14:paraId="6BE9ECA3" w14:textId="77777777" w:rsidTr="00643F3A">
        <w:tc>
          <w:tcPr>
            <w:tcW w:w="4173" w:type="dxa"/>
            <w:tcMar>
              <w:top w:w="113" w:type="dxa"/>
              <w:left w:w="113" w:type="dxa"/>
              <w:bottom w:w="113" w:type="dxa"/>
              <w:right w:w="113" w:type="dxa"/>
            </w:tcMar>
            <w:hideMark/>
          </w:tcPr>
          <w:p w14:paraId="03EA57A3" w14:textId="7C60338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607" w:type="dxa"/>
            <w:tcMar>
              <w:top w:w="113" w:type="dxa"/>
              <w:left w:w="113" w:type="dxa"/>
              <w:bottom w:w="113" w:type="dxa"/>
              <w:right w:w="113" w:type="dxa"/>
            </w:tcMar>
            <w:hideMark/>
          </w:tcPr>
          <w:p w14:paraId="5030CCD9" w14:textId="5583E83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0.00627</w:t>
            </w:r>
          </w:p>
        </w:tc>
        <w:tc>
          <w:tcPr>
            <w:tcW w:w="2230" w:type="dxa"/>
            <w:tcMar>
              <w:top w:w="113" w:type="dxa"/>
              <w:left w:w="113" w:type="dxa"/>
              <w:bottom w:w="113" w:type="dxa"/>
              <w:right w:w="113" w:type="dxa"/>
            </w:tcMar>
            <w:hideMark/>
          </w:tcPr>
          <w:p w14:paraId="7B2F895B" w14:textId="1FA6017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-0.03044 – 0.04298</w:t>
            </w:r>
          </w:p>
        </w:tc>
        <w:tc>
          <w:tcPr>
            <w:tcW w:w="1039" w:type="dxa"/>
            <w:tcMar>
              <w:top w:w="113" w:type="dxa"/>
              <w:left w:w="113" w:type="dxa"/>
              <w:bottom w:w="113" w:type="dxa"/>
              <w:right w:w="113" w:type="dxa"/>
            </w:tcMar>
            <w:hideMark/>
          </w:tcPr>
          <w:p w14:paraId="69B550CE" w14:textId="0A8A6D8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0.738</w:t>
            </w:r>
          </w:p>
        </w:tc>
      </w:tr>
      <w:tr w:rsidR="00EA542E" w:rsidRPr="00EA542E" w14:paraId="0D15DCAA" w14:textId="77777777" w:rsidTr="00643F3A">
        <w:tc>
          <w:tcPr>
            <w:tcW w:w="4173" w:type="dxa"/>
            <w:tcMar>
              <w:top w:w="113" w:type="dxa"/>
              <w:left w:w="113" w:type="dxa"/>
              <w:bottom w:w="113" w:type="dxa"/>
              <w:right w:w="113" w:type="dxa"/>
            </w:tcMar>
            <w:hideMark/>
          </w:tcPr>
          <w:p w14:paraId="08282872" w14:textId="53C7B01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607" w:type="dxa"/>
            <w:tcMar>
              <w:top w:w="113" w:type="dxa"/>
              <w:left w:w="113" w:type="dxa"/>
              <w:bottom w:w="113" w:type="dxa"/>
              <w:right w:w="113" w:type="dxa"/>
            </w:tcMar>
            <w:hideMark/>
          </w:tcPr>
          <w:p w14:paraId="07A46161" w14:textId="562F7B2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0.06648</w:t>
            </w:r>
          </w:p>
        </w:tc>
        <w:tc>
          <w:tcPr>
            <w:tcW w:w="2230" w:type="dxa"/>
            <w:tcMar>
              <w:top w:w="113" w:type="dxa"/>
              <w:left w:w="113" w:type="dxa"/>
              <w:bottom w:w="113" w:type="dxa"/>
              <w:right w:w="113" w:type="dxa"/>
            </w:tcMar>
            <w:hideMark/>
          </w:tcPr>
          <w:p w14:paraId="4838700C" w14:textId="1E21E6D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0.03337 – 0.09959</w:t>
            </w:r>
          </w:p>
        </w:tc>
        <w:tc>
          <w:tcPr>
            <w:tcW w:w="1039" w:type="dxa"/>
            <w:tcMar>
              <w:top w:w="113" w:type="dxa"/>
              <w:left w:w="113" w:type="dxa"/>
              <w:bottom w:w="113" w:type="dxa"/>
              <w:right w:w="113" w:type="dxa"/>
            </w:tcMar>
            <w:hideMark/>
          </w:tcPr>
          <w:p w14:paraId="382F63D6" w14:textId="7B108D0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0BBB7F57" w14:textId="77777777" w:rsidTr="00643F3A">
        <w:tc>
          <w:tcPr>
            <w:tcW w:w="4173" w:type="dxa"/>
            <w:tcMar>
              <w:top w:w="113" w:type="dxa"/>
              <w:left w:w="113" w:type="dxa"/>
              <w:bottom w:w="113" w:type="dxa"/>
              <w:right w:w="113" w:type="dxa"/>
            </w:tcMar>
            <w:hideMark/>
          </w:tcPr>
          <w:p w14:paraId="1ABF2A05" w14:textId="172BD265"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607" w:type="dxa"/>
            <w:tcMar>
              <w:top w:w="113" w:type="dxa"/>
              <w:left w:w="113" w:type="dxa"/>
              <w:bottom w:w="113" w:type="dxa"/>
              <w:right w:w="113" w:type="dxa"/>
            </w:tcMar>
            <w:hideMark/>
          </w:tcPr>
          <w:p w14:paraId="32BBC780" w14:textId="39D761D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0.03515</w:t>
            </w:r>
          </w:p>
        </w:tc>
        <w:tc>
          <w:tcPr>
            <w:tcW w:w="2230" w:type="dxa"/>
            <w:tcMar>
              <w:top w:w="113" w:type="dxa"/>
              <w:left w:w="113" w:type="dxa"/>
              <w:bottom w:w="113" w:type="dxa"/>
              <w:right w:w="113" w:type="dxa"/>
            </w:tcMar>
            <w:hideMark/>
          </w:tcPr>
          <w:p w14:paraId="68E1507D" w14:textId="557DCB4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-0.00172 – 0.07201</w:t>
            </w:r>
          </w:p>
        </w:tc>
        <w:tc>
          <w:tcPr>
            <w:tcW w:w="1039" w:type="dxa"/>
            <w:tcMar>
              <w:top w:w="113" w:type="dxa"/>
              <w:left w:w="113" w:type="dxa"/>
              <w:bottom w:w="113" w:type="dxa"/>
              <w:right w:w="113" w:type="dxa"/>
            </w:tcMar>
            <w:hideMark/>
          </w:tcPr>
          <w:p w14:paraId="26D9C732" w14:textId="7DF14CB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0.063</w:t>
            </w:r>
          </w:p>
        </w:tc>
      </w:tr>
      <w:tr w:rsidR="00266752" w:rsidRPr="00EA542E" w14:paraId="6C1E121A" w14:textId="77777777" w:rsidTr="00643F3A">
        <w:tc>
          <w:tcPr>
            <w:tcW w:w="4173" w:type="dxa"/>
            <w:tcBorders>
              <w:top w:val="single" w:sz="6" w:space="0" w:color="auto"/>
            </w:tcBorders>
            <w:tcMar>
              <w:top w:w="57" w:type="dxa"/>
              <w:left w:w="113" w:type="dxa"/>
              <w:bottom w:w="57" w:type="dxa"/>
              <w:right w:w="113" w:type="dxa"/>
            </w:tcMar>
            <w:hideMark/>
          </w:tcPr>
          <w:p w14:paraId="3310EC9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876" w:type="dxa"/>
            <w:gridSpan w:val="3"/>
            <w:tcBorders>
              <w:top w:val="single" w:sz="6" w:space="0" w:color="auto"/>
            </w:tcBorders>
            <w:tcMar>
              <w:top w:w="57" w:type="dxa"/>
              <w:left w:w="113" w:type="dxa"/>
              <w:bottom w:w="57" w:type="dxa"/>
              <w:right w:w="113" w:type="dxa"/>
            </w:tcMar>
            <w:hideMark/>
          </w:tcPr>
          <w:p w14:paraId="2B5161B4"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262</w:t>
            </w:r>
          </w:p>
        </w:tc>
      </w:tr>
      <w:tr w:rsidR="00266752" w:rsidRPr="00EA542E" w14:paraId="668959B1" w14:textId="77777777" w:rsidTr="00643F3A">
        <w:tc>
          <w:tcPr>
            <w:tcW w:w="4173" w:type="dxa"/>
            <w:tcMar>
              <w:top w:w="57" w:type="dxa"/>
              <w:left w:w="113" w:type="dxa"/>
              <w:bottom w:w="57" w:type="dxa"/>
              <w:right w:w="113" w:type="dxa"/>
            </w:tcMar>
            <w:hideMark/>
          </w:tcPr>
          <w:p w14:paraId="58A955DF"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876" w:type="dxa"/>
            <w:gridSpan w:val="3"/>
            <w:tcMar>
              <w:top w:w="57" w:type="dxa"/>
              <w:left w:w="113" w:type="dxa"/>
              <w:bottom w:w="57" w:type="dxa"/>
              <w:right w:w="113" w:type="dxa"/>
            </w:tcMar>
            <w:hideMark/>
          </w:tcPr>
          <w:p w14:paraId="73503189" w14:textId="22BDEE6C"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0.2</w:t>
            </w:r>
            <w:r w:rsidR="00EA542E" w:rsidRPr="00EA542E">
              <w:rPr>
                <w:rFonts w:ascii="Times New Roman" w:eastAsia="Times New Roman" w:hAnsi="Times New Roman" w:cs="Times New Roman"/>
                <w:lang w:eastAsia="de-DE"/>
              </w:rPr>
              <w:t>19</w:t>
            </w:r>
          </w:p>
        </w:tc>
      </w:tr>
    </w:tbl>
    <w:p w14:paraId="727AA36C" w14:textId="2803C4FA" w:rsidR="00266752" w:rsidRDefault="00266752">
      <w:pPr>
        <w:rPr>
          <w:rFonts w:ascii="Times New Roman" w:hAnsi="Times New Roman" w:cs="Times New Roman"/>
          <w:b/>
          <w:sz w:val="24"/>
          <w:szCs w:val="24"/>
        </w:rPr>
      </w:pPr>
    </w:p>
    <w:p w14:paraId="2184E83C"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00E6FE90" w14:textId="1F8C4361" w:rsid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rPr>
        <w:lastRenderedPageBreak/>
        <w:t xml:space="preserve">6o.  </w:t>
      </w:r>
      <w:r>
        <w:rPr>
          <w:rFonts w:ascii="Times New Roman" w:hAnsi="Times New Roman" w:cs="Times New Roman"/>
          <w:b/>
          <w:sz w:val="24"/>
          <w:szCs w:val="24"/>
        </w:rPr>
        <w:t>Titanium.</w:t>
      </w:r>
    </w:p>
    <w:tbl>
      <w:tblPr>
        <w:tblW w:w="0" w:type="auto"/>
        <w:tblCellMar>
          <w:top w:w="15" w:type="dxa"/>
          <w:left w:w="15" w:type="dxa"/>
          <w:bottom w:w="15" w:type="dxa"/>
          <w:right w:w="15" w:type="dxa"/>
        </w:tblCellMar>
        <w:tblLook w:val="04A0" w:firstRow="1" w:lastRow="0" w:firstColumn="1" w:lastColumn="0" w:noHBand="0" w:noVBand="1"/>
      </w:tblPr>
      <w:tblGrid>
        <w:gridCol w:w="4349"/>
        <w:gridCol w:w="1167"/>
        <w:gridCol w:w="2404"/>
        <w:gridCol w:w="1129"/>
      </w:tblGrid>
      <w:tr w:rsidR="00266752" w:rsidRPr="00EA542E" w14:paraId="338A73E4" w14:textId="77777777" w:rsidTr="00643F3A">
        <w:tc>
          <w:tcPr>
            <w:tcW w:w="4349" w:type="dxa"/>
            <w:tcBorders>
              <w:top w:val="double" w:sz="6" w:space="0" w:color="auto"/>
            </w:tcBorders>
            <w:tcMar>
              <w:top w:w="113" w:type="dxa"/>
              <w:left w:w="113" w:type="dxa"/>
              <w:bottom w:w="113" w:type="dxa"/>
              <w:right w:w="113" w:type="dxa"/>
            </w:tcMar>
            <w:vAlign w:val="center"/>
            <w:hideMark/>
          </w:tcPr>
          <w:p w14:paraId="2D7615D7"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700" w:type="dxa"/>
            <w:gridSpan w:val="3"/>
            <w:tcBorders>
              <w:top w:val="double" w:sz="6" w:space="0" w:color="auto"/>
            </w:tcBorders>
            <w:tcMar>
              <w:top w:w="113" w:type="dxa"/>
              <w:left w:w="113" w:type="dxa"/>
              <w:bottom w:w="113" w:type="dxa"/>
              <w:right w:w="113" w:type="dxa"/>
            </w:tcMar>
            <w:vAlign w:val="center"/>
            <w:hideMark/>
          </w:tcPr>
          <w:p w14:paraId="2630A72F" w14:textId="310F31F7"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Titanium</w:t>
            </w:r>
          </w:p>
        </w:tc>
      </w:tr>
      <w:tr w:rsidR="00266752" w:rsidRPr="00EA542E" w14:paraId="4BFF095F" w14:textId="77777777" w:rsidTr="00643F3A">
        <w:tc>
          <w:tcPr>
            <w:tcW w:w="4349" w:type="dxa"/>
            <w:tcBorders>
              <w:bottom w:val="single" w:sz="6" w:space="0" w:color="auto"/>
            </w:tcBorders>
            <w:vAlign w:val="center"/>
            <w:hideMark/>
          </w:tcPr>
          <w:p w14:paraId="618CC60C"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70969A7D"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404" w:type="dxa"/>
            <w:tcBorders>
              <w:bottom w:val="single" w:sz="6" w:space="0" w:color="auto"/>
            </w:tcBorders>
            <w:vAlign w:val="center"/>
            <w:hideMark/>
          </w:tcPr>
          <w:p w14:paraId="5CB1AF56"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27A04EE2"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7128E7D3" w14:textId="77777777" w:rsidTr="00643F3A">
        <w:tc>
          <w:tcPr>
            <w:tcW w:w="4349" w:type="dxa"/>
            <w:tcMar>
              <w:top w:w="113" w:type="dxa"/>
              <w:left w:w="113" w:type="dxa"/>
              <w:bottom w:w="113" w:type="dxa"/>
              <w:right w:w="113" w:type="dxa"/>
            </w:tcMar>
            <w:hideMark/>
          </w:tcPr>
          <w:p w14:paraId="1217501D" w14:textId="2C3B360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236930C5" w14:textId="29BFDD5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-0.015197</w:t>
            </w:r>
          </w:p>
        </w:tc>
        <w:tc>
          <w:tcPr>
            <w:tcW w:w="2404" w:type="dxa"/>
            <w:tcMar>
              <w:top w:w="113" w:type="dxa"/>
              <w:left w:w="113" w:type="dxa"/>
              <w:bottom w:w="113" w:type="dxa"/>
              <w:right w:w="113" w:type="dxa"/>
            </w:tcMar>
            <w:hideMark/>
          </w:tcPr>
          <w:p w14:paraId="1580ACF1" w14:textId="304C39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-0.025868 – -0.004525</w:t>
            </w:r>
          </w:p>
        </w:tc>
        <w:tc>
          <w:tcPr>
            <w:tcW w:w="1129" w:type="dxa"/>
            <w:tcMar>
              <w:top w:w="113" w:type="dxa"/>
              <w:left w:w="113" w:type="dxa"/>
              <w:bottom w:w="113" w:type="dxa"/>
              <w:right w:w="113" w:type="dxa"/>
            </w:tcMar>
            <w:hideMark/>
          </w:tcPr>
          <w:p w14:paraId="047755F2" w14:textId="1241F80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0.006</w:t>
            </w:r>
          </w:p>
        </w:tc>
      </w:tr>
      <w:tr w:rsidR="00EA542E" w:rsidRPr="00EA542E" w14:paraId="595D500D" w14:textId="77777777" w:rsidTr="00643F3A">
        <w:tc>
          <w:tcPr>
            <w:tcW w:w="4349" w:type="dxa"/>
            <w:tcMar>
              <w:top w:w="113" w:type="dxa"/>
              <w:left w:w="113" w:type="dxa"/>
              <w:bottom w:w="113" w:type="dxa"/>
              <w:right w:w="113" w:type="dxa"/>
            </w:tcMar>
            <w:hideMark/>
          </w:tcPr>
          <w:p w14:paraId="49526B5C" w14:textId="6C67E79B"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79ED7CDD" w14:textId="0A95935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-0.000171</w:t>
            </w:r>
          </w:p>
        </w:tc>
        <w:tc>
          <w:tcPr>
            <w:tcW w:w="2404" w:type="dxa"/>
            <w:tcMar>
              <w:top w:w="113" w:type="dxa"/>
              <w:left w:w="113" w:type="dxa"/>
              <w:bottom w:w="113" w:type="dxa"/>
              <w:right w:w="113" w:type="dxa"/>
            </w:tcMar>
            <w:hideMark/>
          </w:tcPr>
          <w:p w14:paraId="26DC1F53" w14:textId="13908C4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-0.000452 – 0.000110</w:t>
            </w:r>
          </w:p>
        </w:tc>
        <w:tc>
          <w:tcPr>
            <w:tcW w:w="1129" w:type="dxa"/>
            <w:tcMar>
              <w:top w:w="113" w:type="dxa"/>
              <w:left w:w="113" w:type="dxa"/>
              <w:bottom w:w="113" w:type="dxa"/>
              <w:right w:w="113" w:type="dxa"/>
            </w:tcMar>
            <w:hideMark/>
          </w:tcPr>
          <w:p w14:paraId="65AA8280" w14:textId="0615C0B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0.234</w:t>
            </w:r>
          </w:p>
        </w:tc>
      </w:tr>
      <w:tr w:rsidR="00EA542E" w:rsidRPr="00EA542E" w14:paraId="04A6176E" w14:textId="77777777" w:rsidTr="00643F3A">
        <w:tc>
          <w:tcPr>
            <w:tcW w:w="4349" w:type="dxa"/>
            <w:tcMar>
              <w:top w:w="113" w:type="dxa"/>
              <w:left w:w="113" w:type="dxa"/>
              <w:bottom w:w="113" w:type="dxa"/>
              <w:right w:w="113" w:type="dxa"/>
            </w:tcMar>
            <w:hideMark/>
          </w:tcPr>
          <w:p w14:paraId="6BD4DD9C" w14:textId="1B2B621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6046902C" w14:textId="33E81AA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0.017068</w:t>
            </w:r>
          </w:p>
        </w:tc>
        <w:tc>
          <w:tcPr>
            <w:tcW w:w="2404" w:type="dxa"/>
            <w:tcMar>
              <w:top w:w="113" w:type="dxa"/>
              <w:left w:w="113" w:type="dxa"/>
              <w:bottom w:w="113" w:type="dxa"/>
              <w:right w:w="113" w:type="dxa"/>
            </w:tcMar>
            <w:hideMark/>
          </w:tcPr>
          <w:p w14:paraId="0E15D469" w14:textId="250512F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0.006290 – 0.027846</w:t>
            </w:r>
          </w:p>
        </w:tc>
        <w:tc>
          <w:tcPr>
            <w:tcW w:w="1129" w:type="dxa"/>
            <w:tcMar>
              <w:top w:w="113" w:type="dxa"/>
              <w:left w:w="113" w:type="dxa"/>
              <w:bottom w:w="113" w:type="dxa"/>
              <w:right w:w="113" w:type="dxa"/>
            </w:tcMar>
            <w:hideMark/>
          </w:tcPr>
          <w:p w14:paraId="76826D40" w14:textId="3F78F6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AD98D04" w14:textId="77777777" w:rsidTr="00643F3A">
        <w:tc>
          <w:tcPr>
            <w:tcW w:w="4349" w:type="dxa"/>
            <w:tcMar>
              <w:top w:w="113" w:type="dxa"/>
              <w:left w:w="113" w:type="dxa"/>
              <w:bottom w:w="113" w:type="dxa"/>
              <w:right w:w="113" w:type="dxa"/>
            </w:tcMar>
            <w:hideMark/>
          </w:tcPr>
          <w:p w14:paraId="72DD8F14" w14:textId="36AFDB5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38C6F458" w14:textId="0AE563E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0.023239</w:t>
            </w:r>
          </w:p>
        </w:tc>
        <w:tc>
          <w:tcPr>
            <w:tcW w:w="2404" w:type="dxa"/>
            <w:tcMar>
              <w:top w:w="113" w:type="dxa"/>
              <w:left w:w="113" w:type="dxa"/>
              <w:bottom w:w="113" w:type="dxa"/>
              <w:right w:w="113" w:type="dxa"/>
            </w:tcMar>
            <w:hideMark/>
          </w:tcPr>
          <w:p w14:paraId="43989408" w14:textId="6EB10DA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0.012603 – 0.033876</w:t>
            </w:r>
          </w:p>
        </w:tc>
        <w:tc>
          <w:tcPr>
            <w:tcW w:w="1129" w:type="dxa"/>
            <w:tcMar>
              <w:top w:w="113" w:type="dxa"/>
              <w:left w:w="113" w:type="dxa"/>
              <w:bottom w:w="113" w:type="dxa"/>
              <w:right w:w="113" w:type="dxa"/>
            </w:tcMar>
            <w:hideMark/>
          </w:tcPr>
          <w:p w14:paraId="4F73DC5C" w14:textId="50A3832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22CF5CE2" w14:textId="77777777" w:rsidTr="00643F3A">
        <w:tc>
          <w:tcPr>
            <w:tcW w:w="4349" w:type="dxa"/>
            <w:tcMar>
              <w:top w:w="113" w:type="dxa"/>
              <w:left w:w="113" w:type="dxa"/>
              <w:bottom w:w="113" w:type="dxa"/>
              <w:right w:w="113" w:type="dxa"/>
            </w:tcMar>
            <w:hideMark/>
          </w:tcPr>
          <w:p w14:paraId="770392E3" w14:textId="667FA43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5F2716C2" w14:textId="72F6AFA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0.019496</w:t>
            </w:r>
          </w:p>
        </w:tc>
        <w:tc>
          <w:tcPr>
            <w:tcW w:w="2404" w:type="dxa"/>
            <w:tcMar>
              <w:top w:w="113" w:type="dxa"/>
              <w:left w:w="113" w:type="dxa"/>
              <w:bottom w:w="113" w:type="dxa"/>
              <w:right w:w="113" w:type="dxa"/>
            </w:tcMar>
            <w:hideMark/>
          </w:tcPr>
          <w:p w14:paraId="79A0F9E6" w14:textId="7EF2FEE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0.007206 – 0.031786</w:t>
            </w:r>
          </w:p>
        </w:tc>
        <w:tc>
          <w:tcPr>
            <w:tcW w:w="1129" w:type="dxa"/>
            <w:tcMar>
              <w:top w:w="113" w:type="dxa"/>
              <w:left w:w="113" w:type="dxa"/>
              <w:bottom w:w="113" w:type="dxa"/>
              <w:right w:w="113" w:type="dxa"/>
            </w:tcMar>
            <w:hideMark/>
          </w:tcPr>
          <w:p w14:paraId="2F9FDC33" w14:textId="3AD2231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B7B6ADF" w14:textId="77777777" w:rsidTr="00643F3A">
        <w:tc>
          <w:tcPr>
            <w:tcW w:w="4349" w:type="dxa"/>
            <w:tcMar>
              <w:top w:w="113" w:type="dxa"/>
              <w:left w:w="113" w:type="dxa"/>
              <w:bottom w:w="113" w:type="dxa"/>
              <w:right w:w="113" w:type="dxa"/>
            </w:tcMar>
            <w:hideMark/>
          </w:tcPr>
          <w:p w14:paraId="082B011A" w14:textId="2A56D33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74D6025B" w14:textId="6A17220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0.018077</w:t>
            </w:r>
          </w:p>
        </w:tc>
        <w:tc>
          <w:tcPr>
            <w:tcW w:w="2404" w:type="dxa"/>
            <w:tcMar>
              <w:top w:w="113" w:type="dxa"/>
              <w:left w:w="113" w:type="dxa"/>
              <w:bottom w:w="113" w:type="dxa"/>
              <w:right w:w="113" w:type="dxa"/>
            </w:tcMar>
            <w:hideMark/>
          </w:tcPr>
          <w:p w14:paraId="51255AF0" w14:textId="3B53BB0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0.005534 – 0.030621</w:t>
            </w:r>
          </w:p>
        </w:tc>
        <w:tc>
          <w:tcPr>
            <w:tcW w:w="1129" w:type="dxa"/>
            <w:tcMar>
              <w:top w:w="113" w:type="dxa"/>
              <w:left w:w="113" w:type="dxa"/>
              <w:bottom w:w="113" w:type="dxa"/>
              <w:right w:w="113" w:type="dxa"/>
            </w:tcMar>
            <w:hideMark/>
          </w:tcPr>
          <w:p w14:paraId="211E8906" w14:textId="4F73B52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4F629049" w14:textId="77777777" w:rsidTr="00643F3A">
        <w:tc>
          <w:tcPr>
            <w:tcW w:w="4349" w:type="dxa"/>
            <w:tcMar>
              <w:top w:w="113" w:type="dxa"/>
              <w:left w:w="113" w:type="dxa"/>
              <w:bottom w:w="113" w:type="dxa"/>
              <w:right w:w="113" w:type="dxa"/>
            </w:tcMar>
            <w:hideMark/>
          </w:tcPr>
          <w:p w14:paraId="38BFAFA0" w14:textId="0FF0172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2CC152F6" w14:textId="216A855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0.017374</w:t>
            </w:r>
          </w:p>
        </w:tc>
        <w:tc>
          <w:tcPr>
            <w:tcW w:w="2404" w:type="dxa"/>
            <w:tcMar>
              <w:top w:w="113" w:type="dxa"/>
              <w:left w:w="113" w:type="dxa"/>
              <w:bottom w:w="113" w:type="dxa"/>
              <w:right w:w="113" w:type="dxa"/>
            </w:tcMar>
            <w:hideMark/>
          </w:tcPr>
          <w:p w14:paraId="0F9865F0" w14:textId="753947B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0.006602 – 0.028147</w:t>
            </w:r>
          </w:p>
        </w:tc>
        <w:tc>
          <w:tcPr>
            <w:tcW w:w="1129" w:type="dxa"/>
            <w:tcMar>
              <w:top w:w="113" w:type="dxa"/>
              <w:left w:w="113" w:type="dxa"/>
              <w:bottom w:w="113" w:type="dxa"/>
              <w:right w:w="113" w:type="dxa"/>
            </w:tcMar>
            <w:hideMark/>
          </w:tcPr>
          <w:p w14:paraId="648B4F00" w14:textId="6F4F01E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0E8841BF" w14:textId="77777777" w:rsidTr="00643F3A">
        <w:tc>
          <w:tcPr>
            <w:tcW w:w="4349" w:type="dxa"/>
            <w:tcMar>
              <w:top w:w="113" w:type="dxa"/>
              <w:left w:w="113" w:type="dxa"/>
              <w:bottom w:w="113" w:type="dxa"/>
              <w:right w:w="113" w:type="dxa"/>
            </w:tcMar>
            <w:hideMark/>
          </w:tcPr>
          <w:p w14:paraId="13461FD5" w14:textId="6C49B5C4"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043FE3A8" w14:textId="19D2518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w:t>
            </w:r>
          </w:p>
        </w:tc>
        <w:tc>
          <w:tcPr>
            <w:tcW w:w="2404" w:type="dxa"/>
            <w:tcMar>
              <w:top w:w="113" w:type="dxa"/>
              <w:left w:w="113" w:type="dxa"/>
              <w:bottom w:w="113" w:type="dxa"/>
              <w:right w:w="113" w:type="dxa"/>
            </w:tcMar>
            <w:hideMark/>
          </w:tcPr>
          <w:p w14:paraId="220D5D21" w14:textId="5B589E6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0.000000</w:t>
            </w:r>
          </w:p>
        </w:tc>
        <w:tc>
          <w:tcPr>
            <w:tcW w:w="1129" w:type="dxa"/>
            <w:tcMar>
              <w:top w:w="113" w:type="dxa"/>
              <w:left w:w="113" w:type="dxa"/>
              <w:bottom w:w="113" w:type="dxa"/>
              <w:right w:w="113" w:type="dxa"/>
            </w:tcMar>
            <w:hideMark/>
          </w:tcPr>
          <w:p w14:paraId="75BA7E32" w14:textId="45CB1B8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0.052</w:t>
            </w:r>
          </w:p>
        </w:tc>
      </w:tr>
      <w:tr w:rsidR="00EA542E" w:rsidRPr="00EA542E" w14:paraId="53A1224D" w14:textId="77777777" w:rsidTr="00643F3A">
        <w:tc>
          <w:tcPr>
            <w:tcW w:w="4349" w:type="dxa"/>
            <w:tcMar>
              <w:top w:w="113" w:type="dxa"/>
              <w:left w:w="113" w:type="dxa"/>
              <w:bottom w:w="113" w:type="dxa"/>
              <w:right w:w="113" w:type="dxa"/>
            </w:tcMar>
            <w:hideMark/>
          </w:tcPr>
          <w:p w14:paraId="1C4F0059" w14:textId="7E086AC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1DCD2682" w14:textId="3AA20DB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0.003002</w:t>
            </w:r>
          </w:p>
        </w:tc>
        <w:tc>
          <w:tcPr>
            <w:tcW w:w="2404" w:type="dxa"/>
            <w:tcMar>
              <w:top w:w="113" w:type="dxa"/>
              <w:left w:w="113" w:type="dxa"/>
              <w:bottom w:w="113" w:type="dxa"/>
              <w:right w:w="113" w:type="dxa"/>
            </w:tcMar>
            <w:hideMark/>
          </w:tcPr>
          <w:p w14:paraId="624B0A56" w14:textId="55CDDD9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0.000766 – 0.005238</w:t>
            </w:r>
          </w:p>
        </w:tc>
        <w:tc>
          <w:tcPr>
            <w:tcW w:w="1129" w:type="dxa"/>
            <w:tcMar>
              <w:top w:w="113" w:type="dxa"/>
              <w:left w:w="113" w:type="dxa"/>
              <w:bottom w:w="113" w:type="dxa"/>
              <w:right w:w="113" w:type="dxa"/>
            </w:tcMar>
            <w:hideMark/>
          </w:tcPr>
          <w:p w14:paraId="73D87F86" w14:textId="19BBDBB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0.009</w:t>
            </w:r>
          </w:p>
        </w:tc>
      </w:tr>
      <w:tr w:rsidR="00EA542E" w:rsidRPr="00EA542E" w14:paraId="1FD83B8C" w14:textId="77777777" w:rsidTr="00643F3A">
        <w:tc>
          <w:tcPr>
            <w:tcW w:w="4349" w:type="dxa"/>
            <w:tcMar>
              <w:top w:w="113" w:type="dxa"/>
              <w:left w:w="113" w:type="dxa"/>
              <w:bottom w:w="113" w:type="dxa"/>
              <w:right w:w="113" w:type="dxa"/>
            </w:tcMar>
            <w:hideMark/>
          </w:tcPr>
          <w:p w14:paraId="67ADD018" w14:textId="29395DE9"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121506AF" w14:textId="2DDEEE2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-0.001134</w:t>
            </w:r>
          </w:p>
        </w:tc>
        <w:tc>
          <w:tcPr>
            <w:tcW w:w="2404" w:type="dxa"/>
            <w:tcMar>
              <w:top w:w="113" w:type="dxa"/>
              <w:left w:w="113" w:type="dxa"/>
              <w:bottom w:w="113" w:type="dxa"/>
              <w:right w:w="113" w:type="dxa"/>
            </w:tcMar>
            <w:hideMark/>
          </w:tcPr>
          <w:p w14:paraId="4BAE1282" w14:textId="6660FF9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-0.008930 – 0.006662</w:t>
            </w:r>
          </w:p>
        </w:tc>
        <w:tc>
          <w:tcPr>
            <w:tcW w:w="1129" w:type="dxa"/>
            <w:tcMar>
              <w:top w:w="113" w:type="dxa"/>
              <w:left w:w="113" w:type="dxa"/>
              <w:bottom w:w="113" w:type="dxa"/>
              <w:right w:w="113" w:type="dxa"/>
            </w:tcMar>
            <w:hideMark/>
          </w:tcPr>
          <w:p w14:paraId="7008E223" w14:textId="0A72907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0.776</w:t>
            </w:r>
          </w:p>
        </w:tc>
      </w:tr>
      <w:tr w:rsidR="00EA542E" w:rsidRPr="00EA542E" w14:paraId="7EB73E9B" w14:textId="77777777" w:rsidTr="00643F3A">
        <w:tc>
          <w:tcPr>
            <w:tcW w:w="4349" w:type="dxa"/>
            <w:tcMar>
              <w:top w:w="113" w:type="dxa"/>
              <w:left w:w="113" w:type="dxa"/>
              <w:bottom w:w="113" w:type="dxa"/>
              <w:right w:w="113" w:type="dxa"/>
            </w:tcMar>
            <w:hideMark/>
          </w:tcPr>
          <w:p w14:paraId="457133D0" w14:textId="1E68742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22DD971E" w14:textId="41BBDEC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404" w:type="dxa"/>
            <w:tcMar>
              <w:top w:w="113" w:type="dxa"/>
              <w:left w:w="113" w:type="dxa"/>
              <w:bottom w:w="113" w:type="dxa"/>
              <w:right w:w="113" w:type="dxa"/>
            </w:tcMar>
            <w:hideMark/>
          </w:tcPr>
          <w:p w14:paraId="29FB2A99" w14:textId="50C9B88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0.000001</w:t>
            </w:r>
          </w:p>
        </w:tc>
        <w:tc>
          <w:tcPr>
            <w:tcW w:w="1129" w:type="dxa"/>
            <w:tcMar>
              <w:top w:w="113" w:type="dxa"/>
              <w:left w:w="113" w:type="dxa"/>
              <w:bottom w:w="113" w:type="dxa"/>
              <w:right w:w="113" w:type="dxa"/>
            </w:tcMar>
            <w:hideMark/>
          </w:tcPr>
          <w:p w14:paraId="239DFB1D" w14:textId="5B73AC4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0.394</w:t>
            </w:r>
          </w:p>
        </w:tc>
      </w:tr>
      <w:tr w:rsidR="00EA542E" w:rsidRPr="00EA542E" w14:paraId="3522F6B3" w14:textId="77777777" w:rsidTr="00643F3A">
        <w:tc>
          <w:tcPr>
            <w:tcW w:w="4349" w:type="dxa"/>
            <w:tcMar>
              <w:top w:w="113" w:type="dxa"/>
              <w:left w:w="113" w:type="dxa"/>
              <w:bottom w:w="113" w:type="dxa"/>
              <w:right w:w="113" w:type="dxa"/>
            </w:tcMar>
            <w:hideMark/>
          </w:tcPr>
          <w:p w14:paraId="56E9AD8E" w14:textId="7764B53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5DB3F421" w14:textId="7451ECD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404" w:type="dxa"/>
            <w:tcMar>
              <w:top w:w="113" w:type="dxa"/>
              <w:left w:w="113" w:type="dxa"/>
              <w:bottom w:w="113" w:type="dxa"/>
              <w:right w:w="113" w:type="dxa"/>
            </w:tcMar>
            <w:hideMark/>
          </w:tcPr>
          <w:p w14:paraId="5BA98422" w14:textId="71CEDAC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0.000001</w:t>
            </w:r>
          </w:p>
        </w:tc>
        <w:tc>
          <w:tcPr>
            <w:tcW w:w="1129" w:type="dxa"/>
            <w:tcMar>
              <w:top w:w="113" w:type="dxa"/>
              <w:left w:w="113" w:type="dxa"/>
              <w:bottom w:w="113" w:type="dxa"/>
              <w:right w:w="113" w:type="dxa"/>
            </w:tcMar>
            <w:hideMark/>
          </w:tcPr>
          <w:p w14:paraId="113EE6A5" w14:textId="7C2132A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0.914</w:t>
            </w:r>
          </w:p>
        </w:tc>
      </w:tr>
      <w:tr w:rsidR="00EA542E" w:rsidRPr="00EA542E" w14:paraId="7BF0D3F4" w14:textId="77777777" w:rsidTr="00643F3A">
        <w:tc>
          <w:tcPr>
            <w:tcW w:w="4349" w:type="dxa"/>
            <w:tcMar>
              <w:top w:w="113" w:type="dxa"/>
              <w:left w:w="113" w:type="dxa"/>
              <w:bottom w:w="113" w:type="dxa"/>
              <w:right w:w="113" w:type="dxa"/>
            </w:tcMar>
            <w:hideMark/>
          </w:tcPr>
          <w:p w14:paraId="195EF1B1" w14:textId="7615352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6A6AE3C6" w14:textId="6CDDD99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-0.000666</w:t>
            </w:r>
          </w:p>
        </w:tc>
        <w:tc>
          <w:tcPr>
            <w:tcW w:w="2404" w:type="dxa"/>
            <w:tcMar>
              <w:top w:w="113" w:type="dxa"/>
              <w:left w:w="113" w:type="dxa"/>
              <w:bottom w:w="113" w:type="dxa"/>
              <w:right w:w="113" w:type="dxa"/>
            </w:tcMar>
            <w:hideMark/>
          </w:tcPr>
          <w:p w14:paraId="21B0FFEB" w14:textId="7A76608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-0.001464 – 0.000133</w:t>
            </w:r>
          </w:p>
        </w:tc>
        <w:tc>
          <w:tcPr>
            <w:tcW w:w="1129" w:type="dxa"/>
            <w:tcMar>
              <w:top w:w="113" w:type="dxa"/>
              <w:left w:w="113" w:type="dxa"/>
              <w:bottom w:w="113" w:type="dxa"/>
              <w:right w:w="113" w:type="dxa"/>
            </w:tcMar>
            <w:hideMark/>
          </w:tcPr>
          <w:p w14:paraId="1E569DCF" w14:textId="2EC557C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0.104</w:t>
            </w:r>
          </w:p>
        </w:tc>
      </w:tr>
      <w:tr w:rsidR="00EA542E" w:rsidRPr="00EA542E" w14:paraId="0220B3BF" w14:textId="77777777" w:rsidTr="00643F3A">
        <w:tc>
          <w:tcPr>
            <w:tcW w:w="4349" w:type="dxa"/>
            <w:tcMar>
              <w:top w:w="113" w:type="dxa"/>
              <w:left w:w="113" w:type="dxa"/>
              <w:bottom w:w="113" w:type="dxa"/>
              <w:right w:w="113" w:type="dxa"/>
            </w:tcMar>
            <w:hideMark/>
          </w:tcPr>
          <w:p w14:paraId="61003BF6" w14:textId="36757A58"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6109442D" w14:textId="0B44DE0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0.001992</w:t>
            </w:r>
          </w:p>
        </w:tc>
        <w:tc>
          <w:tcPr>
            <w:tcW w:w="2404" w:type="dxa"/>
            <w:tcMar>
              <w:top w:w="113" w:type="dxa"/>
              <w:left w:w="113" w:type="dxa"/>
              <w:bottom w:w="113" w:type="dxa"/>
              <w:right w:w="113" w:type="dxa"/>
            </w:tcMar>
            <w:hideMark/>
          </w:tcPr>
          <w:p w14:paraId="3B895D32" w14:textId="3BD23FC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0.001272 – 0.002712</w:t>
            </w:r>
          </w:p>
        </w:tc>
        <w:tc>
          <w:tcPr>
            <w:tcW w:w="1129" w:type="dxa"/>
            <w:tcMar>
              <w:top w:w="113" w:type="dxa"/>
              <w:left w:w="113" w:type="dxa"/>
              <w:bottom w:w="113" w:type="dxa"/>
              <w:right w:w="113" w:type="dxa"/>
            </w:tcMar>
            <w:hideMark/>
          </w:tcPr>
          <w:p w14:paraId="1FC921C1" w14:textId="1BDD240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300D8F66" w14:textId="77777777" w:rsidTr="00643F3A">
        <w:tc>
          <w:tcPr>
            <w:tcW w:w="4349" w:type="dxa"/>
            <w:tcMar>
              <w:top w:w="113" w:type="dxa"/>
              <w:left w:w="113" w:type="dxa"/>
              <w:bottom w:w="113" w:type="dxa"/>
              <w:right w:w="113" w:type="dxa"/>
            </w:tcMar>
            <w:hideMark/>
          </w:tcPr>
          <w:p w14:paraId="3B9C5691" w14:textId="4ECD8A2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77B1CAA6" w14:textId="27E7C1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0.001288</w:t>
            </w:r>
          </w:p>
        </w:tc>
        <w:tc>
          <w:tcPr>
            <w:tcW w:w="2404" w:type="dxa"/>
            <w:tcMar>
              <w:top w:w="113" w:type="dxa"/>
              <w:left w:w="113" w:type="dxa"/>
              <w:bottom w:w="113" w:type="dxa"/>
              <w:right w:w="113" w:type="dxa"/>
            </w:tcMar>
            <w:hideMark/>
          </w:tcPr>
          <w:p w14:paraId="7AB82834" w14:textId="47CAE91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0.000502 – 0.002073</w:t>
            </w:r>
          </w:p>
        </w:tc>
        <w:tc>
          <w:tcPr>
            <w:tcW w:w="1129" w:type="dxa"/>
            <w:tcMar>
              <w:top w:w="113" w:type="dxa"/>
              <w:left w:w="113" w:type="dxa"/>
              <w:bottom w:w="113" w:type="dxa"/>
              <w:right w:w="113" w:type="dxa"/>
            </w:tcMar>
            <w:hideMark/>
          </w:tcPr>
          <w:p w14:paraId="05EB544C" w14:textId="3E1F1E9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266752" w:rsidRPr="00EA542E" w14:paraId="403B9366" w14:textId="77777777" w:rsidTr="00643F3A">
        <w:tc>
          <w:tcPr>
            <w:tcW w:w="4349" w:type="dxa"/>
            <w:tcBorders>
              <w:top w:val="single" w:sz="6" w:space="0" w:color="auto"/>
            </w:tcBorders>
            <w:tcMar>
              <w:top w:w="57" w:type="dxa"/>
              <w:left w:w="113" w:type="dxa"/>
              <w:bottom w:w="57" w:type="dxa"/>
              <w:right w:w="113" w:type="dxa"/>
            </w:tcMar>
            <w:hideMark/>
          </w:tcPr>
          <w:p w14:paraId="134300D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700" w:type="dxa"/>
            <w:gridSpan w:val="3"/>
            <w:tcBorders>
              <w:top w:val="single" w:sz="6" w:space="0" w:color="auto"/>
            </w:tcBorders>
            <w:tcMar>
              <w:top w:w="57" w:type="dxa"/>
              <w:left w:w="113" w:type="dxa"/>
              <w:bottom w:w="57" w:type="dxa"/>
              <w:right w:w="113" w:type="dxa"/>
            </w:tcMar>
            <w:hideMark/>
          </w:tcPr>
          <w:p w14:paraId="0C840835"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04F1F54D" w14:textId="77777777" w:rsidTr="00643F3A">
        <w:tc>
          <w:tcPr>
            <w:tcW w:w="4349" w:type="dxa"/>
            <w:tcMar>
              <w:top w:w="57" w:type="dxa"/>
              <w:left w:w="113" w:type="dxa"/>
              <w:bottom w:w="57" w:type="dxa"/>
              <w:right w:w="113" w:type="dxa"/>
            </w:tcMar>
            <w:hideMark/>
          </w:tcPr>
          <w:p w14:paraId="4892881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700" w:type="dxa"/>
            <w:gridSpan w:val="3"/>
            <w:tcMar>
              <w:top w:w="57" w:type="dxa"/>
              <w:left w:w="113" w:type="dxa"/>
              <w:bottom w:w="57" w:type="dxa"/>
              <w:right w:w="113" w:type="dxa"/>
            </w:tcMar>
            <w:hideMark/>
          </w:tcPr>
          <w:p w14:paraId="387BEAF8" w14:textId="3E05A00B"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0.42</w:t>
            </w:r>
            <w:r w:rsidR="00EA542E">
              <w:rPr>
                <w:rFonts w:ascii="Times New Roman" w:eastAsia="Times New Roman" w:hAnsi="Times New Roman" w:cs="Times New Roman"/>
                <w:lang w:eastAsia="de-DE"/>
              </w:rPr>
              <w:t>5</w:t>
            </w:r>
          </w:p>
        </w:tc>
      </w:tr>
    </w:tbl>
    <w:p w14:paraId="630197AF" w14:textId="77777777" w:rsidR="00266752" w:rsidRPr="005076A2" w:rsidRDefault="00266752" w:rsidP="005076A2">
      <w:pPr>
        <w:rPr>
          <w:rFonts w:ascii="Times New Roman" w:hAnsi="Times New Roman" w:cs="Times New Roman"/>
          <w:b/>
          <w:sz w:val="24"/>
          <w:szCs w:val="24"/>
        </w:rPr>
      </w:pPr>
    </w:p>
    <w:p w14:paraId="5321CAB5" w14:textId="77777777" w:rsidR="00266752" w:rsidRPr="00266752" w:rsidRDefault="00266752">
      <w:pPr>
        <w:rPr>
          <w:rFonts w:ascii="Times New Roman" w:hAnsi="Times New Roman" w:cs="Times New Roman"/>
          <w:b/>
          <w:sz w:val="24"/>
          <w:szCs w:val="24"/>
          <w:lang w:val="en-US"/>
        </w:rPr>
      </w:pPr>
      <w:r w:rsidRPr="00266752">
        <w:rPr>
          <w:rFonts w:ascii="Times New Roman" w:hAnsi="Times New Roman" w:cs="Times New Roman"/>
          <w:b/>
          <w:sz w:val="24"/>
          <w:szCs w:val="24"/>
          <w:lang w:val="en-US"/>
        </w:rPr>
        <w:br w:type="page"/>
      </w:r>
    </w:p>
    <w:p w14:paraId="00BF5FA5" w14:textId="6EB7B3B0"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rPr>
        <w:lastRenderedPageBreak/>
        <w:t>6p.</w:t>
      </w:r>
      <w:r>
        <w:rPr>
          <w:rFonts w:ascii="Times New Roman" w:hAnsi="Times New Roman" w:cs="Times New Roman"/>
          <w:b/>
          <w:sz w:val="24"/>
          <w:szCs w:val="24"/>
        </w:rPr>
        <w:t xml:space="preserve">  </w:t>
      </w:r>
      <w:r w:rsidRPr="005076A2">
        <w:rPr>
          <w:rFonts w:ascii="Times New Roman" w:hAnsi="Times New Roman" w:cs="Times New Roman"/>
          <w:b/>
          <w:sz w:val="24"/>
          <w:szCs w:val="24"/>
          <w:lang w:val="en-US"/>
        </w:rPr>
        <w:t>Vanadium.</w:t>
      </w:r>
    </w:p>
    <w:tbl>
      <w:tblPr>
        <w:tblW w:w="0" w:type="auto"/>
        <w:tblCellMar>
          <w:top w:w="15" w:type="dxa"/>
          <w:left w:w="15" w:type="dxa"/>
          <w:bottom w:w="15" w:type="dxa"/>
          <w:right w:w="15" w:type="dxa"/>
        </w:tblCellMar>
        <w:tblLook w:val="04A0" w:firstRow="1" w:lastRow="0" w:firstColumn="1" w:lastColumn="0" w:noHBand="0" w:noVBand="1"/>
      </w:tblPr>
      <w:tblGrid>
        <w:gridCol w:w="4140"/>
        <w:gridCol w:w="1170"/>
        <w:gridCol w:w="2973"/>
        <w:gridCol w:w="766"/>
      </w:tblGrid>
      <w:tr w:rsidR="00266752" w:rsidRPr="00EA542E" w14:paraId="3B25FEA4" w14:textId="77777777" w:rsidTr="00632F01">
        <w:tc>
          <w:tcPr>
            <w:tcW w:w="4140" w:type="dxa"/>
            <w:tcBorders>
              <w:top w:val="double" w:sz="6" w:space="0" w:color="auto"/>
            </w:tcBorders>
            <w:tcMar>
              <w:top w:w="113" w:type="dxa"/>
              <w:left w:w="113" w:type="dxa"/>
              <w:bottom w:w="113" w:type="dxa"/>
              <w:right w:w="113" w:type="dxa"/>
            </w:tcMar>
            <w:vAlign w:val="center"/>
            <w:hideMark/>
          </w:tcPr>
          <w:p w14:paraId="4FF224DE"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177D40A7" w14:textId="3E814C86"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Vanadium</w:t>
            </w:r>
          </w:p>
        </w:tc>
      </w:tr>
      <w:tr w:rsidR="00266752" w:rsidRPr="00EA542E" w14:paraId="655563A5" w14:textId="77777777" w:rsidTr="00632F01">
        <w:tc>
          <w:tcPr>
            <w:tcW w:w="4140" w:type="dxa"/>
            <w:tcBorders>
              <w:bottom w:val="single" w:sz="6" w:space="0" w:color="auto"/>
            </w:tcBorders>
            <w:vAlign w:val="center"/>
            <w:hideMark/>
          </w:tcPr>
          <w:p w14:paraId="3BA6A75B"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170" w:type="dxa"/>
            <w:tcBorders>
              <w:bottom w:val="single" w:sz="6" w:space="0" w:color="auto"/>
            </w:tcBorders>
            <w:vAlign w:val="center"/>
            <w:hideMark/>
          </w:tcPr>
          <w:p w14:paraId="036F165E"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973" w:type="dxa"/>
            <w:tcBorders>
              <w:bottom w:val="single" w:sz="6" w:space="0" w:color="auto"/>
            </w:tcBorders>
            <w:vAlign w:val="center"/>
            <w:hideMark/>
          </w:tcPr>
          <w:p w14:paraId="57B9D27D"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0ECCE40C"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54A8DF61" w14:textId="77777777" w:rsidTr="00632F01">
        <w:tc>
          <w:tcPr>
            <w:tcW w:w="4140" w:type="dxa"/>
            <w:tcMar>
              <w:top w:w="113" w:type="dxa"/>
              <w:left w:w="113" w:type="dxa"/>
              <w:bottom w:w="113" w:type="dxa"/>
              <w:right w:w="113" w:type="dxa"/>
            </w:tcMar>
            <w:hideMark/>
          </w:tcPr>
          <w:p w14:paraId="17DC8F21" w14:textId="643316C4"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170" w:type="dxa"/>
            <w:tcMar>
              <w:top w:w="113" w:type="dxa"/>
              <w:left w:w="113" w:type="dxa"/>
              <w:bottom w:w="113" w:type="dxa"/>
              <w:right w:w="113" w:type="dxa"/>
            </w:tcMar>
            <w:hideMark/>
          </w:tcPr>
          <w:p w14:paraId="036BA4D5" w14:textId="2B8B834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-0.003653</w:t>
            </w:r>
          </w:p>
        </w:tc>
        <w:tc>
          <w:tcPr>
            <w:tcW w:w="2973" w:type="dxa"/>
            <w:tcMar>
              <w:top w:w="113" w:type="dxa"/>
              <w:left w:w="113" w:type="dxa"/>
              <w:bottom w:w="113" w:type="dxa"/>
              <w:right w:w="113" w:type="dxa"/>
            </w:tcMar>
            <w:hideMark/>
          </w:tcPr>
          <w:p w14:paraId="539F2990" w14:textId="6852143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-0.008322 – 0.001016</w:t>
            </w:r>
          </w:p>
        </w:tc>
        <w:tc>
          <w:tcPr>
            <w:tcW w:w="0" w:type="auto"/>
            <w:tcMar>
              <w:top w:w="113" w:type="dxa"/>
              <w:left w:w="113" w:type="dxa"/>
              <w:bottom w:w="113" w:type="dxa"/>
              <w:right w:w="113" w:type="dxa"/>
            </w:tcMar>
            <w:hideMark/>
          </w:tcPr>
          <w:p w14:paraId="1C0A5D45" w14:textId="7F1C687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0.126</w:t>
            </w:r>
          </w:p>
        </w:tc>
      </w:tr>
      <w:tr w:rsidR="00EA542E" w:rsidRPr="00EA542E" w14:paraId="69DF95CB" w14:textId="77777777" w:rsidTr="00632F01">
        <w:tc>
          <w:tcPr>
            <w:tcW w:w="4140" w:type="dxa"/>
            <w:tcMar>
              <w:top w:w="113" w:type="dxa"/>
              <w:left w:w="113" w:type="dxa"/>
              <w:bottom w:w="113" w:type="dxa"/>
              <w:right w:w="113" w:type="dxa"/>
            </w:tcMar>
            <w:hideMark/>
          </w:tcPr>
          <w:p w14:paraId="6D8E78BB" w14:textId="7F78B8C9"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170" w:type="dxa"/>
            <w:tcMar>
              <w:top w:w="113" w:type="dxa"/>
              <w:left w:w="113" w:type="dxa"/>
              <w:bottom w:w="113" w:type="dxa"/>
              <w:right w:w="113" w:type="dxa"/>
            </w:tcMar>
            <w:hideMark/>
          </w:tcPr>
          <w:p w14:paraId="0DBA9EBD" w14:textId="77917E7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0.000158</w:t>
            </w:r>
          </w:p>
        </w:tc>
        <w:tc>
          <w:tcPr>
            <w:tcW w:w="2973" w:type="dxa"/>
            <w:tcMar>
              <w:top w:w="113" w:type="dxa"/>
              <w:left w:w="113" w:type="dxa"/>
              <w:bottom w:w="113" w:type="dxa"/>
              <w:right w:w="113" w:type="dxa"/>
            </w:tcMar>
            <w:hideMark/>
          </w:tcPr>
          <w:p w14:paraId="4B68756D" w14:textId="32BB1B7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0.000035 – 0.000281</w:t>
            </w:r>
          </w:p>
        </w:tc>
        <w:tc>
          <w:tcPr>
            <w:tcW w:w="0" w:type="auto"/>
            <w:tcMar>
              <w:top w:w="113" w:type="dxa"/>
              <w:left w:w="113" w:type="dxa"/>
              <w:bottom w:w="113" w:type="dxa"/>
              <w:right w:w="113" w:type="dxa"/>
            </w:tcMar>
            <w:hideMark/>
          </w:tcPr>
          <w:p w14:paraId="016DBC5B" w14:textId="395E065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0.013</w:t>
            </w:r>
          </w:p>
        </w:tc>
      </w:tr>
      <w:tr w:rsidR="00EA542E" w:rsidRPr="00EA542E" w14:paraId="43938AC4" w14:textId="77777777" w:rsidTr="00632F01">
        <w:tc>
          <w:tcPr>
            <w:tcW w:w="4140" w:type="dxa"/>
            <w:tcMar>
              <w:top w:w="113" w:type="dxa"/>
              <w:left w:w="113" w:type="dxa"/>
              <w:bottom w:w="113" w:type="dxa"/>
              <w:right w:w="113" w:type="dxa"/>
            </w:tcMar>
            <w:hideMark/>
          </w:tcPr>
          <w:p w14:paraId="4182896E" w14:textId="4B3516A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170" w:type="dxa"/>
            <w:tcMar>
              <w:top w:w="113" w:type="dxa"/>
              <w:left w:w="113" w:type="dxa"/>
              <w:bottom w:w="113" w:type="dxa"/>
              <w:right w:w="113" w:type="dxa"/>
            </w:tcMar>
            <w:hideMark/>
          </w:tcPr>
          <w:p w14:paraId="47DF097E" w14:textId="20CFDB9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0.003966</w:t>
            </w:r>
          </w:p>
        </w:tc>
        <w:tc>
          <w:tcPr>
            <w:tcW w:w="2973" w:type="dxa"/>
            <w:tcMar>
              <w:top w:w="113" w:type="dxa"/>
              <w:left w:w="113" w:type="dxa"/>
              <w:bottom w:w="113" w:type="dxa"/>
              <w:right w:w="113" w:type="dxa"/>
            </w:tcMar>
            <w:hideMark/>
          </w:tcPr>
          <w:p w14:paraId="527BFA05" w14:textId="605AC38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-0.000750 – 0.008681</w:t>
            </w:r>
          </w:p>
        </w:tc>
        <w:tc>
          <w:tcPr>
            <w:tcW w:w="0" w:type="auto"/>
            <w:tcMar>
              <w:top w:w="113" w:type="dxa"/>
              <w:left w:w="113" w:type="dxa"/>
              <w:bottom w:w="113" w:type="dxa"/>
              <w:right w:w="113" w:type="dxa"/>
            </w:tcMar>
            <w:hideMark/>
          </w:tcPr>
          <w:p w14:paraId="79336416" w14:textId="6522A25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0.100</w:t>
            </w:r>
          </w:p>
        </w:tc>
      </w:tr>
      <w:tr w:rsidR="00EA542E" w:rsidRPr="00EA542E" w14:paraId="0F0A136D" w14:textId="77777777" w:rsidTr="00632F01">
        <w:tc>
          <w:tcPr>
            <w:tcW w:w="4140" w:type="dxa"/>
            <w:tcMar>
              <w:top w:w="113" w:type="dxa"/>
              <w:left w:w="113" w:type="dxa"/>
              <w:bottom w:w="113" w:type="dxa"/>
              <w:right w:w="113" w:type="dxa"/>
            </w:tcMar>
            <w:hideMark/>
          </w:tcPr>
          <w:p w14:paraId="0E3F54E7" w14:textId="21A9CE5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170" w:type="dxa"/>
            <w:tcMar>
              <w:top w:w="113" w:type="dxa"/>
              <w:left w:w="113" w:type="dxa"/>
              <w:bottom w:w="113" w:type="dxa"/>
              <w:right w:w="113" w:type="dxa"/>
            </w:tcMar>
            <w:hideMark/>
          </w:tcPr>
          <w:p w14:paraId="2EA8D146" w14:textId="0F87507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0.004938</w:t>
            </w:r>
          </w:p>
        </w:tc>
        <w:tc>
          <w:tcPr>
            <w:tcW w:w="2973" w:type="dxa"/>
            <w:tcMar>
              <w:top w:w="113" w:type="dxa"/>
              <w:left w:w="113" w:type="dxa"/>
              <w:bottom w:w="113" w:type="dxa"/>
              <w:right w:w="113" w:type="dxa"/>
            </w:tcMar>
            <w:hideMark/>
          </w:tcPr>
          <w:p w14:paraId="1D713C7B" w14:textId="4C994EE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0.000285 – 0.009592</w:t>
            </w:r>
          </w:p>
        </w:tc>
        <w:tc>
          <w:tcPr>
            <w:tcW w:w="0" w:type="auto"/>
            <w:tcMar>
              <w:top w:w="113" w:type="dxa"/>
              <w:left w:w="113" w:type="dxa"/>
              <w:bottom w:w="113" w:type="dxa"/>
              <w:right w:w="113" w:type="dxa"/>
            </w:tcMar>
            <w:hideMark/>
          </w:tcPr>
          <w:p w14:paraId="1C29EA31" w14:textId="0515ED1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0.039</w:t>
            </w:r>
          </w:p>
        </w:tc>
      </w:tr>
      <w:tr w:rsidR="00EA542E" w:rsidRPr="00EA542E" w14:paraId="696DD210" w14:textId="77777777" w:rsidTr="00632F01">
        <w:tc>
          <w:tcPr>
            <w:tcW w:w="4140" w:type="dxa"/>
            <w:tcMar>
              <w:top w:w="113" w:type="dxa"/>
              <w:left w:w="113" w:type="dxa"/>
              <w:bottom w:w="113" w:type="dxa"/>
              <w:right w:w="113" w:type="dxa"/>
            </w:tcMar>
            <w:hideMark/>
          </w:tcPr>
          <w:p w14:paraId="1097E3DD" w14:textId="134C5B1E"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170" w:type="dxa"/>
            <w:tcMar>
              <w:top w:w="113" w:type="dxa"/>
              <w:left w:w="113" w:type="dxa"/>
              <w:bottom w:w="113" w:type="dxa"/>
              <w:right w:w="113" w:type="dxa"/>
            </w:tcMar>
            <w:hideMark/>
          </w:tcPr>
          <w:p w14:paraId="2E0D4FA8" w14:textId="41E1331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0.007790</w:t>
            </w:r>
          </w:p>
        </w:tc>
        <w:tc>
          <w:tcPr>
            <w:tcW w:w="2973" w:type="dxa"/>
            <w:tcMar>
              <w:top w:w="113" w:type="dxa"/>
              <w:left w:w="113" w:type="dxa"/>
              <w:bottom w:w="113" w:type="dxa"/>
              <w:right w:w="113" w:type="dxa"/>
            </w:tcMar>
            <w:hideMark/>
          </w:tcPr>
          <w:p w14:paraId="4FB5A69D" w14:textId="5597656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0.002414 – 0.013167</w:t>
            </w:r>
          </w:p>
        </w:tc>
        <w:tc>
          <w:tcPr>
            <w:tcW w:w="0" w:type="auto"/>
            <w:tcMar>
              <w:top w:w="113" w:type="dxa"/>
              <w:left w:w="113" w:type="dxa"/>
              <w:bottom w:w="113" w:type="dxa"/>
              <w:right w:w="113" w:type="dxa"/>
            </w:tcMar>
            <w:hideMark/>
          </w:tcPr>
          <w:p w14:paraId="06C5B2ED" w14:textId="1E2C79D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43F7A476" w14:textId="77777777" w:rsidTr="00632F01">
        <w:tc>
          <w:tcPr>
            <w:tcW w:w="4140" w:type="dxa"/>
            <w:tcMar>
              <w:top w:w="113" w:type="dxa"/>
              <w:left w:w="113" w:type="dxa"/>
              <w:bottom w:w="113" w:type="dxa"/>
              <w:right w:w="113" w:type="dxa"/>
            </w:tcMar>
            <w:hideMark/>
          </w:tcPr>
          <w:p w14:paraId="352090D8" w14:textId="3F9E0B0E"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170" w:type="dxa"/>
            <w:tcMar>
              <w:top w:w="113" w:type="dxa"/>
              <w:left w:w="113" w:type="dxa"/>
              <w:bottom w:w="113" w:type="dxa"/>
              <w:right w:w="113" w:type="dxa"/>
            </w:tcMar>
            <w:hideMark/>
          </w:tcPr>
          <w:p w14:paraId="3D6190ED" w14:textId="7B8C5E9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0.003605</w:t>
            </w:r>
          </w:p>
        </w:tc>
        <w:tc>
          <w:tcPr>
            <w:tcW w:w="2973" w:type="dxa"/>
            <w:tcMar>
              <w:top w:w="113" w:type="dxa"/>
              <w:left w:w="113" w:type="dxa"/>
              <w:bottom w:w="113" w:type="dxa"/>
              <w:right w:w="113" w:type="dxa"/>
            </w:tcMar>
            <w:hideMark/>
          </w:tcPr>
          <w:p w14:paraId="6301A17F" w14:textId="0CC9086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-0.001883 – 0.009093</w:t>
            </w:r>
          </w:p>
        </w:tc>
        <w:tc>
          <w:tcPr>
            <w:tcW w:w="0" w:type="auto"/>
            <w:tcMar>
              <w:top w:w="113" w:type="dxa"/>
              <w:left w:w="113" w:type="dxa"/>
              <w:bottom w:w="113" w:type="dxa"/>
              <w:right w:w="113" w:type="dxa"/>
            </w:tcMar>
            <w:hideMark/>
          </w:tcPr>
          <w:p w14:paraId="509D7754" w14:textId="05EC442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0.199</w:t>
            </w:r>
          </w:p>
        </w:tc>
      </w:tr>
      <w:tr w:rsidR="00EA542E" w:rsidRPr="00EA542E" w14:paraId="399660EF" w14:textId="77777777" w:rsidTr="00632F01">
        <w:tc>
          <w:tcPr>
            <w:tcW w:w="4140" w:type="dxa"/>
            <w:tcMar>
              <w:top w:w="113" w:type="dxa"/>
              <w:left w:w="113" w:type="dxa"/>
              <w:bottom w:w="113" w:type="dxa"/>
              <w:right w:w="113" w:type="dxa"/>
            </w:tcMar>
            <w:hideMark/>
          </w:tcPr>
          <w:p w14:paraId="0E6D1FA2" w14:textId="209C271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170" w:type="dxa"/>
            <w:tcMar>
              <w:top w:w="113" w:type="dxa"/>
              <w:left w:w="113" w:type="dxa"/>
              <w:bottom w:w="113" w:type="dxa"/>
              <w:right w:w="113" w:type="dxa"/>
            </w:tcMar>
            <w:hideMark/>
          </w:tcPr>
          <w:p w14:paraId="0B633863" w14:textId="2B6074A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0.003772</w:t>
            </w:r>
          </w:p>
        </w:tc>
        <w:tc>
          <w:tcPr>
            <w:tcW w:w="2973" w:type="dxa"/>
            <w:tcMar>
              <w:top w:w="113" w:type="dxa"/>
              <w:left w:w="113" w:type="dxa"/>
              <w:bottom w:w="113" w:type="dxa"/>
              <w:right w:w="113" w:type="dxa"/>
            </w:tcMar>
            <w:hideMark/>
          </w:tcPr>
          <w:p w14:paraId="7876D9B8" w14:textId="4C6998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-0.000941 – 0.008485</w:t>
            </w:r>
          </w:p>
        </w:tc>
        <w:tc>
          <w:tcPr>
            <w:tcW w:w="0" w:type="auto"/>
            <w:tcMar>
              <w:top w:w="113" w:type="dxa"/>
              <w:left w:w="113" w:type="dxa"/>
              <w:bottom w:w="113" w:type="dxa"/>
              <w:right w:w="113" w:type="dxa"/>
            </w:tcMar>
            <w:hideMark/>
          </w:tcPr>
          <w:p w14:paraId="028B6B0C" w14:textId="3A90E8D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0.118</w:t>
            </w:r>
          </w:p>
        </w:tc>
      </w:tr>
      <w:tr w:rsidR="00EA542E" w:rsidRPr="00EA542E" w14:paraId="465E68C1" w14:textId="77777777" w:rsidTr="00632F01">
        <w:tc>
          <w:tcPr>
            <w:tcW w:w="4140" w:type="dxa"/>
            <w:tcMar>
              <w:top w:w="113" w:type="dxa"/>
              <w:left w:w="113" w:type="dxa"/>
              <w:bottom w:w="113" w:type="dxa"/>
              <w:right w:w="113" w:type="dxa"/>
            </w:tcMar>
            <w:hideMark/>
          </w:tcPr>
          <w:p w14:paraId="591185CB" w14:textId="3AA01B0E"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170" w:type="dxa"/>
            <w:tcMar>
              <w:top w:w="113" w:type="dxa"/>
              <w:left w:w="113" w:type="dxa"/>
              <w:bottom w:w="113" w:type="dxa"/>
              <w:right w:w="113" w:type="dxa"/>
            </w:tcMar>
            <w:hideMark/>
          </w:tcPr>
          <w:p w14:paraId="1046ACD8" w14:textId="5D6EF41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026183C2" w14:textId="521BBA9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0.000000</w:t>
            </w:r>
          </w:p>
        </w:tc>
        <w:tc>
          <w:tcPr>
            <w:tcW w:w="0" w:type="auto"/>
            <w:tcMar>
              <w:top w:w="113" w:type="dxa"/>
              <w:left w:w="113" w:type="dxa"/>
              <w:bottom w:w="113" w:type="dxa"/>
              <w:right w:w="113" w:type="dxa"/>
            </w:tcMar>
            <w:hideMark/>
          </w:tcPr>
          <w:p w14:paraId="7208602C" w14:textId="1FE560F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0.831</w:t>
            </w:r>
          </w:p>
        </w:tc>
      </w:tr>
      <w:tr w:rsidR="00EA542E" w:rsidRPr="00EA542E" w14:paraId="744CE8FF" w14:textId="77777777" w:rsidTr="00632F01">
        <w:tc>
          <w:tcPr>
            <w:tcW w:w="4140" w:type="dxa"/>
            <w:tcMar>
              <w:top w:w="113" w:type="dxa"/>
              <w:left w:w="113" w:type="dxa"/>
              <w:bottom w:w="113" w:type="dxa"/>
              <w:right w:w="113" w:type="dxa"/>
            </w:tcMar>
            <w:hideMark/>
          </w:tcPr>
          <w:p w14:paraId="2EE58CC1" w14:textId="6D3CD02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170" w:type="dxa"/>
            <w:tcMar>
              <w:top w:w="113" w:type="dxa"/>
              <w:left w:w="113" w:type="dxa"/>
              <w:bottom w:w="113" w:type="dxa"/>
              <w:right w:w="113" w:type="dxa"/>
            </w:tcMar>
            <w:hideMark/>
          </w:tcPr>
          <w:p w14:paraId="37559D62" w14:textId="0682459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-0.000159</w:t>
            </w:r>
          </w:p>
        </w:tc>
        <w:tc>
          <w:tcPr>
            <w:tcW w:w="2973" w:type="dxa"/>
            <w:tcMar>
              <w:top w:w="113" w:type="dxa"/>
              <w:left w:w="113" w:type="dxa"/>
              <w:bottom w:w="113" w:type="dxa"/>
              <w:right w:w="113" w:type="dxa"/>
            </w:tcMar>
            <w:hideMark/>
          </w:tcPr>
          <w:p w14:paraId="6A838733" w14:textId="63E05A0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-0.001137 – 0.000819</w:t>
            </w:r>
          </w:p>
        </w:tc>
        <w:tc>
          <w:tcPr>
            <w:tcW w:w="0" w:type="auto"/>
            <w:tcMar>
              <w:top w:w="113" w:type="dxa"/>
              <w:left w:w="113" w:type="dxa"/>
              <w:bottom w:w="113" w:type="dxa"/>
              <w:right w:w="113" w:type="dxa"/>
            </w:tcMar>
            <w:hideMark/>
          </w:tcPr>
          <w:p w14:paraId="52E69E1F" w14:textId="5B81C58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0.751</w:t>
            </w:r>
          </w:p>
        </w:tc>
      </w:tr>
      <w:tr w:rsidR="00EA542E" w:rsidRPr="00EA542E" w14:paraId="0DD55D9E" w14:textId="77777777" w:rsidTr="00632F01">
        <w:tc>
          <w:tcPr>
            <w:tcW w:w="4140" w:type="dxa"/>
            <w:tcMar>
              <w:top w:w="113" w:type="dxa"/>
              <w:left w:w="113" w:type="dxa"/>
              <w:bottom w:w="113" w:type="dxa"/>
              <w:right w:w="113" w:type="dxa"/>
            </w:tcMar>
            <w:hideMark/>
          </w:tcPr>
          <w:p w14:paraId="45936164" w14:textId="2B4AB67B"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170" w:type="dxa"/>
            <w:tcMar>
              <w:top w:w="113" w:type="dxa"/>
              <w:left w:w="113" w:type="dxa"/>
              <w:bottom w:w="113" w:type="dxa"/>
              <w:right w:w="113" w:type="dxa"/>
            </w:tcMar>
            <w:hideMark/>
          </w:tcPr>
          <w:p w14:paraId="420C22C1" w14:textId="5BCDF2E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0.000866</w:t>
            </w:r>
          </w:p>
        </w:tc>
        <w:tc>
          <w:tcPr>
            <w:tcW w:w="2973" w:type="dxa"/>
            <w:tcMar>
              <w:top w:w="113" w:type="dxa"/>
              <w:left w:w="113" w:type="dxa"/>
              <w:bottom w:w="113" w:type="dxa"/>
              <w:right w:w="113" w:type="dxa"/>
            </w:tcMar>
            <w:hideMark/>
          </w:tcPr>
          <w:p w14:paraId="669E0F64" w14:textId="4FE6505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-0.002545 – 0.004277</w:t>
            </w:r>
          </w:p>
        </w:tc>
        <w:tc>
          <w:tcPr>
            <w:tcW w:w="0" w:type="auto"/>
            <w:tcMar>
              <w:top w:w="113" w:type="dxa"/>
              <w:left w:w="113" w:type="dxa"/>
              <w:bottom w:w="113" w:type="dxa"/>
              <w:right w:w="113" w:type="dxa"/>
            </w:tcMar>
            <w:hideMark/>
          </w:tcPr>
          <w:p w14:paraId="58C161E4" w14:textId="2DAF225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0.619</w:t>
            </w:r>
          </w:p>
        </w:tc>
      </w:tr>
      <w:tr w:rsidR="00EA542E" w:rsidRPr="00EA542E" w14:paraId="523CD06A" w14:textId="77777777" w:rsidTr="00632F01">
        <w:tc>
          <w:tcPr>
            <w:tcW w:w="4140" w:type="dxa"/>
            <w:tcMar>
              <w:top w:w="113" w:type="dxa"/>
              <w:left w:w="113" w:type="dxa"/>
              <w:bottom w:w="113" w:type="dxa"/>
              <w:right w:w="113" w:type="dxa"/>
            </w:tcMar>
            <w:hideMark/>
          </w:tcPr>
          <w:p w14:paraId="4D753E8E" w14:textId="62219DD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170" w:type="dxa"/>
            <w:tcMar>
              <w:top w:w="113" w:type="dxa"/>
              <w:left w:w="113" w:type="dxa"/>
              <w:bottom w:w="113" w:type="dxa"/>
              <w:right w:w="113" w:type="dxa"/>
            </w:tcMar>
            <w:hideMark/>
          </w:tcPr>
          <w:p w14:paraId="25EDA45B" w14:textId="275EF01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28C6F793" w14:textId="67D22C1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0.000000</w:t>
            </w:r>
          </w:p>
        </w:tc>
        <w:tc>
          <w:tcPr>
            <w:tcW w:w="0" w:type="auto"/>
            <w:tcMar>
              <w:top w:w="113" w:type="dxa"/>
              <w:left w:w="113" w:type="dxa"/>
              <w:bottom w:w="113" w:type="dxa"/>
              <w:right w:w="113" w:type="dxa"/>
            </w:tcMar>
            <w:hideMark/>
          </w:tcPr>
          <w:p w14:paraId="741484F0" w14:textId="471CEB5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0.210</w:t>
            </w:r>
          </w:p>
        </w:tc>
      </w:tr>
      <w:tr w:rsidR="00EA542E" w:rsidRPr="00EA542E" w14:paraId="58DC89EE" w14:textId="77777777" w:rsidTr="00632F01">
        <w:tc>
          <w:tcPr>
            <w:tcW w:w="4140" w:type="dxa"/>
            <w:tcMar>
              <w:top w:w="113" w:type="dxa"/>
              <w:left w:w="113" w:type="dxa"/>
              <w:bottom w:w="113" w:type="dxa"/>
              <w:right w:w="113" w:type="dxa"/>
            </w:tcMar>
            <w:hideMark/>
          </w:tcPr>
          <w:p w14:paraId="02145BA3" w14:textId="183158C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170" w:type="dxa"/>
            <w:tcMar>
              <w:top w:w="113" w:type="dxa"/>
              <w:left w:w="113" w:type="dxa"/>
              <w:bottom w:w="113" w:type="dxa"/>
              <w:right w:w="113" w:type="dxa"/>
            </w:tcMar>
            <w:hideMark/>
          </w:tcPr>
          <w:p w14:paraId="620C299F" w14:textId="427896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07A59574" w14:textId="1CC95E0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0.000000</w:t>
            </w:r>
          </w:p>
        </w:tc>
        <w:tc>
          <w:tcPr>
            <w:tcW w:w="0" w:type="auto"/>
            <w:tcMar>
              <w:top w:w="113" w:type="dxa"/>
              <w:left w:w="113" w:type="dxa"/>
              <w:bottom w:w="113" w:type="dxa"/>
              <w:right w:w="113" w:type="dxa"/>
            </w:tcMar>
            <w:hideMark/>
          </w:tcPr>
          <w:p w14:paraId="766341B4" w14:textId="7406D96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0.265</w:t>
            </w:r>
          </w:p>
        </w:tc>
      </w:tr>
      <w:tr w:rsidR="00EA542E" w:rsidRPr="00EA542E" w14:paraId="553D6325" w14:textId="77777777" w:rsidTr="00632F01">
        <w:tc>
          <w:tcPr>
            <w:tcW w:w="4140" w:type="dxa"/>
            <w:tcMar>
              <w:top w:w="113" w:type="dxa"/>
              <w:left w:w="113" w:type="dxa"/>
              <w:bottom w:w="113" w:type="dxa"/>
              <w:right w:w="113" w:type="dxa"/>
            </w:tcMar>
            <w:hideMark/>
          </w:tcPr>
          <w:p w14:paraId="1FA44CE6" w14:textId="08B09E0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170" w:type="dxa"/>
            <w:tcMar>
              <w:top w:w="113" w:type="dxa"/>
              <w:left w:w="113" w:type="dxa"/>
              <w:bottom w:w="113" w:type="dxa"/>
              <w:right w:w="113" w:type="dxa"/>
            </w:tcMar>
            <w:hideMark/>
          </w:tcPr>
          <w:p w14:paraId="7D26DA6F" w14:textId="4C20DA5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0.000556</w:t>
            </w:r>
          </w:p>
        </w:tc>
        <w:tc>
          <w:tcPr>
            <w:tcW w:w="2973" w:type="dxa"/>
            <w:tcMar>
              <w:top w:w="113" w:type="dxa"/>
              <w:left w:w="113" w:type="dxa"/>
              <w:bottom w:w="113" w:type="dxa"/>
              <w:right w:w="113" w:type="dxa"/>
            </w:tcMar>
            <w:hideMark/>
          </w:tcPr>
          <w:p w14:paraId="5696CE15" w14:textId="1CC0404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0.000207 – 0.000906</w:t>
            </w:r>
          </w:p>
        </w:tc>
        <w:tc>
          <w:tcPr>
            <w:tcW w:w="0" w:type="auto"/>
            <w:tcMar>
              <w:top w:w="113" w:type="dxa"/>
              <w:left w:w="113" w:type="dxa"/>
              <w:bottom w:w="113" w:type="dxa"/>
              <w:right w:w="113" w:type="dxa"/>
            </w:tcMar>
            <w:hideMark/>
          </w:tcPr>
          <w:p w14:paraId="726CDBE9" w14:textId="3CBC5F4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635EE40" w14:textId="77777777" w:rsidTr="00632F01">
        <w:tc>
          <w:tcPr>
            <w:tcW w:w="4140" w:type="dxa"/>
            <w:tcMar>
              <w:top w:w="113" w:type="dxa"/>
              <w:left w:w="113" w:type="dxa"/>
              <w:bottom w:w="113" w:type="dxa"/>
              <w:right w:w="113" w:type="dxa"/>
            </w:tcMar>
            <w:hideMark/>
          </w:tcPr>
          <w:p w14:paraId="2F1152B1" w14:textId="511B4A5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170" w:type="dxa"/>
            <w:tcMar>
              <w:top w:w="113" w:type="dxa"/>
              <w:left w:w="113" w:type="dxa"/>
              <w:bottom w:w="113" w:type="dxa"/>
              <w:right w:w="113" w:type="dxa"/>
            </w:tcMar>
            <w:hideMark/>
          </w:tcPr>
          <w:p w14:paraId="469E1862" w14:textId="2832FBF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0.000082</w:t>
            </w:r>
          </w:p>
        </w:tc>
        <w:tc>
          <w:tcPr>
            <w:tcW w:w="2973" w:type="dxa"/>
            <w:tcMar>
              <w:top w:w="113" w:type="dxa"/>
              <w:left w:w="113" w:type="dxa"/>
              <w:bottom w:w="113" w:type="dxa"/>
              <w:right w:w="113" w:type="dxa"/>
            </w:tcMar>
            <w:hideMark/>
          </w:tcPr>
          <w:p w14:paraId="3A1A3767" w14:textId="4581AAC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-0.000233 – 0.000397</w:t>
            </w:r>
          </w:p>
        </w:tc>
        <w:tc>
          <w:tcPr>
            <w:tcW w:w="0" w:type="auto"/>
            <w:tcMar>
              <w:top w:w="113" w:type="dxa"/>
              <w:left w:w="113" w:type="dxa"/>
              <w:bottom w:w="113" w:type="dxa"/>
              <w:right w:w="113" w:type="dxa"/>
            </w:tcMar>
            <w:hideMark/>
          </w:tcPr>
          <w:p w14:paraId="1ACC2F0E" w14:textId="6333EF4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0.610</w:t>
            </w:r>
          </w:p>
        </w:tc>
      </w:tr>
      <w:tr w:rsidR="00EA542E" w:rsidRPr="00EA542E" w14:paraId="2DDB50DF" w14:textId="77777777" w:rsidTr="00632F01">
        <w:tc>
          <w:tcPr>
            <w:tcW w:w="4140" w:type="dxa"/>
            <w:tcMar>
              <w:top w:w="113" w:type="dxa"/>
              <w:left w:w="113" w:type="dxa"/>
              <w:bottom w:w="113" w:type="dxa"/>
              <w:right w:w="113" w:type="dxa"/>
            </w:tcMar>
            <w:hideMark/>
          </w:tcPr>
          <w:p w14:paraId="7E01CFA2" w14:textId="43F2D9B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170" w:type="dxa"/>
            <w:tcMar>
              <w:top w:w="113" w:type="dxa"/>
              <w:left w:w="113" w:type="dxa"/>
              <w:bottom w:w="113" w:type="dxa"/>
              <w:right w:w="113" w:type="dxa"/>
            </w:tcMar>
            <w:hideMark/>
          </w:tcPr>
          <w:p w14:paraId="26877782" w14:textId="61D86F8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0.000185</w:t>
            </w:r>
          </w:p>
        </w:tc>
        <w:tc>
          <w:tcPr>
            <w:tcW w:w="2973" w:type="dxa"/>
            <w:tcMar>
              <w:top w:w="113" w:type="dxa"/>
              <w:left w:w="113" w:type="dxa"/>
              <w:bottom w:w="113" w:type="dxa"/>
              <w:right w:w="113" w:type="dxa"/>
            </w:tcMar>
            <w:hideMark/>
          </w:tcPr>
          <w:p w14:paraId="3600813B" w14:textId="3BE7C04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-0.000159 – 0.000529</w:t>
            </w:r>
          </w:p>
        </w:tc>
        <w:tc>
          <w:tcPr>
            <w:tcW w:w="0" w:type="auto"/>
            <w:tcMar>
              <w:top w:w="113" w:type="dxa"/>
              <w:left w:w="113" w:type="dxa"/>
              <w:bottom w:w="113" w:type="dxa"/>
              <w:right w:w="113" w:type="dxa"/>
            </w:tcMar>
            <w:hideMark/>
          </w:tcPr>
          <w:p w14:paraId="4C6A8774" w14:textId="2E926D6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0.292</w:t>
            </w:r>
          </w:p>
        </w:tc>
      </w:tr>
      <w:tr w:rsidR="00266752" w:rsidRPr="00EA542E" w14:paraId="03241146" w14:textId="77777777" w:rsidTr="00632F01">
        <w:tc>
          <w:tcPr>
            <w:tcW w:w="4140" w:type="dxa"/>
            <w:tcBorders>
              <w:top w:val="single" w:sz="6" w:space="0" w:color="auto"/>
            </w:tcBorders>
            <w:tcMar>
              <w:top w:w="57" w:type="dxa"/>
              <w:left w:w="113" w:type="dxa"/>
              <w:bottom w:w="57" w:type="dxa"/>
              <w:right w:w="113" w:type="dxa"/>
            </w:tcMar>
            <w:hideMark/>
          </w:tcPr>
          <w:p w14:paraId="51BA4BC9"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72FA3083"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2B031226" w14:textId="77777777" w:rsidTr="00632F01">
        <w:tc>
          <w:tcPr>
            <w:tcW w:w="4140" w:type="dxa"/>
            <w:tcMar>
              <w:top w:w="57" w:type="dxa"/>
              <w:left w:w="113" w:type="dxa"/>
              <w:bottom w:w="57" w:type="dxa"/>
              <w:right w:w="113" w:type="dxa"/>
            </w:tcMar>
            <w:hideMark/>
          </w:tcPr>
          <w:p w14:paraId="19B74B53"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27D17F08" w14:textId="13480319"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0.29</w:t>
            </w:r>
            <w:r w:rsidR="00EA542E">
              <w:rPr>
                <w:rFonts w:ascii="Times New Roman" w:eastAsia="Times New Roman" w:hAnsi="Times New Roman" w:cs="Times New Roman"/>
                <w:lang w:eastAsia="de-DE"/>
              </w:rPr>
              <w:t>1</w:t>
            </w:r>
          </w:p>
        </w:tc>
      </w:tr>
    </w:tbl>
    <w:p w14:paraId="187569B1" w14:textId="77777777" w:rsidR="00266752" w:rsidRPr="005076A2" w:rsidRDefault="00266752" w:rsidP="005076A2">
      <w:pPr>
        <w:rPr>
          <w:rFonts w:ascii="Times New Roman" w:hAnsi="Times New Roman" w:cs="Times New Roman"/>
          <w:b/>
          <w:sz w:val="24"/>
          <w:szCs w:val="24"/>
          <w:lang w:val="en-US"/>
        </w:rPr>
      </w:pPr>
    </w:p>
    <w:p w14:paraId="564E3C1F"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4A7352F" w14:textId="09678F7F"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6q.  Zinc.</w:t>
      </w:r>
    </w:p>
    <w:tbl>
      <w:tblPr>
        <w:tblW w:w="0" w:type="auto"/>
        <w:tblCellMar>
          <w:top w:w="15" w:type="dxa"/>
          <w:left w:w="15" w:type="dxa"/>
          <w:bottom w:w="15" w:type="dxa"/>
          <w:right w:w="15" w:type="dxa"/>
        </w:tblCellMar>
        <w:tblLook w:val="04A0" w:firstRow="1" w:lastRow="0" w:firstColumn="1" w:lastColumn="0" w:noHBand="0" w:noVBand="1"/>
      </w:tblPr>
      <w:tblGrid>
        <w:gridCol w:w="4084"/>
        <w:gridCol w:w="1167"/>
        <w:gridCol w:w="2669"/>
        <w:gridCol w:w="1129"/>
      </w:tblGrid>
      <w:tr w:rsidR="00266752" w:rsidRPr="00F36083" w14:paraId="0AFE5988" w14:textId="77777777" w:rsidTr="00643F3A">
        <w:tc>
          <w:tcPr>
            <w:tcW w:w="4084" w:type="dxa"/>
            <w:tcBorders>
              <w:top w:val="double" w:sz="6" w:space="0" w:color="auto"/>
            </w:tcBorders>
            <w:tcMar>
              <w:top w:w="113" w:type="dxa"/>
              <w:left w:w="113" w:type="dxa"/>
              <w:bottom w:w="113" w:type="dxa"/>
              <w:right w:w="113" w:type="dxa"/>
            </w:tcMar>
            <w:vAlign w:val="center"/>
            <w:hideMark/>
          </w:tcPr>
          <w:p w14:paraId="6F5D62D1" w14:textId="77777777" w:rsidR="00266752" w:rsidRPr="00F36083" w:rsidRDefault="00266752" w:rsidP="00266752">
            <w:pPr>
              <w:spacing w:after="0" w:line="240" w:lineRule="auto"/>
              <w:rPr>
                <w:rFonts w:ascii="Times New Roman" w:eastAsia="Times New Roman" w:hAnsi="Times New Roman" w:cs="Times New Roman"/>
                <w:b/>
                <w:bCs/>
                <w:lang w:eastAsia="de-DE"/>
              </w:rPr>
            </w:pPr>
            <w:r w:rsidRPr="00F36083">
              <w:rPr>
                <w:rFonts w:ascii="Times New Roman" w:eastAsia="Times New Roman" w:hAnsi="Times New Roman" w:cs="Times New Roman"/>
                <w:b/>
                <w:bCs/>
                <w:lang w:eastAsia="de-DE"/>
              </w:rPr>
              <w:t> </w:t>
            </w:r>
          </w:p>
        </w:tc>
        <w:tc>
          <w:tcPr>
            <w:tcW w:w="4965" w:type="dxa"/>
            <w:gridSpan w:val="3"/>
            <w:tcBorders>
              <w:top w:val="double" w:sz="6" w:space="0" w:color="auto"/>
            </w:tcBorders>
            <w:tcMar>
              <w:top w:w="113" w:type="dxa"/>
              <w:left w:w="113" w:type="dxa"/>
              <w:bottom w:w="113" w:type="dxa"/>
              <w:right w:w="113" w:type="dxa"/>
            </w:tcMar>
            <w:vAlign w:val="center"/>
            <w:hideMark/>
          </w:tcPr>
          <w:p w14:paraId="6CA4D7F9" w14:textId="4FA4EF6E" w:rsidR="00266752" w:rsidRPr="00F36083" w:rsidRDefault="00643F3A" w:rsidP="00266752">
            <w:pPr>
              <w:spacing w:after="0" w:line="240" w:lineRule="auto"/>
              <w:jc w:val="center"/>
              <w:rPr>
                <w:rFonts w:ascii="Times New Roman" w:eastAsia="Times New Roman" w:hAnsi="Times New Roman" w:cs="Times New Roman"/>
                <w:b/>
                <w:bCs/>
                <w:lang w:eastAsia="de-DE"/>
              </w:rPr>
            </w:pPr>
            <w:r w:rsidRPr="00F36083">
              <w:rPr>
                <w:rFonts w:ascii="Times New Roman" w:eastAsia="Times New Roman" w:hAnsi="Times New Roman" w:cs="Times New Roman"/>
                <w:b/>
                <w:bCs/>
                <w:lang w:eastAsia="de-DE"/>
              </w:rPr>
              <w:t>Zinc</w:t>
            </w:r>
          </w:p>
        </w:tc>
      </w:tr>
      <w:tr w:rsidR="00266752" w:rsidRPr="00F36083" w14:paraId="0DC9547A" w14:textId="77777777" w:rsidTr="00643F3A">
        <w:tc>
          <w:tcPr>
            <w:tcW w:w="4084" w:type="dxa"/>
            <w:tcBorders>
              <w:bottom w:val="single" w:sz="6" w:space="0" w:color="auto"/>
            </w:tcBorders>
            <w:vAlign w:val="center"/>
            <w:hideMark/>
          </w:tcPr>
          <w:p w14:paraId="5ABD6370" w14:textId="77777777" w:rsidR="00266752" w:rsidRPr="00F36083" w:rsidRDefault="00266752" w:rsidP="00266752">
            <w:pPr>
              <w:spacing w:after="0" w:line="240" w:lineRule="auto"/>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2E9C9FE6"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Estimates</w:t>
            </w:r>
          </w:p>
        </w:tc>
        <w:tc>
          <w:tcPr>
            <w:tcW w:w="2669" w:type="dxa"/>
            <w:tcBorders>
              <w:bottom w:val="single" w:sz="6" w:space="0" w:color="auto"/>
            </w:tcBorders>
            <w:vAlign w:val="center"/>
            <w:hideMark/>
          </w:tcPr>
          <w:p w14:paraId="49AEF6B9"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583BEB93"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p</w:t>
            </w:r>
          </w:p>
        </w:tc>
      </w:tr>
      <w:tr w:rsidR="00F36083" w:rsidRPr="00F36083" w14:paraId="1E1EF109" w14:textId="77777777" w:rsidTr="00643F3A">
        <w:tc>
          <w:tcPr>
            <w:tcW w:w="4084" w:type="dxa"/>
            <w:tcMar>
              <w:top w:w="113" w:type="dxa"/>
              <w:left w:w="113" w:type="dxa"/>
              <w:bottom w:w="113" w:type="dxa"/>
              <w:right w:w="113" w:type="dxa"/>
            </w:tcMar>
            <w:hideMark/>
          </w:tcPr>
          <w:p w14:paraId="7FBA7946" w14:textId="0E434F7F"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2FCB7209" w14:textId="71B1F0B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-0.00654</w:t>
            </w:r>
          </w:p>
        </w:tc>
        <w:tc>
          <w:tcPr>
            <w:tcW w:w="2669" w:type="dxa"/>
            <w:tcMar>
              <w:top w:w="113" w:type="dxa"/>
              <w:left w:w="113" w:type="dxa"/>
              <w:bottom w:w="113" w:type="dxa"/>
              <w:right w:w="113" w:type="dxa"/>
            </w:tcMar>
            <w:hideMark/>
          </w:tcPr>
          <w:p w14:paraId="2AE283A2" w14:textId="00FEC40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-0.07050 – 0.05743</w:t>
            </w:r>
          </w:p>
        </w:tc>
        <w:tc>
          <w:tcPr>
            <w:tcW w:w="1129" w:type="dxa"/>
            <w:tcMar>
              <w:top w:w="113" w:type="dxa"/>
              <w:left w:w="113" w:type="dxa"/>
              <w:bottom w:w="113" w:type="dxa"/>
              <w:right w:w="113" w:type="dxa"/>
            </w:tcMar>
            <w:hideMark/>
          </w:tcPr>
          <w:p w14:paraId="4EE0B8D0" w14:textId="6F09827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0.841</w:t>
            </w:r>
          </w:p>
        </w:tc>
      </w:tr>
      <w:tr w:rsidR="00F36083" w:rsidRPr="00F36083" w14:paraId="26310AD9" w14:textId="77777777" w:rsidTr="00643F3A">
        <w:tc>
          <w:tcPr>
            <w:tcW w:w="4084" w:type="dxa"/>
            <w:tcMar>
              <w:top w:w="113" w:type="dxa"/>
              <w:left w:w="113" w:type="dxa"/>
              <w:bottom w:w="113" w:type="dxa"/>
              <w:right w:w="113" w:type="dxa"/>
            </w:tcMar>
            <w:hideMark/>
          </w:tcPr>
          <w:p w14:paraId="2411A835" w14:textId="5D2840F8"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546ECD19" w14:textId="325B836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0.00127</w:t>
            </w:r>
          </w:p>
        </w:tc>
        <w:tc>
          <w:tcPr>
            <w:tcW w:w="2669" w:type="dxa"/>
            <w:tcMar>
              <w:top w:w="113" w:type="dxa"/>
              <w:left w:w="113" w:type="dxa"/>
              <w:bottom w:w="113" w:type="dxa"/>
              <w:right w:w="113" w:type="dxa"/>
            </w:tcMar>
            <w:hideMark/>
          </w:tcPr>
          <w:p w14:paraId="39BF1BBD" w14:textId="0882F9E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-0.00041 – 0.00296</w:t>
            </w:r>
          </w:p>
        </w:tc>
        <w:tc>
          <w:tcPr>
            <w:tcW w:w="1129" w:type="dxa"/>
            <w:tcMar>
              <w:top w:w="113" w:type="dxa"/>
              <w:left w:w="113" w:type="dxa"/>
              <w:bottom w:w="113" w:type="dxa"/>
              <w:right w:w="113" w:type="dxa"/>
            </w:tcMar>
            <w:hideMark/>
          </w:tcPr>
          <w:p w14:paraId="7397EB76" w14:textId="1311DEC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0.141</w:t>
            </w:r>
          </w:p>
        </w:tc>
      </w:tr>
      <w:tr w:rsidR="00F36083" w:rsidRPr="00F36083" w14:paraId="3829F6B1" w14:textId="77777777" w:rsidTr="00643F3A">
        <w:tc>
          <w:tcPr>
            <w:tcW w:w="4084" w:type="dxa"/>
            <w:tcMar>
              <w:top w:w="113" w:type="dxa"/>
              <w:left w:w="113" w:type="dxa"/>
              <w:bottom w:w="113" w:type="dxa"/>
              <w:right w:w="113" w:type="dxa"/>
            </w:tcMar>
            <w:hideMark/>
          </w:tcPr>
          <w:p w14:paraId="4279FFC6" w14:textId="18A82D32"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5D5619B5" w14:textId="472877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0.01200</w:t>
            </w:r>
          </w:p>
        </w:tc>
        <w:tc>
          <w:tcPr>
            <w:tcW w:w="2669" w:type="dxa"/>
            <w:tcMar>
              <w:top w:w="113" w:type="dxa"/>
              <w:left w:w="113" w:type="dxa"/>
              <w:bottom w:w="113" w:type="dxa"/>
              <w:right w:w="113" w:type="dxa"/>
            </w:tcMar>
            <w:hideMark/>
          </w:tcPr>
          <w:p w14:paraId="4B25193B" w14:textId="4FF2A32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-0.05260 – 0.07660</w:t>
            </w:r>
          </w:p>
        </w:tc>
        <w:tc>
          <w:tcPr>
            <w:tcW w:w="1129" w:type="dxa"/>
            <w:tcMar>
              <w:top w:w="113" w:type="dxa"/>
              <w:left w:w="113" w:type="dxa"/>
              <w:bottom w:w="113" w:type="dxa"/>
              <w:right w:w="113" w:type="dxa"/>
            </w:tcMar>
            <w:hideMark/>
          </w:tcPr>
          <w:p w14:paraId="6945DC86" w14:textId="2465D48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0.716</w:t>
            </w:r>
          </w:p>
        </w:tc>
      </w:tr>
      <w:tr w:rsidR="00F36083" w:rsidRPr="00F36083" w14:paraId="3A2D32F5" w14:textId="77777777" w:rsidTr="00643F3A">
        <w:tc>
          <w:tcPr>
            <w:tcW w:w="4084" w:type="dxa"/>
            <w:tcMar>
              <w:top w:w="113" w:type="dxa"/>
              <w:left w:w="113" w:type="dxa"/>
              <w:bottom w:w="113" w:type="dxa"/>
              <w:right w:w="113" w:type="dxa"/>
            </w:tcMar>
            <w:hideMark/>
          </w:tcPr>
          <w:p w14:paraId="3CE9C15D" w14:textId="73736ED6"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6EABD730" w14:textId="5758AC6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0.02282</w:t>
            </w:r>
          </w:p>
        </w:tc>
        <w:tc>
          <w:tcPr>
            <w:tcW w:w="2669" w:type="dxa"/>
            <w:tcMar>
              <w:top w:w="113" w:type="dxa"/>
              <w:left w:w="113" w:type="dxa"/>
              <w:bottom w:w="113" w:type="dxa"/>
              <w:right w:w="113" w:type="dxa"/>
            </w:tcMar>
            <w:hideMark/>
          </w:tcPr>
          <w:p w14:paraId="516B3470" w14:textId="7E3A297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-0.04094 – 0.08657</w:t>
            </w:r>
          </w:p>
        </w:tc>
        <w:tc>
          <w:tcPr>
            <w:tcW w:w="1129" w:type="dxa"/>
            <w:tcMar>
              <w:top w:w="113" w:type="dxa"/>
              <w:left w:w="113" w:type="dxa"/>
              <w:bottom w:w="113" w:type="dxa"/>
              <w:right w:w="113" w:type="dxa"/>
            </w:tcMar>
            <w:hideMark/>
          </w:tcPr>
          <w:p w14:paraId="18C78B06" w14:textId="153B0ACB"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0.484</w:t>
            </w:r>
          </w:p>
        </w:tc>
      </w:tr>
      <w:tr w:rsidR="00F36083" w:rsidRPr="00F36083" w14:paraId="059CE4DA" w14:textId="77777777" w:rsidTr="00643F3A">
        <w:tc>
          <w:tcPr>
            <w:tcW w:w="4084" w:type="dxa"/>
            <w:tcMar>
              <w:top w:w="113" w:type="dxa"/>
              <w:left w:w="113" w:type="dxa"/>
              <w:bottom w:w="113" w:type="dxa"/>
              <w:right w:w="113" w:type="dxa"/>
            </w:tcMar>
            <w:hideMark/>
          </w:tcPr>
          <w:p w14:paraId="7308A94F" w14:textId="6C108D34"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2E542067" w14:textId="1C4C68E2"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0.02176</w:t>
            </w:r>
          </w:p>
        </w:tc>
        <w:tc>
          <w:tcPr>
            <w:tcW w:w="2669" w:type="dxa"/>
            <w:tcMar>
              <w:top w:w="113" w:type="dxa"/>
              <w:left w:w="113" w:type="dxa"/>
              <w:bottom w:w="113" w:type="dxa"/>
              <w:right w:w="113" w:type="dxa"/>
            </w:tcMar>
            <w:hideMark/>
          </w:tcPr>
          <w:p w14:paraId="6C6BEE0D" w14:textId="216705C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-0.05190 – 0.09543</w:t>
            </w:r>
          </w:p>
        </w:tc>
        <w:tc>
          <w:tcPr>
            <w:tcW w:w="1129" w:type="dxa"/>
            <w:tcMar>
              <w:top w:w="113" w:type="dxa"/>
              <w:left w:w="113" w:type="dxa"/>
              <w:bottom w:w="113" w:type="dxa"/>
              <w:right w:w="113" w:type="dxa"/>
            </w:tcMar>
            <w:hideMark/>
          </w:tcPr>
          <w:p w14:paraId="03985260" w14:textId="2BA3B4B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0.563</w:t>
            </w:r>
          </w:p>
        </w:tc>
      </w:tr>
      <w:tr w:rsidR="00F36083" w:rsidRPr="00F36083" w14:paraId="01C3D89B" w14:textId="77777777" w:rsidTr="00643F3A">
        <w:tc>
          <w:tcPr>
            <w:tcW w:w="4084" w:type="dxa"/>
            <w:tcMar>
              <w:top w:w="113" w:type="dxa"/>
              <w:left w:w="113" w:type="dxa"/>
              <w:bottom w:w="113" w:type="dxa"/>
              <w:right w:w="113" w:type="dxa"/>
            </w:tcMar>
            <w:hideMark/>
          </w:tcPr>
          <w:p w14:paraId="6F04269B" w14:textId="7E8639D8" w:rsidR="00F36083" w:rsidRPr="00F36083" w:rsidRDefault="00F36083" w:rsidP="00F36083">
            <w:pPr>
              <w:spacing w:after="0" w:line="240" w:lineRule="auto"/>
              <w:rPr>
                <w:rFonts w:ascii="Times New Roman" w:eastAsia="Times New Roman" w:hAnsi="Times New Roman" w:cs="Times New Roman"/>
                <w:lang w:val="en-US" w:eastAsia="de-DE"/>
              </w:rPr>
            </w:pPr>
            <w:r w:rsidRPr="00F36083">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0D49F6FB" w14:textId="3923EC3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-0.00201</w:t>
            </w:r>
          </w:p>
        </w:tc>
        <w:tc>
          <w:tcPr>
            <w:tcW w:w="2669" w:type="dxa"/>
            <w:tcMar>
              <w:top w:w="113" w:type="dxa"/>
              <w:left w:w="113" w:type="dxa"/>
              <w:bottom w:w="113" w:type="dxa"/>
              <w:right w:w="113" w:type="dxa"/>
            </w:tcMar>
            <w:hideMark/>
          </w:tcPr>
          <w:p w14:paraId="6994B999" w14:textId="36970BCA"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-0.07720 – 0.07318</w:t>
            </w:r>
          </w:p>
        </w:tc>
        <w:tc>
          <w:tcPr>
            <w:tcW w:w="1129" w:type="dxa"/>
            <w:tcMar>
              <w:top w:w="113" w:type="dxa"/>
              <w:left w:w="113" w:type="dxa"/>
              <w:bottom w:w="113" w:type="dxa"/>
              <w:right w:w="113" w:type="dxa"/>
            </w:tcMar>
            <w:hideMark/>
          </w:tcPr>
          <w:p w14:paraId="09A10830" w14:textId="71A9499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0.958</w:t>
            </w:r>
          </w:p>
        </w:tc>
      </w:tr>
      <w:tr w:rsidR="00F36083" w:rsidRPr="00F36083" w14:paraId="57ED2358" w14:textId="77777777" w:rsidTr="00643F3A">
        <w:tc>
          <w:tcPr>
            <w:tcW w:w="4084" w:type="dxa"/>
            <w:tcMar>
              <w:top w:w="113" w:type="dxa"/>
              <w:left w:w="113" w:type="dxa"/>
              <w:bottom w:w="113" w:type="dxa"/>
              <w:right w:w="113" w:type="dxa"/>
            </w:tcMar>
            <w:hideMark/>
          </w:tcPr>
          <w:p w14:paraId="51596A81" w14:textId="038671D3"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6E57B98B" w14:textId="45CE6D6D"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0.01741</w:t>
            </w:r>
          </w:p>
        </w:tc>
        <w:tc>
          <w:tcPr>
            <w:tcW w:w="2669" w:type="dxa"/>
            <w:tcMar>
              <w:top w:w="113" w:type="dxa"/>
              <w:left w:w="113" w:type="dxa"/>
              <w:bottom w:w="113" w:type="dxa"/>
              <w:right w:w="113" w:type="dxa"/>
            </w:tcMar>
            <w:hideMark/>
          </w:tcPr>
          <w:p w14:paraId="367602CE" w14:textId="51276EE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-0.04716 – 0.08198</w:t>
            </w:r>
          </w:p>
        </w:tc>
        <w:tc>
          <w:tcPr>
            <w:tcW w:w="1129" w:type="dxa"/>
            <w:tcMar>
              <w:top w:w="113" w:type="dxa"/>
              <w:left w:w="113" w:type="dxa"/>
              <w:bottom w:w="113" w:type="dxa"/>
              <w:right w:w="113" w:type="dxa"/>
            </w:tcMar>
            <w:hideMark/>
          </w:tcPr>
          <w:p w14:paraId="685675AC" w14:textId="6F96421E"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0.598</w:t>
            </w:r>
          </w:p>
        </w:tc>
      </w:tr>
      <w:tr w:rsidR="00F36083" w:rsidRPr="00F36083" w14:paraId="448FD152" w14:textId="77777777" w:rsidTr="00643F3A">
        <w:tc>
          <w:tcPr>
            <w:tcW w:w="4084" w:type="dxa"/>
            <w:tcMar>
              <w:top w:w="113" w:type="dxa"/>
              <w:left w:w="113" w:type="dxa"/>
              <w:bottom w:w="113" w:type="dxa"/>
              <w:right w:w="113" w:type="dxa"/>
            </w:tcMar>
            <w:hideMark/>
          </w:tcPr>
          <w:p w14:paraId="3F71DB55" w14:textId="07511CBB" w:rsidR="00F36083" w:rsidRPr="00F36083" w:rsidRDefault="00F36083" w:rsidP="00F36083">
            <w:pPr>
              <w:spacing w:after="0" w:line="240" w:lineRule="auto"/>
              <w:rPr>
                <w:rFonts w:ascii="Times New Roman" w:eastAsia="Times New Roman" w:hAnsi="Times New Roman" w:cs="Times New Roman"/>
                <w:lang w:val="en-US" w:eastAsia="de-DE"/>
              </w:rPr>
            </w:pPr>
            <w:r w:rsidRPr="00F36083">
              <w:rPr>
                <w:rFonts w:ascii="Times New Roman" w:eastAsia="Times New Roman" w:hAnsi="Times New Roman" w:cs="Times New Roman"/>
                <w:lang w:val="en-US" w:eastAsia="de-DE"/>
              </w:rPr>
              <w:t>Education less than high school (%)</w:t>
            </w:r>
            <w:r w:rsidRPr="00F36083">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0DF82918" w14:textId="50534AB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044D2FB3" w14:textId="3568430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 – 0.00000</w:t>
            </w:r>
          </w:p>
        </w:tc>
        <w:tc>
          <w:tcPr>
            <w:tcW w:w="1129" w:type="dxa"/>
            <w:tcMar>
              <w:top w:w="113" w:type="dxa"/>
              <w:left w:w="113" w:type="dxa"/>
              <w:bottom w:w="113" w:type="dxa"/>
              <w:right w:w="113" w:type="dxa"/>
            </w:tcMar>
            <w:hideMark/>
          </w:tcPr>
          <w:p w14:paraId="202B9F6D" w14:textId="5485A3BA"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0.643</w:t>
            </w:r>
          </w:p>
        </w:tc>
      </w:tr>
      <w:tr w:rsidR="00F36083" w:rsidRPr="00F36083" w14:paraId="443A220C" w14:textId="77777777" w:rsidTr="00643F3A">
        <w:tc>
          <w:tcPr>
            <w:tcW w:w="4084" w:type="dxa"/>
            <w:tcMar>
              <w:top w:w="113" w:type="dxa"/>
              <w:left w:w="113" w:type="dxa"/>
              <w:bottom w:w="113" w:type="dxa"/>
              <w:right w:w="113" w:type="dxa"/>
            </w:tcMar>
            <w:hideMark/>
          </w:tcPr>
          <w:p w14:paraId="5C5DFD85" w14:textId="378F830A"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1CD3C324" w14:textId="27CFBBC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0.00402</w:t>
            </w:r>
          </w:p>
        </w:tc>
        <w:tc>
          <w:tcPr>
            <w:tcW w:w="2669" w:type="dxa"/>
            <w:tcMar>
              <w:top w:w="113" w:type="dxa"/>
              <w:left w:w="113" w:type="dxa"/>
              <w:bottom w:w="113" w:type="dxa"/>
              <w:right w:w="113" w:type="dxa"/>
            </w:tcMar>
            <w:hideMark/>
          </w:tcPr>
          <w:p w14:paraId="02F1FE2B" w14:textId="46D1F8E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-0.00938 – 0.01742</w:t>
            </w:r>
          </w:p>
        </w:tc>
        <w:tc>
          <w:tcPr>
            <w:tcW w:w="1129" w:type="dxa"/>
            <w:tcMar>
              <w:top w:w="113" w:type="dxa"/>
              <w:left w:w="113" w:type="dxa"/>
              <w:bottom w:w="113" w:type="dxa"/>
              <w:right w:w="113" w:type="dxa"/>
            </w:tcMar>
            <w:hideMark/>
          </w:tcPr>
          <w:p w14:paraId="18B0730B" w14:textId="2377D0B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0.557</w:t>
            </w:r>
          </w:p>
        </w:tc>
      </w:tr>
      <w:tr w:rsidR="00F36083" w:rsidRPr="00F36083" w14:paraId="6588A457" w14:textId="77777777" w:rsidTr="00643F3A">
        <w:tc>
          <w:tcPr>
            <w:tcW w:w="4084" w:type="dxa"/>
            <w:tcMar>
              <w:top w:w="113" w:type="dxa"/>
              <w:left w:w="113" w:type="dxa"/>
              <w:bottom w:w="113" w:type="dxa"/>
              <w:right w:w="113" w:type="dxa"/>
            </w:tcMar>
            <w:hideMark/>
          </w:tcPr>
          <w:p w14:paraId="053907EC" w14:textId="0999BB57"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77F188E0" w14:textId="708D2A2C"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0.05900</w:t>
            </w:r>
          </w:p>
        </w:tc>
        <w:tc>
          <w:tcPr>
            <w:tcW w:w="2669" w:type="dxa"/>
            <w:tcMar>
              <w:top w:w="113" w:type="dxa"/>
              <w:left w:w="113" w:type="dxa"/>
              <w:bottom w:w="113" w:type="dxa"/>
              <w:right w:w="113" w:type="dxa"/>
            </w:tcMar>
            <w:hideMark/>
          </w:tcPr>
          <w:p w14:paraId="081CF6A9" w14:textId="456F42A2"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0.01227 – 0.10573</w:t>
            </w:r>
          </w:p>
        </w:tc>
        <w:tc>
          <w:tcPr>
            <w:tcW w:w="1129" w:type="dxa"/>
            <w:tcMar>
              <w:top w:w="113" w:type="dxa"/>
              <w:left w:w="113" w:type="dxa"/>
              <w:bottom w:w="113" w:type="dxa"/>
              <w:right w:w="113" w:type="dxa"/>
            </w:tcMar>
            <w:hideMark/>
          </w:tcPr>
          <w:p w14:paraId="5A2F597B" w14:textId="6272B33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0.014</w:t>
            </w:r>
          </w:p>
        </w:tc>
      </w:tr>
      <w:tr w:rsidR="00F36083" w:rsidRPr="00F36083" w14:paraId="03F1FA8D" w14:textId="77777777" w:rsidTr="00643F3A">
        <w:tc>
          <w:tcPr>
            <w:tcW w:w="4084" w:type="dxa"/>
            <w:tcMar>
              <w:top w:w="113" w:type="dxa"/>
              <w:left w:w="113" w:type="dxa"/>
              <w:bottom w:w="113" w:type="dxa"/>
              <w:right w:w="113" w:type="dxa"/>
            </w:tcMar>
            <w:hideMark/>
          </w:tcPr>
          <w:p w14:paraId="46158395" w14:textId="3DFBB16C"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4265CD23" w14:textId="152E2CB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567B81AB" w14:textId="29D6A66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 – 0.00000</w:t>
            </w:r>
          </w:p>
        </w:tc>
        <w:tc>
          <w:tcPr>
            <w:tcW w:w="1129" w:type="dxa"/>
            <w:tcMar>
              <w:top w:w="113" w:type="dxa"/>
              <w:left w:w="113" w:type="dxa"/>
              <w:bottom w:w="113" w:type="dxa"/>
              <w:right w:w="113" w:type="dxa"/>
            </w:tcMar>
            <w:hideMark/>
          </w:tcPr>
          <w:p w14:paraId="5B2A61AC" w14:textId="5201DF6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0.515</w:t>
            </w:r>
          </w:p>
        </w:tc>
      </w:tr>
      <w:tr w:rsidR="00F36083" w:rsidRPr="00F36083" w14:paraId="5E49263F" w14:textId="77777777" w:rsidTr="00643F3A">
        <w:tc>
          <w:tcPr>
            <w:tcW w:w="4084" w:type="dxa"/>
            <w:tcMar>
              <w:top w:w="113" w:type="dxa"/>
              <w:left w:w="113" w:type="dxa"/>
              <w:bottom w:w="113" w:type="dxa"/>
              <w:right w:w="113" w:type="dxa"/>
            </w:tcMar>
            <w:hideMark/>
          </w:tcPr>
          <w:p w14:paraId="75259862" w14:textId="3AA69822"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3E53EB67" w14:textId="3D6808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347A9560" w14:textId="4680A9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-0.00001 – 0.00000</w:t>
            </w:r>
          </w:p>
        </w:tc>
        <w:tc>
          <w:tcPr>
            <w:tcW w:w="1129" w:type="dxa"/>
            <w:tcMar>
              <w:top w:w="113" w:type="dxa"/>
              <w:left w:w="113" w:type="dxa"/>
              <w:bottom w:w="113" w:type="dxa"/>
              <w:right w:w="113" w:type="dxa"/>
            </w:tcMar>
            <w:hideMark/>
          </w:tcPr>
          <w:p w14:paraId="5DC15E3D" w14:textId="35F0F29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0.598</w:t>
            </w:r>
          </w:p>
        </w:tc>
      </w:tr>
      <w:tr w:rsidR="00F36083" w:rsidRPr="00F36083" w14:paraId="517E2032" w14:textId="77777777" w:rsidTr="00643F3A">
        <w:tc>
          <w:tcPr>
            <w:tcW w:w="4084" w:type="dxa"/>
            <w:tcMar>
              <w:top w:w="113" w:type="dxa"/>
              <w:left w:w="113" w:type="dxa"/>
              <w:bottom w:w="113" w:type="dxa"/>
              <w:right w:w="113" w:type="dxa"/>
            </w:tcMar>
            <w:hideMark/>
          </w:tcPr>
          <w:p w14:paraId="374D21CB" w14:textId="42DED69F"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25163998" w14:textId="007E51B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-0.00527</w:t>
            </w:r>
          </w:p>
        </w:tc>
        <w:tc>
          <w:tcPr>
            <w:tcW w:w="2669" w:type="dxa"/>
            <w:tcMar>
              <w:top w:w="113" w:type="dxa"/>
              <w:left w:w="113" w:type="dxa"/>
              <w:bottom w:w="113" w:type="dxa"/>
              <w:right w:w="113" w:type="dxa"/>
            </w:tcMar>
            <w:hideMark/>
          </w:tcPr>
          <w:p w14:paraId="60AC55AE" w14:textId="7971BFB8"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-0.01005 – -0.00048</w:t>
            </w:r>
          </w:p>
        </w:tc>
        <w:tc>
          <w:tcPr>
            <w:tcW w:w="1129" w:type="dxa"/>
            <w:tcMar>
              <w:top w:w="113" w:type="dxa"/>
              <w:left w:w="113" w:type="dxa"/>
              <w:bottom w:w="113" w:type="dxa"/>
              <w:right w:w="113" w:type="dxa"/>
            </w:tcMar>
            <w:hideMark/>
          </w:tcPr>
          <w:p w14:paraId="4E5FEFC4" w14:textId="537011E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0.032</w:t>
            </w:r>
          </w:p>
        </w:tc>
      </w:tr>
      <w:tr w:rsidR="00F36083" w:rsidRPr="00F36083" w14:paraId="4A6330AC" w14:textId="77777777" w:rsidTr="00643F3A">
        <w:tc>
          <w:tcPr>
            <w:tcW w:w="4084" w:type="dxa"/>
            <w:tcMar>
              <w:top w:w="113" w:type="dxa"/>
              <w:left w:w="113" w:type="dxa"/>
              <w:bottom w:w="113" w:type="dxa"/>
              <w:right w:w="113" w:type="dxa"/>
            </w:tcMar>
            <w:hideMark/>
          </w:tcPr>
          <w:p w14:paraId="6EA610E0" w14:textId="56E46576"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73E26519" w14:textId="701917A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-0.00834</w:t>
            </w:r>
          </w:p>
        </w:tc>
        <w:tc>
          <w:tcPr>
            <w:tcW w:w="2669" w:type="dxa"/>
            <w:tcMar>
              <w:top w:w="113" w:type="dxa"/>
              <w:left w:w="113" w:type="dxa"/>
              <w:bottom w:w="113" w:type="dxa"/>
              <w:right w:w="113" w:type="dxa"/>
            </w:tcMar>
            <w:hideMark/>
          </w:tcPr>
          <w:p w14:paraId="4F4D5682" w14:textId="42872FFB"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-0.01266 – -0.00403</w:t>
            </w:r>
          </w:p>
        </w:tc>
        <w:tc>
          <w:tcPr>
            <w:tcW w:w="1129" w:type="dxa"/>
            <w:tcMar>
              <w:top w:w="113" w:type="dxa"/>
              <w:left w:w="113" w:type="dxa"/>
              <w:bottom w:w="113" w:type="dxa"/>
              <w:right w:w="113" w:type="dxa"/>
            </w:tcMar>
            <w:hideMark/>
          </w:tcPr>
          <w:p w14:paraId="64FC9EC1" w14:textId="1548755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&lt;0.001</w:t>
            </w:r>
          </w:p>
        </w:tc>
      </w:tr>
      <w:tr w:rsidR="00F36083" w:rsidRPr="00F36083" w14:paraId="34754D01" w14:textId="77777777" w:rsidTr="00643F3A">
        <w:tc>
          <w:tcPr>
            <w:tcW w:w="4084" w:type="dxa"/>
            <w:tcMar>
              <w:top w:w="113" w:type="dxa"/>
              <w:left w:w="113" w:type="dxa"/>
              <w:bottom w:w="113" w:type="dxa"/>
              <w:right w:w="113" w:type="dxa"/>
            </w:tcMar>
            <w:hideMark/>
          </w:tcPr>
          <w:p w14:paraId="5A4F192A" w14:textId="5E5E76C5"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27854291" w14:textId="34CD94D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-0.00948</w:t>
            </w:r>
          </w:p>
        </w:tc>
        <w:tc>
          <w:tcPr>
            <w:tcW w:w="2669" w:type="dxa"/>
            <w:tcMar>
              <w:top w:w="113" w:type="dxa"/>
              <w:left w:w="113" w:type="dxa"/>
              <w:bottom w:w="113" w:type="dxa"/>
              <w:right w:w="113" w:type="dxa"/>
            </w:tcMar>
            <w:hideMark/>
          </w:tcPr>
          <w:p w14:paraId="3E577424" w14:textId="2CEF4A4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-0.01419 – -0.00477</w:t>
            </w:r>
          </w:p>
        </w:tc>
        <w:tc>
          <w:tcPr>
            <w:tcW w:w="1129" w:type="dxa"/>
            <w:tcMar>
              <w:top w:w="113" w:type="dxa"/>
              <w:left w:w="113" w:type="dxa"/>
              <w:bottom w:w="113" w:type="dxa"/>
              <w:right w:w="113" w:type="dxa"/>
            </w:tcMar>
            <w:hideMark/>
          </w:tcPr>
          <w:p w14:paraId="3C0F5D26" w14:textId="219FFE3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&lt;0.001</w:t>
            </w:r>
          </w:p>
        </w:tc>
      </w:tr>
      <w:tr w:rsidR="00266752" w:rsidRPr="00F36083" w14:paraId="362FD624" w14:textId="77777777" w:rsidTr="00643F3A">
        <w:tc>
          <w:tcPr>
            <w:tcW w:w="4084" w:type="dxa"/>
            <w:tcBorders>
              <w:top w:val="single" w:sz="6" w:space="0" w:color="auto"/>
            </w:tcBorders>
            <w:tcMar>
              <w:top w:w="57" w:type="dxa"/>
              <w:left w:w="113" w:type="dxa"/>
              <w:bottom w:w="57" w:type="dxa"/>
              <w:right w:w="113" w:type="dxa"/>
            </w:tcMar>
            <w:hideMark/>
          </w:tcPr>
          <w:p w14:paraId="1317DCCF"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Observations</w:t>
            </w:r>
          </w:p>
        </w:tc>
        <w:tc>
          <w:tcPr>
            <w:tcW w:w="4965" w:type="dxa"/>
            <w:gridSpan w:val="3"/>
            <w:tcBorders>
              <w:top w:val="single" w:sz="6" w:space="0" w:color="auto"/>
            </w:tcBorders>
            <w:tcMar>
              <w:top w:w="57" w:type="dxa"/>
              <w:left w:w="113" w:type="dxa"/>
              <w:bottom w:w="57" w:type="dxa"/>
              <w:right w:w="113" w:type="dxa"/>
            </w:tcMar>
            <w:hideMark/>
          </w:tcPr>
          <w:p w14:paraId="157EA294"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274</w:t>
            </w:r>
          </w:p>
        </w:tc>
      </w:tr>
      <w:tr w:rsidR="00266752" w:rsidRPr="00F36083" w14:paraId="0B82CC9C" w14:textId="77777777" w:rsidTr="00643F3A">
        <w:tc>
          <w:tcPr>
            <w:tcW w:w="4084" w:type="dxa"/>
            <w:tcMar>
              <w:top w:w="57" w:type="dxa"/>
              <w:left w:w="113" w:type="dxa"/>
              <w:bottom w:w="57" w:type="dxa"/>
              <w:right w:w="113" w:type="dxa"/>
            </w:tcMar>
            <w:hideMark/>
          </w:tcPr>
          <w:p w14:paraId="6436FCC4"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Nagelkerke's R</w:t>
            </w:r>
            <w:r w:rsidRPr="00F36083">
              <w:rPr>
                <w:rFonts w:ascii="Times New Roman" w:eastAsia="Times New Roman" w:hAnsi="Times New Roman" w:cs="Times New Roman"/>
                <w:vertAlign w:val="superscript"/>
                <w:lang w:eastAsia="de-DE"/>
              </w:rPr>
              <w:t>2</w:t>
            </w:r>
          </w:p>
        </w:tc>
        <w:tc>
          <w:tcPr>
            <w:tcW w:w="4965" w:type="dxa"/>
            <w:gridSpan w:val="3"/>
            <w:tcMar>
              <w:top w:w="57" w:type="dxa"/>
              <w:left w:w="113" w:type="dxa"/>
              <w:bottom w:w="57" w:type="dxa"/>
              <w:right w:w="113" w:type="dxa"/>
            </w:tcMar>
            <w:hideMark/>
          </w:tcPr>
          <w:p w14:paraId="2C8BD54E"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0.184</w:t>
            </w:r>
          </w:p>
        </w:tc>
      </w:tr>
    </w:tbl>
    <w:p w14:paraId="64F8B07C" w14:textId="77777777" w:rsidR="00266752" w:rsidRPr="005076A2" w:rsidRDefault="00266752" w:rsidP="005076A2">
      <w:pPr>
        <w:rPr>
          <w:rFonts w:ascii="Times New Roman" w:hAnsi="Times New Roman" w:cs="Times New Roman"/>
          <w:b/>
          <w:sz w:val="24"/>
          <w:szCs w:val="24"/>
          <w:lang w:val="en-US"/>
        </w:rPr>
      </w:pPr>
    </w:p>
    <w:p w14:paraId="0F96219D"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1CD0F72" w14:textId="3F49DC53" w:rsidR="005076A2" w:rsidRP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 xml:space="preserve">6r.  </w:t>
      </w:r>
      <w:r>
        <w:rPr>
          <w:rFonts w:ascii="Times New Roman" w:hAnsi="Times New Roman" w:cs="Times New Roman"/>
          <w:b/>
          <w:sz w:val="24"/>
          <w:szCs w:val="24"/>
          <w:lang w:val="en-US"/>
        </w:rPr>
        <w:t>Ammonium ion.</w:t>
      </w:r>
    </w:p>
    <w:tbl>
      <w:tblPr>
        <w:tblW w:w="0" w:type="auto"/>
        <w:tblCellMar>
          <w:top w:w="15" w:type="dxa"/>
          <w:left w:w="15" w:type="dxa"/>
          <w:bottom w:w="15" w:type="dxa"/>
          <w:right w:w="15" w:type="dxa"/>
        </w:tblCellMar>
        <w:tblLook w:val="04A0" w:firstRow="1" w:lastRow="0" w:firstColumn="1" w:lastColumn="0" w:noHBand="0" w:noVBand="1"/>
      </w:tblPr>
      <w:tblGrid>
        <w:gridCol w:w="4457"/>
        <w:gridCol w:w="990"/>
        <w:gridCol w:w="2293"/>
        <w:gridCol w:w="1309"/>
      </w:tblGrid>
      <w:tr w:rsidR="00C81C65" w:rsidRPr="004B7AA0" w14:paraId="5E466C54" w14:textId="77777777" w:rsidTr="00643F3A">
        <w:tc>
          <w:tcPr>
            <w:tcW w:w="4457" w:type="dxa"/>
            <w:tcBorders>
              <w:top w:val="double" w:sz="6" w:space="0" w:color="auto"/>
            </w:tcBorders>
            <w:tcMar>
              <w:top w:w="113" w:type="dxa"/>
              <w:left w:w="113" w:type="dxa"/>
              <w:bottom w:w="113" w:type="dxa"/>
              <w:right w:w="113" w:type="dxa"/>
            </w:tcMar>
            <w:vAlign w:val="center"/>
            <w:hideMark/>
          </w:tcPr>
          <w:p w14:paraId="4518E2BF" w14:textId="77777777" w:rsidR="00C81C65" w:rsidRPr="004B7AA0" w:rsidRDefault="00C81C65" w:rsidP="00C81C65">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592" w:type="dxa"/>
            <w:gridSpan w:val="3"/>
            <w:tcBorders>
              <w:top w:val="double" w:sz="6" w:space="0" w:color="auto"/>
            </w:tcBorders>
            <w:tcMar>
              <w:top w:w="113" w:type="dxa"/>
              <w:left w:w="113" w:type="dxa"/>
              <w:bottom w:w="113" w:type="dxa"/>
              <w:right w:w="113" w:type="dxa"/>
            </w:tcMar>
            <w:vAlign w:val="center"/>
            <w:hideMark/>
          </w:tcPr>
          <w:p w14:paraId="66BF91BA" w14:textId="77777777" w:rsidR="00C81C65" w:rsidRPr="004B7AA0" w:rsidRDefault="00C81C65" w:rsidP="00C81C65">
            <w:pPr>
              <w:spacing w:after="0" w:line="240" w:lineRule="auto"/>
              <w:jc w:val="center"/>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Ammonium ion</w:t>
            </w:r>
          </w:p>
        </w:tc>
      </w:tr>
      <w:tr w:rsidR="00C81C65" w:rsidRPr="004B7AA0" w14:paraId="73AA85D1" w14:textId="77777777" w:rsidTr="00643F3A">
        <w:tc>
          <w:tcPr>
            <w:tcW w:w="4457" w:type="dxa"/>
            <w:tcBorders>
              <w:bottom w:val="single" w:sz="6" w:space="0" w:color="auto"/>
            </w:tcBorders>
            <w:vAlign w:val="center"/>
            <w:hideMark/>
          </w:tcPr>
          <w:p w14:paraId="4EB6B199" w14:textId="77777777" w:rsidR="00C81C65" w:rsidRPr="004B7AA0" w:rsidRDefault="00C81C65" w:rsidP="00C81C65">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990" w:type="dxa"/>
            <w:tcBorders>
              <w:bottom w:val="single" w:sz="6" w:space="0" w:color="auto"/>
            </w:tcBorders>
            <w:vAlign w:val="center"/>
            <w:hideMark/>
          </w:tcPr>
          <w:p w14:paraId="51C827AD"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293" w:type="dxa"/>
            <w:tcBorders>
              <w:bottom w:val="single" w:sz="6" w:space="0" w:color="auto"/>
            </w:tcBorders>
            <w:vAlign w:val="center"/>
            <w:hideMark/>
          </w:tcPr>
          <w:p w14:paraId="06A703AC"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309" w:type="dxa"/>
            <w:tcBorders>
              <w:bottom w:val="single" w:sz="6" w:space="0" w:color="auto"/>
            </w:tcBorders>
            <w:vAlign w:val="center"/>
            <w:hideMark/>
          </w:tcPr>
          <w:p w14:paraId="50449F92"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3F32B83A" w14:textId="77777777" w:rsidTr="00643F3A">
        <w:tc>
          <w:tcPr>
            <w:tcW w:w="4457" w:type="dxa"/>
            <w:tcMar>
              <w:top w:w="113" w:type="dxa"/>
              <w:left w:w="113" w:type="dxa"/>
              <w:bottom w:w="113" w:type="dxa"/>
              <w:right w:w="113" w:type="dxa"/>
            </w:tcMar>
            <w:hideMark/>
          </w:tcPr>
          <w:p w14:paraId="6FDCA4B3" w14:textId="7F461DF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990" w:type="dxa"/>
            <w:tcMar>
              <w:top w:w="113" w:type="dxa"/>
              <w:left w:w="113" w:type="dxa"/>
              <w:bottom w:w="113" w:type="dxa"/>
              <w:right w:w="113" w:type="dxa"/>
            </w:tcMar>
            <w:hideMark/>
          </w:tcPr>
          <w:p w14:paraId="7EA757F1" w14:textId="0845C54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-0.5348</w:t>
            </w:r>
          </w:p>
        </w:tc>
        <w:tc>
          <w:tcPr>
            <w:tcW w:w="2293" w:type="dxa"/>
            <w:tcMar>
              <w:top w:w="113" w:type="dxa"/>
              <w:left w:w="113" w:type="dxa"/>
              <w:bottom w:w="113" w:type="dxa"/>
              <w:right w:w="113" w:type="dxa"/>
            </w:tcMar>
            <w:hideMark/>
          </w:tcPr>
          <w:p w14:paraId="74E5AE8F" w14:textId="7915D1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-3.9202 – 2.8506</w:t>
            </w:r>
          </w:p>
        </w:tc>
        <w:tc>
          <w:tcPr>
            <w:tcW w:w="1309" w:type="dxa"/>
            <w:tcMar>
              <w:top w:w="113" w:type="dxa"/>
              <w:left w:w="113" w:type="dxa"/>
              <w:bottom w:w="113" w:type="dxa"/>
              <w:right w:w="113" w:type="dxa"/>
            </w:tcMar>
            <w:hideMark/>
          </w:tcPr>
          <w:p w14:paraId="2A66A773" w14:textId="736C6AF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0.757</w:t>
            </w:r>
          </w:p>
        </w:tc>
      </w:tr>
      <w:tr w:rsidR="004B7AA0" w:rsidRPr="004B7AA0" w14:paraId="017309D6" w14:textId="77777777" w:rsidTr="00643F3A">
        <w:tc>
          <w:tcPr>
            <w:tcW w:w="4457" w:type="dxa"/>
            <w:tcMar>
              <w:top w:w="113" w:type="dxa"/>
              <w:left w:w="113" w:type="dxa"/>
              <w:bottom w:w="113" w:type="dxa"/>
              <w:right w:w="113" w:type="dxa"/>
            </w:tcMar>
            <w:hideMark/>
          </w:tcPr>
          <w:p w14:paraId="17D24D8F" w14:textId="05C48CB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990" w:type="dxa"/>
            <w:tcMar>
              <w:top w:w="113" w:type="dxa"/>
              <w:left w:w="113" w:type="dxa"/>
              <w:bottom w:w="113" w:type="dxa"/>
              <w:right w:w="113" w:type="dxa"/>
            </w:tcMar>
            <w:hideMark/>
          </w:tcPr>
          <w:p w14:paraId="79F61B2C" w14:textId="53922B7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0.0770</w:t>
            </w:r>
          </w:p>
        </w:tc>
        <w:tc>
          <w:tcPr>
            <w:tcW w:w="2293" w:type="dxa"/>
            <w:tcMar>
              <w:top w:w="113" w:type="dxa"/>
              <w:left w:w="113" w:type="dxa"/>
              <w:bottom w:w="113" w:type="dxa"/>
              <w:right w:w="113" w:type="dxa"/>
            </w:tcMar>
            <w:hideMark/>
          </w:tcPr>
          <w:p w14:paraId="717D57F9" w14:textId="7C3F127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0.0172 – 0.1368</w:t>
            </w:r>
          </w:p>
        </w:tc>
        <w:tc>
          <w:tcPr>
            <w:tcW w:w="1309" w:type="dxa"/>
            <w:tcMar>
              <w:top w:w="113" w:type="dxa"/>
              <w:left w:w="113" w:type="dxa"/>
              <w:bottom w:w="113" w:type="dxa"/>
              <w:right w:w="113" w:type="dxa"/>
            </w:tcMar>
            <w:hideMark/>
          </w:tcPr>
          <w:p w14:paraId="70A4E85C" w14:textId="37EBC1D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0.012</w:t>
            </w:r>
          </w:p>
        </w:tc>
      </w:tr>
      <w:tr w:rsidR="004B7AA0" w:rsidRPr="004B7AA0" w14:paraId="0CE45D62" w14:textId="77777777" w:rsidTr="00643F3A">
        <w:tc>
          <w:tcPr>
            <w:tcW w:w="4457" w:type="dxa"/>
            <w:tcMar>
              <w:top w:w="113" w:type="dxa"/>
              <w:left w:w="113" w:type="dxa"/>
              <w:bottom w:w="113" w:type="dxa"/>
              <w:right w:w="113" w:type="dxa"/>
            </w:tcMar>
            <w:hideMark/>
          </w:tcPr>
          <w:p w14:paraId="354D0653" w14:textId="0B27AEA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990" w:type="dxa"/>
            <w:tcMar>
              <w:top w:w="113" w:type="dxa"/>
              <w:left w:w="113" w:type="dxa"/>
              <w:bottom w:w="113" w:type="dxa"/>
              <w:right w:w="113" w:type="dxa"/>
            </w:tcMar>
            <w:hideMark/>
          </w:tcPr>
          <w:p w14:paraId="66F85EBD" w14:textId="7FB05C0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1.5691</w:t>
            </w:r>
          </w:p>
        </w:tc>
        <w:tc>
          <w:tcPr>
            <w:tcW w:w="2293" w:type="dxa"/>
            <w:tcMar>
              <w:top w:w="113" w:type="dxa"/>
              <w:left w:w="113" w:type="dxa"/>
              <w:bottom w:w="113" w:type="dxa"/>
              <w:right w:w="113" w:type="dxa"/>
            </w:tcMar>
            <w:hideMark/>
          </w:tcPr>
          <w:p w14:paraId="61577407" w14:textId="2460A4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-1.8340 – 4.9722</w:t>
            </w:r>
          </w:p>
        </w:tc>
        <w:tc>
          <w:tcPr>
            <w:tcW w:w="1309" w:type="dxa"/>
            <w:tcMar>
              <w:top w:w="113" w:type="dxa"/>
              <w:left w:w="113" w:type="dxa"/>
              <w:bottom w:w="113" w:type="dxa"/>
              <w:right w:w="113" w:type="dxa"/>
            </w:tcMar>
            <w:hideMark/>
          </w:tcPr>
          <w:p w14:paraId="730B2055" w14:textId="51868A9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0.367</w:t>
            </w:r>
          </w:p>
        </w:tc>
      </w:tr>
      <w:tr w:rsidR="004B7AA0" w:rsidRPr="004B7AA0" w14:paraId="42A17071" w14:textId="77777777" w:rsidTr="00643F3A">
        <w:tc>
          <w:tcPr>
            <w:tcW w:w="4457" w:type="dxa"/>
            <w:tcMar>
              <w:top w:w="113" w:type="dxa"/>
              <w:left w:w="113" w:type="dxa"/>
              <w:bottom w:w="113" w:type="dxa"/>
              <w:right w:w="113" w:type="dxa"/>
            </w:tcMar>
            <w:hideMark/>
          </w:tcPr>
          <w:p w14:paraId="2FDF3FDC" w14:textId="16CBD04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990" w:type="dxa"/>
            <w:tcMar>
              <w:top w:w="113" w:type="dxa"/>
              <w:left w:w="113" w:type="dxa"/>
              <w:bottom w:w="113" w:type="dxa"/>
              <w:right w:w="113" w:type="dxa"/>
            </w:tcMar>
            <w:hideMark/>
          </w:tcPr>
          <w:p w14:paraId="22A1AACC" w14:textId="0DD5435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1.7235</w:t>
            </w:r>
          </w:p>
        </w:tc>
        <w:tc>
          <w:tcPr>
            <w:tcW w:w="2293" w:type="dxa"/>
            <w:tcMar>
              <w:top w:w="113" w:type="dxa"/>
              <w:left w:w="113" w:type="dxa"/>
              <w:bottom w:w="113" w:type="dxa"/>
              <w:right w:w="113" w:type="dxa"/>
            </w:tcMar>
            <w:hideMark/>
          </w:tcPr>
          <w:p w14:paraId="2F221FB7" w14:textId="11745A6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-1.6483 – 5.0952</w:t>
            </w:r>
          </w:p>
        </w:tc>
        <w:tc>
          <w:tcPr>
            <w:tcW w:w="1309" w:type="dxa"/>
            <w:tcMar>
              <w:top w:w="113" w:type="dxa"/>
              <w:left w:w="113" w:type="dxa"/>
              <w:bottom w:w="113" w:type="dxa"/>
              <w:right w:w="113" w:type="dxa"/>
            </w:tcMar>
            <w:hideMark/>
          </w:tcPr>
          <w:p w14:paraId="4B276D85" w14:textId="5DDC396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0.318</w:t>
            </w:r>
          </w:p>
        </w:tc>
      </w:tr>
      <w:tr w:rsidR="004B7AA0" w:rsidRPr="004B7AA0" w14:paraId="72C997F2" w14:textId="77777777" w:rsidTr="00643F3A">
        <w:tc>
          <w:tcPr>
            <w:tcW w:w="4457" w:type="dxa"/>
            <w:tcMar>
              <w:top w:w="113" w:type="dxa"/>
              <w:left w:w="113" w:type="dxa"/>
              <w:bottom w:w="113" w:type="dxa"/>
              <w:right w:w="113" w:type="dxa"/>
            </w:tcMar>
            <w:hideMark/>
          </w:tcPr>
          <w:p w14:paraId="466372D2" w14:textId="4AB86B6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990" w:type="dxa"/>
            <w:tcMar>
              <w:top w:w="113" w:type="dxa"/>
              <w:left w:w="113" w:type="dxa"/>
              <w:bottom w:w="113" w:type="dxa"/>
              <w:right w:w="113" w:type="dxa"/>
            </w:tcMar>
            <w:hideMark/>
          </w:tcPr>
          <w:p w14:paraId="7038BEF9" w14:textId="1E60CCC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1.5760</w:t>
            </w:r>
          </w:p>
        </w:tc>
        <w:tc>
          <w:tcPr>
            <w:tcW w:w="2293" w:type="dxa"/>
            <w:tcMar>
              <w:top w:w="113" w:type="dxa"/>
              <w:left w:w="113" w:type="dxa"/>
              <w:bottom w:w="113" w:type="dxa"/>
              <w:right w:w="113" w:type="dxa"/>
            </w:tcMar>
            <w:hideMark/>
          </w:tcPr>
          <w:p w14:paraId="4C034ABF" w14:textId="67FB089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-2.1330 – 5.2851</w:t>
            </w:r>
          </w:p>
        </w:tc>
        <w:tc>
          <w:tcPr>
            <w:tcW w:w="1309" w:type="dxa"/>
            <w:tcMar>
              <w:top w:w="113" w:type="dxa"/>
              <w:left w:w="113" w:type="dxa"/>
              <w:bottom w:w="113" w:type="dxa"/>
              <w:right w:w="113" w:type="dxa"/>
            </w:tcMar>
            <w:hideMark/>
          </w:tcPr>
          <w:p w14:paraId="355757A1" w14:textId="2CAF494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0.406</w:t>
            </w:r>
          </w:p>
        </w:tc>
      </w:tr>
      <w:tr w:rsidR="004B7AA0" w:rsidRPr="004B7AA0" w14:paraId="680459B2" w14:textId="77777777" w:rsidTr="00643F3A">
        <w:tc>
          <w:tcPr>
            <w:tcW w:w="4457" w:type="dxa"/>
            <w:tcMar>
              <w:top w:w="113" w:type="dxa"/>
              <w:left w:w="113" w:type="dxa"/>
              <w:bottom w:w="113" w:type="dxa"/>
              <w:right w:w="113" w:type="dxa"/>
            </w:tcMar>
            <w:hideMark/>
          </w:tcPr>
          <w:p w14:paraId="3AD724A9" w14:textId="2A9DBB5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990" w:type="dxa"/>
            <w:tcMar>
              <w:top w:w="113" w:type="dxa"/>
              <w:left w:w="113" w:type="dxa"/>
              <w:bottom w:w="113" w:type="dxa"/>
              <w:right w:w="113" w:type="dxa"/>
            </w:tcMar>
            <w:hideMark/>
          </w:tcPr>
          <w:p w14:paraId="6AA64A13" w14:textId="4C0CEF0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-1.6139</w:t>
            </w:r>
          </w:p>
        </w:tc>
        <w:tc>
          <w:tcPr>
            <w:tcW w:w="2293" w:type="dxa"/>
            <w:tcMar>
              <w:top w:w="113" w:type="dxa"/>
              <w:left w:w="113" w:type="dxa"/>
              <w:bottom w:w="113" w:type="dxa"/>
              <w:right w:w="113" w:type="dxa"/>
            </w:tcMar>
            <w:hideMark/>
          </w:tcPr>
          <w:p w14:paraId="08749D36" w14:textId="25F79AA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-7.4365 – 4.2086</w:t>
            </w:r>
          </w:p>
        </w:tc>
        <w:tc>
          <w:tcPr>
            <w:tcW w:w="1309" w:type="dxa"/>
            <w:tcMar>
              <w:top w:w="113" w:type="dxa"/>
              <w:left w:w="113" w:type="dxa"/>
              <w:bottom w:w="113" w:type="dxa"/>
              <w:right w:w="113" w:type="dxa"/>
            </w:tcMar>
            <w:hideMark/>
          </w:tcPr>
          <w:p w14:paraId="7CBFE014" w14:textId="3F1962D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0.588</w:t>
            </w:r>
          </w:p>
        </w:tc>
      </w:tr>
      <w:tr w:rsidR="004B7AA0" w:rsidRPr="004B7AA0" w14:paraId="0194060B" w14:textId="77777777" w:rsidTr="00643F3A">
        <w:tc>
          <w:tcPr>
            <w:tcW w:w="4457" w:type="dxa"/>
            <w:tcMar>
              <w:top w:w="113" w:type="dxa"/>
              <w:left w:w="113" w:type="dxa"/>
              <w:bottom w:w="113" w:type="dxa"/>
              <w:right w:w="113" w:type="dxa"/>
            </w:tcMar>
            <w:hideMark/>
          </w:tcPr>
          <w:p w14:paraId="09F1FA61" w14:textId="607C076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990" w:type="dxa"/>
            <w:tcMar>
              <w:top w:w="113" w:type="dxa"/>
              <w:left w:w="113" w:type="dxa"/>
              <w:bottom w:w="113" w:type="dxa"/>
              <w:right w:w="113" w:type="dxa"/>
            </w:tcMar>
            <w:hideMark/>
          </w:tcPr>
          <w:p w14:paraId="231F0041" w14:textId="67C153D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1.7194</w:t>
            </w:r>
          </w:p>
        </w:tc>
        <w:tc>
          <w:tcPr>
            <w:tcW w:w="2293" w:type="dxa"/>
            <w:tcMar>
              <w:top w:w="113" w:type="dxa"/>
              <w:left w:w="113" w:type="dxa"/>
              <w:bottom w:w="113" w:type="dxa"/>
              <w:right w:w="113" w:type="dxa"/>
            </w:tcMar>
            <w:hideMark/>
          </w:tcPr>
          <w:p w14:paraId="77598D1C" w14:textId="71EF97D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-1.7030 – 5.1418</w:t>
            </w:r>
          </w:p>
        </w:tc>
        <w:tc>
          <w:tcPr>
            <w:tcW w:w="1309" w:type="dxa"/>
            <w:tcMar>
              <w:top w:w="113" w:type="dxa"/>
              <w:left w:w="113" w:type="dxa"/>
              <w:bottom w:w="113" w:type="dxa"/>
              <w:right w:w="113" w:type="dxa"/>
            </w:tcMar>
            <w:hideMark/>
          </w:tcPr>
          <w:p w14:paraId="418760A9" w14:textId="5E7B089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0.326</w:t>
            </w:r>
          </w:p>
        </w:tc>
      </w:tr>
      <w:tr w:rsidR="004B7AA0" w:rsidRPr="004B7AA0" w14:paraId="40CBACC0" w14:textId="77777777" w:rsidTr="00643F3A">
        <w:tc>
          <w:tcPr>
            <w:tcW w:w="4457" w:type="dxa"/>
            <w:tcMar>
              <w:top w:w="113" w:type="dxa"/>
              <w:left w:w="113" w:type="dxa"/>
              <w:bottom w:w="113" w:type="dxa"/>
              <w:right w:w="113" w:type="dxa"/>
            </w:tcMar>
            <w:hideMark/>
          </w:tcPr>
          <w:p w14:paraId="26B894E3" w14:textId="0A370D9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990" w:type="dxa"/>
            <w:tcMar>
              <w:top w:w="113" w:type="dxa"/>
              <w:left w:w="113" w:type="dxa"/>
              <w:bottom w:w="113" w:type="dxa"/>
              <w:right w:w="113" w:type="dxa"/>
            </w:tcMar>
            <w:hideMark/>
          </w:tcPr>
          <w:p w14:paraId="1234877C" w14:textId="37C4AB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w:t>
            </w:r>
          </w:p>
        </w:tc>
        <w:tc>
          <w:tcPr>
            <w:tcW w:w="2293" w:type="dxa"/>
            <w:tcMar>
              <w:top w:w="113" w:type="dxa"/>
              <w:left w:w="113" w:type="dxa"/>
              <w:bottom w:w="113" w:type="dxa"/>
              <w:right w:w="113" w:type="dxa"/>
            </w:tcMar>
            <w:hideMark/>
          </w:tcPr>
          <w:p w14:paraId="043E55D0" w14:textId="779C3D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 – 0.0003</w:t>
            </w:r>
          </w:p>
        </w:tc>
        <w:tc>
          <w:tcPr>
            <w:tcW w:w="1309" w:type="dxa"/>
            <w:tcMar>
              <w:top w:w="113" w:type="dxa"/>
              <w:left w:w="113" w:type="dxa"/>
              <w:bottom w:w="113" w:type="dxa"/>
              <w:right w:w="113" w:type="dxa"/>
            </w:tcMar>
            <w:hideMark/>
          </w:tcPr>
          <w:p w14:paraId="666EB968" w14:textId="7A5AEBA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0.209</w:t>
            </w:r>
          </w:p>
        </w:tc>
      </w:tr>
      <w:tr w:rsidR="004B7AA0" w:rsidRPr="004B7AA0" w14:paraId="55E10FDE" w14:textId="77777777" w:rsidTr="00643F3A">
        <w:tc>
          <w:tcPr>
            <w:tcW w:w="4457" w:type="dxa"/>
            <w:tcMar>
              <w:top w:w="113" w:type="dxa"/>
              <w:left w:w="113" w:type="dxa"/>
              <w:bottom w:w="113" w:type="dxa"/>
              <w:right w:w="113" w:type="dxa"/>
            </w:tcMar>
            <w:hideMark/>
          </w:tcPr>
          <w:p w14:paraId="60AF1B5D" w14:textId="609CC76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990" w:type="dxa"/>
            <w:tcMar>
              <w:top w:w="113" w:type="dxa"/>
              <w:left w:w="113" w:type="dxa"/>
              <w:bottom w:w="113" w:type="dxa"/>
              <w:right w:w="113" w:type="dxa"/>
            </w:tcMar>
            <w:hideMark/>
          </w:tcPr>
          <w:p w14:paraId="38B9A1EB" w14:textId="4772E75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-0.2150</w:t>
            </w:r>
          </w:p>
        </w:tc>
        <w:tc>
          <w:tcPr>
            <w:tcW w:w="2293" w:type="dxa"/>
            <w:tcMar>
              <w:top w:w="113" w:type="dxa"/>
              <w:left w:w="113" w:type="dxa"/>
              <w:bottom w:w="113" w:type="dxa"/>
              <w:right w:w="113" w:type="dxa"/>
            </w:tcMar>
            <w:hideMark/>
          </w:tcPr>
          <w:p w14:paraId="448573C3" w14:textId="7D4DCB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-0.6628 – 0.2328</w:t>
            </w:r>
          </w:p>
        </w:tc>
        <w:tc>
          <w:tcPr>
            <w:tcW w:w="1309" w:type="dxa"/>
            <w:tcMar>
              <w:top w:w="113" w:type="dxa"/>
              <w:left w:w="113" w:type="dxa"/>
              <w:bottom w:w="113" w:type="dxa"/>
              <w:right w:w="113" w:type="dxa"/>
            </w:tcMar>
            <w:hideMark/>
          </w:tcPr>
          <w:p w14:paraId="4EB6CCF1" w14:textId="1E488E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0.348</w:t>
            </w:r>
          </w:p>
        </w:tc>
      </w:tr>
      <w:tr w:rsidR="004B7AA0" w:rsidRPr="004B7AA0" w14:paraId="702A0FFA" w14:textId="77777777" w:rsidTr="00643F3A">
        <w:tc>
          <w:tcPr>
            <w:tcW w:w="4457" w:type="dxa"/>
            <w:tcMar>
              <w:top w:w="113" w:type="dxa"/>
              <w:left w:w="113" w:type="dxa"/>
              <w:bottom w:w="113" w:type="dxa"/>
              <w:right w:w="113" w:type="dxa"/>
            </w:tcMar>
            <w:hideMark/>
          </w:tcPr>
          <w:p w14:paraId="362A9B14" w14:textId="5204014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990" w:type="dxa"/>
            <w:tcMar>
              <w:top w:w="113" w:type="dxa"/>
              <w:left w:w="113" w:type="dxa"/>
              <w:bottom w:w="113" w:type="dxa"/>
              <w:right w:w="113" w:type="dxa"/>
            </w:tcMar>
            <w:hideMark/>
          </w:tcPr>
          <w:p w14:paraId="1B8C2988" w14:textId="3258A5C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0.2511</w:t>
            </w:r>
          </w:p>
        </w:tc>
        <w:tc>
          <w:tcPr>
            <w:tcW w:w="2293" w:type="dxa"/>
            <w:tcMar>
              <w:top w:w="113" w:type="dxa"/>
              <w:left w:w="113" w:type="dxa"/>
              <w:bottom w:w="113" w:type="dxa"/>
              <w:right w:w="113" w:type="dxa"/>
            </w:tcMar>
            <w:hideMark/>
          </w:tcPr>
          <w:p w14:paraId="6B220305" w14:textId="70B0BB5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-1.3514 – 1.8536</w:t>
            </w:r>
          </w:p>
        </w:tc>
        <w:tc>
          <w:tcPr>
            <w:tcW w:w="1309" w:type="dxa"/>
            <w:tcMar>
              <w:top w:w="113" w:type="dxa"/>
              <w:left w:w="113" w:type="dxa"/>
              <w:bottom w:w="113" w:type="dxa"/>
              <w:right w:w="113" w:type="dxa"/>
            </w:tcMar>
            <w:hideMark/>
          </w:tcPr>
          <w:p w14:paraId="12DAD500" w14:textId="2DF05B4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0.759</w:t>
            </w:r>
          </w:p>
        </w:tc>
      </w:tr>
      <w:tr w:rsidR="004B7AA0" w:rsidRPr="004B7AA0" w14:paraId="0EE773F9" w14:textId="77777777" w:rsidTr="00643F3A">
        <w:tc>
          <w:tcPr>
            <w:tcW w:w="4457" w:type="dxa"/>
            <w:tcMar>
              <w:top w:w="113" w:type="dxa"/>
              <w:left w:w="113" w:type="dxa"/>
              <w:bottom w:w="113" w:type="dxa"/>
              <w:right w:w="113" w:type="dxa"/>
            </w:tcMar>
            <w:hideMark/>
          </w:tcPr>
          <w:p w14:paraId="18B3E5C1" w14:textId="4FCCA21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990" w:type="dxa"/>
            <w:tcMar>
              <w:top w:w="113" w:type="dxa"/>
              <w:left w:w="113" w:type="dxa"/>
              <w:bottom w:w="113" w:type="dxa"/>
              <w:right w:w="113" w:type="dxa"/>
            </w:tcMar>
            <w:hideMark/>
          </w:tcPr>
          <w:p w14:paraId="4881E15F" w14:textId="3E37CA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2293" w:type="dxa"/>
            <w:tcMar>
              <w:top w:w="113" w:type="dxa"/>
              <w:left w:w="113" w:type="dxa"/>
              <w:bottom w:w="113" w:type="dxa"/>
              <w:right w:w="113" w:type="dxa"/>
            </w:tcMar>
            <w:hideMark/>
          </w:tcPr>
          <w:p w14:paraId="39AFE58F" w14:textId="109E74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 – 0.0001</w:t>
            </w:r>
          </w:p>
        </w:tc>
        <w:tc>
          <w:tcPr>
            <w:tcW w:w="1309" w:type="dxa"/>
            <w:tcMar>
              <w:top w:w="113" w:type="dxa"/>
              <w:left w:w="113" w:type="dxa"/>
              <w:bottom w:w="113" w:type="dxa"/>
              <w:right w:w="113" w:type="dxa"/>
            </w:tcMar>
            <w:hideMark/>
          </w:tcPr>
          <w:p w14:paraId="2C0675F1" w14:textId="63AEF87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0.637</w:t>
            </w:r>
          </w:p>
        </w:tc>
      </w:tr>
      <w:tr w:rsidR="004B7AA0" w:rsidRPr="004B7AA0" w14:paraId="2E766E1B" w14:textId="77777777" w:rsidTr="00643F3A">
        <w:tc>
          <w:tcPr>
            <w:tcW w:w="4457" w:type="dxa"/>
            <w:tcMar>
              <w:top w:w="113" w:type="dxa"/>
              <w:left w:w="113" w:type="dxa"/>
              <w:bottom w:w="113" w:type="dxa"/>
              <w:right w:w="113" w:type="dxa"/>
            </w:tcMar>
            <w:hideMark/>
          </w:tcPr>
          <w:p w14:paraId="6058CDA1" w14:textId="0C5F78E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990" w:type="dxa"/>
            <w:tcMar>
              <w:top w:w="113" w:type="dxa"/>
              <w:left w:w="113" w:type="dxa"/>
              <w:bottom w:w="113" w:type="dxa"/>
              <w:right w:w="113" w:type="dxa"/>
            </w:tcMar>
            <w:hideMark/>
          </w:tcPr>
          <w:p w14:paraId="49D57FD7" w14:textId="6033D6E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2293" w:type="dxa"/>
            <w:tcMar>
              <w:top w:w="113" w:type="dxa"/>
              <w:left w:w="113" w:type="dxa"/>
              <w:bottom w:w="113" w:type="dxa"/>
              <w:right w:w="113" w:type="dxa"/>
            </w:tcMar>
            <w:hideMark/>
          </w:tcPr>
          <w:p w14:paraId="1E963998" w14:textId="1CA14D2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-0.0003 – 0.0002</w:t>
            </w:r>
          </w:p>
        </w:tc>
        <w:tc>
          <w:tcPr>
            <w:tcW w:w="1309" w:type="dxa"/>
            <w:tcMar>
              <w:top w:w="113" w:type="dxa"/>
              <w:left w:w="113" w:type="dxa"/>
              <w:bottom w:w="113" w:type="dxa"/>
              <w:right w:w="113" w:type="dxa"/>
            </w:tcMar>
            <w:hideMark/>
          </w:tcPr>
          <w:p w14:paraId="042C3192" w14:textId="2AED33C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0.790</w:t>
            </w:r>
          </w:p>
        </w:tc>
      </w:tr>
      <w:tr w:rsidR="004B7AA0" w:rsidRPr="004B7AA0" w14:paraId="1F651491" w14:textId="77777777" w:rsidTr="00643F3A">
        <w:tc>
          <w:tcPr>
            <w:tcW w:w="4457" w:type="dxa"/>
            <w:tcMar>
              <w:top w:w="113" w:type="dxa"/>
              <w:left w:w="113" w:type="dxa"/>
              <w:bottom w:w="113" w:type="dxa"/>
              <w:right w:w="113" w:type="dxa"/>
            </w:tcMar>
            <w:hideMark/>
          </w:tcPr>
          <w:p w14:paraId="106AC0E7" w14:textId="16BA146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990" w:type="dxa"/>
            <w:tcMar>
              <w:top w:w="113" w:type="dxa"/>
              <w:left w:w="113" w:type="dxa"/>
              <w:bottom w:w="113" w:type="dxa"/>
              <w:right w:w="113" w:type="dxa"/>
            </w:tcMar>
            <w:hideMark/>
          </w:tcPr>
          <w:p w14:paraId="6A770F25" w14:textId="039B64B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-0.1592</w:t>
            </w:r>
          </w:p>
        </w:tc>
        <w:tc>
          <w:tcPr>
            <w:tcW w:w="2293" w:type="dxa"/>
            <w:tcMar>
              <w:top w:w="113" w:type="dxa"/>
              <w:left w:w="113" w:type="dxa"/>
              <w:bottom w:w="113" w:type="dxa"/>
              <w:right w:w="113" w:type="dxa"/>
            </w:tcMar>
            <w:hideMark/>
          </w:tcPr>
          <w:p w14:paraId="748CE53D" w14:textId="3FD43BC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-0.3227 – 0.0042</w:t>
            </w:r>
          </w:p>
        </w:tc>
        <w:tc>
          <w:tcPr>
            <w:tcW w:w="1309" w:type="dxa"/>
            <w:tcMar>
              <w:top w:w="113" w:type="dxa"/>
              <w:left w:w="113" w:type="dxa"/>
              <w:bottom w:w="113" w:type="dxa"/>
              <w:right w:w="113" w:type="dxa"/>
            </w:tcMar>
            <w:hideMark/>
          </w:tcPr>
          <w:p w14:paraId="5C435D74" w14:textId="1D7A64F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0.058</w:t>
            </w:r>
          </w:p>
        </w:tc>
      </w:tr>
      <w:tr w:rsidR="004B7AA0" w:rsidRPr="004B7AA0" w14:paraId="0E3A41FE" w14:textId="77777777" w:rsidTr="00643F3A">
        <w:tc>
          <w:tcPr>
            <w:tcW w:w="4457" w:type="dxa"/>
            <w:tcMar>
              <w:top w:w="113" w:type="dxa"/>
              <w:left w:w="113" w:type="dxa"/>
              <w:bottom w:w="113" w:type="dxa"/>
              <w:right w:w="113" w:type="dxa"/>
            </w:tcMar>
            <w:hideMark/>
          </w:tcPr>
          <w:p w14:paraId="03D2C7F6" w14:textId="3350440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990" w:type="dxa"/>
            <w:tcMar>
              <w:top w:w="113" w:type="dxa"/>
              <w:left w:w="113" w:type="dxa"/>
              <w:bottom w:w="113" w:type="dxa"/>
              <w:right w:w="113" w:type="dxa"/>
            </w:tcMar>
            <w:hideMark/>
          </w:tcPr>
          <w:p w14:paraId="484DCE35" w14:textId="2B29CE5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-0.4038</w:t>
            </w:r>
          </w:p>
        </w:tc>
        <w:tc>
          <w:tcPr>
            <w:tcW w:w="2293" w:type="dxa"/>
            <w:tcMar>
              <w:top w:w="113" w:type="dxa"/>
              <w:left w:w="113" w:type="dxa"/>
              <w:bottom w:w="113" w:type="dxa"/>
              <w:right w:w="113" w:type="dxa"/>
            </w:tcMar>
            <w:hideMark/>
          </w:tcPr>
          <w:p w14:paraId="6BEC96AD" w14:textId="263B2F4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-0.5490 – -0.2585</w:t>
            </w:r>
          </w:p>
        </w:tc>
        <w:tc>
          <w:tcPr>
            <w:tcW w:w="1309" w:type="dxa"/>
            <w:tcMar>
              <w:top w:w="113" w:type="dxa"/>
              <w:left w:w="113" w:type="dxa"/>
              <w:bottom w:w="113" w:type="dxa"/>
              <w:right w:w="113" w:type="dxa"/>
            </w:tcMar>
            <w:hideMark/>
          </w:tcPr>
          <w:p w14:paraId="6E5D595D" w14:textId="4B03FB1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0820D620" w14:textId="77777777" w:rsidTr="00643F3A">
        <w:tc>
          <w:tcPr>
            <w:tcW w:w="4457" w:type="dxa"/>
            <w:tcMar>
              <w:top w:w="113" w:type="dxa"/>
              <w:left w:w="113" w:type="dxa"/>
              <w:bottom w:w="113" w:type="dxa"/>
              <w:right w:w="113" w:type="dxa"/>
            </w:tcMar>
            <w:hideMark/>
          </w:tcPr>
          <w:p w14:paraId="6C0274D4" w14:textId="26504903"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990" w:type="dxa"/>
            <w:tcMar>
              <w:top w:w="113" w:type="dxa"/>
              <w:left w:w="113" w:type="dxa"/>
              <w:bottom w:w="113" w:type="dxa"/>
              <w:right w:w="113" w:type="dxa"/>
            </w:tcMar>
            <w:hideMark/>
          </w:tcPr>
          <w:p w14:paraId="3548D4C3" w14:textId="69D8D30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-0.5443</w:t>
            </w:r>
          </w:p>
        </w:tc>
        <w:tc>
          <w:tcPr>
            <w:tcW w:w="2293" w:type="dxa"/>
            <w:tcMar>
              <w:top w:w="113" w:type="dxa"/>
              <w:left w:w="113" w:type="dxa"/>
              <w:bottom w:w="113" w:type="dxa"/>
              <w:right w:w="113" w:type="dxa"/>
            </w:tcMar>
            <w:hideMark/>
          </w:tcPr>
          <w:p w14:paraId="46171E79" w14:textId="32D9AB3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-0.7175 – -0.3711</w:t>
            </w:r>
          </w:p>
        </w:tc>
        <w:tc>
          <w:tcPr>
            <w:tcW w:w="1309" w:type="dxa"/>
            <w:tcMar>
              <w:top w:w="113" w:type="dxa"/>
              <w:left w:w="113" w:type="dxa"/>
              <w:bottom w:w="113" w:type="dxa"/>
              <w:right w:w="113" w:type="dxa"/>
            </w:tcMar>
            <w:hideMark/>
          </w:tcPr>
          <w:p w14:paraId="7FF8D56E" w14:textId="3BEF378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C81C65" w:rsidRPr="004B7AA0" w14:paraId="25795441" w14:textId="77777777" w:rsidTr="00643F3A">
        <w:tc>
          <w:tcPr>
            <w:tcW w:w="4457" w:type="dxa"/>
            <w:tcBorders>
              <w:top w:val="single" w:sz="6" w:space="0" w:color="auto"/>
            </w:tcBorders>
            <w:tcMar>
              <w:top w:w="57" w:type="dxa"/>
              <w:left w:w="113" w:type="dxa"/>
              <w:bottom w:w="57" w:type="dxa"/>
              <w:right w:w="113" w:type="dxa"/>
            </w:tcMar>
            <w:hideMark/>
          </w:tcPr>
          <w:p w14:paraId="6EC33229"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592" w:type="dxa"/>
            <w:gridSpan w:val="3"/>
            <w:tcBorders>
              <w:top w:val="single" w:sz="6" w:space="0" w:color="auto"/>
            </w:tcBorders>
            <w:tcMar>
              <w:top w:w="57" w:type="dxa"/>
              <w:left w:w="113" w:type="dxa"/>
              <w:bottom w:w="57" w:type="dxa"/>
              <w:right w:w="113" w:type="dxa"/>
            </w:tcMar>
            <w:hideMark/>
          </w:tcPr>
          <w:p w14:paraId="516832FF"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212</w:t>
            </w:r>
          </w:p>
        </w:tc>
      </w:tr>
      <w:tr w:rsidR="00C81C65" w:rsidRPr="004B7AA0" w14:paraId="205475BD" w14:textId="77777777" w:rsidTr="00643F3A">
        <w:tc>
          <w:tcPr>
            <w:tcW w:w="4457" w:type="dxa"/>
            <w:tcMar>
              <w:top w:w="57" w:type="dxa"/>
              <w:left w:w="113" w:type="dxa"/>
              <w:bottom w:w="57" w:type="dxa"/>
              <w:right w:w="113" w:type="dxa"/>
            </w:tcMar>
            <w:hideMark/>
          </w:tcPr>
          <w:p w14:paraId="3AA1FF81"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592" w:type="dxa"/>
            <w:gridSpan w:val="3"/>
            <w:tcMar>
              <w:top w:w="57" w:type="dxa"/>
              <w:left w:w="113" w:type="dxa"/>
              <w:bottom w:w="57" w:type="dxa"/>
              <w:right w:w="113" w:type="dxa"/>
            </w:tcMar>
            <w:hideMark/>
          </w:tcPr>
          <w:p w14:paraId="73D3D30C" w14:textId="7CE69CA1"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0.39</w:t>
            </w:r>
            <w:r w:rsidR="004B7AA0" w:rsidRPr="004B7AA0">
              <w:rPr>
                <w:rFonts w:ascii="Times New Roman" w:eastAsia="Times New Roman" w:hAnsi="Times New Roman" w:cs="Times New Roman"/>
                <w:lang w:eastAsia="de-DE"/>
              </w:rPr>
              <w:t>4</w:t>
            </w:r>
          </w:p>
        </w:tc>
      </w:tr>
    </w:tbl>
    <w:p w14:paraId="0C52F50C" w14:textId="77777777" w:rsidR="00C81C65" w:rsidRDefault="00C81C65" w:rsidP="005076A2">
      <w:pPr>
        <w:rPr>
          <w:rFonts w:ascii="Times New Roman" w:hAnsi="Times New Roman" w:cs="Times New Roman"/>
          <w:b/>
          <w:sz w:val="24"/>
          <w:szCs w:val="24"/>
          <w:lang w:val="en-US"/>
        </w:rPr>
      </w:pPr>
    </w:p>
    <w:p w14:paraId="1E99A8D1"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900000C" w14:textId="139A9FBA" w:rsidR="005076A2" w:rsidRDefault="005076A2" w:rsidP="005076A2">
      <w:pPr>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6s.  </w:t>
      </w:r>
      <w:r w:rsidRPr="005076A2">
        <w:rPr>
          <w:rFonts w:ascii="Times New Roman" w:hAnsi="Times New Roman" w:cs="Times New Roman"/>
          <w:b/>
          <w:sz w:val="24"/>
          <w:szCs w:val="24"/>
        </w:rPr>
        <w:t>Sodium ion.</w:t>
      </w:r>
    </w:p>
    <w:tbl>
      <w:tblPr>
        <w:tblW w:w="0" w:type="auto"/>
        <w:tblCellMar>
          <w:top w:w="15" w:type="dxa"/>
          <w:left w:w="15" w:type="dxa"/>
          <w:bottom w:w="15" w:type="dxa"/>
          <w:right w:w="15" w:type="dxa"/>
        </w:tblCellMar>
        <w:tblLook w:val="04A0" w:firstRow="1" w:lastRow="0" w:firstColumn="1" w:lastColumn="0" w:noHBand="0" w:noVBand="1"/>
      </w:tblPr>
      <w:tblGrid>
        <w:gridCol w:w="4361"/>
        <w:gridCol w:w="1255"/>
        <w:gridCol w:w="2304"/>
        <w:gridCol w:w="1129"/>
      </w:tblGrid>
      <w:tr w:rsidR="00266752" w:rsidRPr="004B7AA0" w14:paraId="2C83C058" w14:textId="77777777" w:rsidTr="00643F3A">
        <w:tc>
          <w:tcPr>
            <w:tcW w:w="4361" w:type="dxa"/>
            <w:tcBorders>
              <w:top w:val="double" w:sz="6" w:space="0" w:color="auto"/>
            </w:tcBorders>
            <w:tcMar>
              <w:top w:w="113" w:type="dxa"/>
              <w:left w:w="113" w:type="dxa"/>
              <w:bottom w:w="113" w:type="dxa"/>
              <w:right w:w="113" w:type="dxa"/>
            </w:tcMar>
            <w:vAlign w:val="center"/>
            <w:hideMark/>
          </w:tcPr>
          <w:p w14:paraId="0B8E0D4C" w14:textId="77777777" w:rsidR="00266752" w:rsidRPr="004B7AA0" w:rsidRDefault="00266752" w:rsidP="00266752">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688" w:type="dxa"/>
            <w:gridSpan w:val="3"/>
            <w:tcBorders>
              <w:top w:val="double" w:sz="6" w:space="0" w:color="auto"/>
            </w:tcBorders>
            <w:tcMar>
              <w:top w:w="113" w:type="dxa"/>
              <w:left w:w="113" w:type="dxa"/>
              <w:bottom w:w="113" w:type="dxa"/>
              <w:right w:w="113" w:type="dxa"/>
            </w:tcMar>
            <w:vAlign w:val="center"/>
            <w:hideMark/>
          </w:tcPr>
          <w:p w14:paraId="63A0D7CD" w14:textId="07D0CE43" w:rsidR="00266752" w:rsidRPr="004B7AA0" w:rsidRDefault="004B7AA0" w:rsidP="00266752">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Sodium ion</w:t>
            </w:r>
          </w:p>
        </w:tc>
      </w:tr>
      <w:tr w:rsidR="00266752" w:rsidRPr="004B7AA0" w14:paraId="38608A61" w14:textId="77777777" w:rsidTr="00643F3A">
        <w:tc>
          <w:tcPr>
            <w:tcW w:w="4361" w:type="dxa"/>
            <w:tcBorders>
              <w:bottom w:val="single" w:sz="6" w:space="0" w:color="auto"/>
            </w:tcBorders>
            <w:vAlign w:val="center"/>
            <w:hideMark/>
          </w:tcPr>
          <w:p w14:paraId="5576C6E2" w14:textId="77777777" w:rsidR="00266752" w:rsidRPr="004B7AA0" w:rsidRDefault="00266752" w:rsidP="00266752">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255" w:type="dxa"/>
            <w:tcBorders>
              <w:bottom w:val="single" w:sz="6" w:space="0" w:color="auto"/>
            </w:tcBorders>
            <w:vAlign w:val="center"/>
            <w:hideMark/>
          </w:tcPr>
          <w:p w14:paraId="48B8C0EA"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304" w:type="dxa"/>
            <w:tcBorders>
              <w:bottom w:val="single" w:sz="6" w:space="0" w:color="auto"/>
            </w:tcBorders>
            <w:vAlign w:val="center"/>
            <w:hideMark/>
          </w:tcPr>
          <w:p w14:paraId="72CDB1AA"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5825ACBC"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6100FA1E" w14:textId="77777777" w:rsidTr="00643F3A">
        <w:tc>
          <w:tcPr>
            <w:tcW w:w="4361" w:type="dxa"/>
            <w:tcMar>
              <w:top w:w="113" w:type="dxa"/>
              <w:left w:w="113" w:type="dxa"/>
              <w:bottom w:w="113" w:type="dxa"/>
              <w:right w:w="113" w:type="dxa"/>
            </w:tcMar>
            <w:hideMark/>
          </w:tcPr>
          <w:p w14:paraId="6AA97C29" w14:textId="3B5514D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255" w:type="dxa"/>
            <w:tcMar>
              <w:top w:w="113" w:type="dxa"/>
              <w:left w:w="113" w:type="dxa"/>
              <w:bottom w:w="113" w:type="dxa"/>
              <w:right w:w="113" w:type="dxa"/>
            </w:tcMar>
            <w:hideMark/>
          </w:tcPr>
          <w:p w14:paraId="030D1155" w14:textId="0E8C48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1.47181</w:t>
            </w:r>
          </w:p>
        </w:tc>
        <w:tc>
          <w:tcPr>
            <w:tcW w:w="2304" w:type="dxa"/>
            <w:tcMar>
              <w:top w:w="113" w:type="dxa"/>
              <w:left w:w="113" w:type="dxa"/>
              <w:bottom w:w="113" w:type="dxa"/>
              <w:right w:w="113" w:type="dxa"/>
            </w:tcMar>
            <w:hideMark/>
          </w:tcPr>
          <w:p w14:paraId="275E9497" w14:textId="230AF86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0.66828 – 2.27534</w:t>
            </w:r>
          </w:p>
        </w:tc>
        <w:tc>
          <w:tcPr>
            <w:tcW w:w="1129" w:type="dxa"/>
            <w:tcMar>
              <w:top w:w="113" w:type="dxa"/>
              <w:left w:w="113" w:type="dxa"/>
              <w:bottom w:w="113" w:type="dxa"/>
              <w:right w:w="113" w:type="dxa"/>
            </w:tcMar>
            <w:hideMark/>
          </w:tcPr>
          <w:p w14:paraId="72772CDC" w14:textId="557BE45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6F6AEA2A" w14:textId="77777777" w:rsidTr="00643F3A">
        <w:tc>
          <w:tcPr>
            <w:tcW w:w="4361" w:type="dxa"/>
            <w:tcMar>
              <w:top w:w="113" w:type="dxa"/>
              <w:left w:w="113" w:type="dxa"/>
              <w:bottom w:w="113" w:type="dxa"/>
              <w:right w:w="113" w:type="dxa"/>
            </w:tcMar>
            <w:hideMark/>
          </w:tcPr>
          <w:p w14:paraId="7D883706" w14:textId="69592B3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255" w:type="dxa"/>
            <w:tcMar>
              <w:top w:w="113" w:type="dxa"/>
              <w:left w:w="113" w:type="dxa"/>
              <w:bottom w:w="113" w:type="dxa"/>
              <w:right w:w="113" w:type="dxa"/>
            </w:tcMar>
            <w:hideMark/>
          </w:tcPr>
          <w:p w14:paraId="6DB3D11F" w14:textId="7362CEB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-0.00860</w:t>
            </w:r>
          </w:p>
        </w:tc>
        <w:tc>
          <w:tcPr>
            <w:tcW w:w="2304" w:type="dxa"/>
            <w:tcMar>
              <w:top w:w="113" w:type="dxa"/>
              <w:left w:w="113" w:type="dxa"/>
              <w:bottom w:w="113" w:type="dxa"/>
              <w:right w:w="113" w:type="dxa"/>
            </w:tcMar>
            <w:hideMark/>
          </w:tcPr>
          <w:p w14:paraId="266A7A7D" w14:textId="36CFB69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-0.02280 – 0.00560</w:t>
            </w:r>
          </w:p>
        </w:tc>
        <w:tc>
          <w:tcPr>
            <w:tcW w:w="1129" w:type="dxa"/>
            <w:tcMar>
              <w:top w:w="113" w:type="dxa"/>
              <w:left w:w="113" w:type="dxa"/>
              <w:bottom w:w="113" w:type="dxa"/>
              <w:right w:w="113" w:type="dxa"/>
            </w:tcMar>
            <w:hideMark/>
          </w:tcPr>
          <w:p w14:paraId="5DE9DA5C" w14:textId="55EB620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0.237</w:t>
            </w:r>
          </w:p>
        </w:tc>
      </w:tr>
      <w:tr w:rsidR="004B7AA0" w:rsidRPr="004B7AA0" w14:paraId="47703D06" w14:textId="77777777" w:rsidTr="00643F3A">
        <w:tc>
          <w:tcPr>
            <w:tcW w:w="4361" w:type="dxa"/>
            <w:tcMar>
              <w:top w:w="113" w:type="dxa"/>
              <w:left w:w="113" w:type="dxa"/>
              <w:bottom w:w="113" w:type="dxa"/>
              <w:right w:w="113" w:type="dxa"/>
            </w:tcMar>
            <w:hideMark/>
          </w:tcPr>
          <w:p w14:paraId="73A638ED" w14:textId="1C919755"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255" w:type="dxa"/>
            <w:tcMar>
              <w:top w:w="113" w:type="dxa"/>
              <w:left w:w="113" w:type="dxa"/>
              <w:bottom w:w="113" w:type="dxa"/>
              <w:right w:w="113" w:type="dxa"/>
            </w:tcMar>
            <w:hideMark/>
          </w:tcPr>
          <w:p w14:paraId="4AE2DD0D" w14:textId="55BBD7B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-1.35758</w:t>
            </w:r>
          </w:p>
        </w:tc>
        <w:tc>
          <w:tcPr>
            <w:tcW w:w="2304" w:type="dxa"/>
            <w:tcMar>
              <w:top w:w="113" w:type="dxa"/>
              <w:left w:w="113" w:type="dxa"/>
              <w:bottom w:w="113" w:type="dxa"/>
              <w:right w:w="113" w:type="dxa"/>
            </w:tcMar>
            <w:hideMark/>
          </w:tcPr>
          <w:p w14:paraId="7C47066C" w14:textId="614E68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-2.16530 – -0.54986</w:t>
            </w:r>
          </w:p>
        </w:tc>
        <w:tc>
          <w:tcPr>
            <w:tcW w:w="1129" w:type="dxa"/>
            <w:tcMar>
              <w:top w:w="113" w:type="dxa"/>
              <w:left w:w="113" w:type="dxa"/>
              <w:bottom w:w="113" w:type="dxa"/>
              <w:right w:w="113" w:type="dxa"/>
            </w:tcMar>
            <w:hideMark/>
          </w:tcPr>
          <w:p w14:paraId="4BCE611C" w14:textId="1476C01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0.001</w:t>
            </w:r>
          </w:p>
        </w:tc>
      </w:tr>
      <w:tr w:rsidR="004B7AA0" w:rsidRPr="004B7AA0" w14:paraId="190DEFC1" w14:textId="77777777" w:rsidTr="00643F3A">
        <w:tc>
          <w:tcPr>
            <w:tcW w:w="4361" w:type="dxa"/>
            <w:tcMar>
              <w:top w:w="113" w:type="dxa"/>
              <w:left w:w="113" w:type="dxa"/>
              <w:bottom w:w="113" w:type="dxa"/>
              <w:right w:w="113" w:type="dxa"/>
            </w:tcMar>
            <w:hideMark/>
          </w:tcPr>
          <w:p w14:paraId="37E1DE74" w14:textId="599B929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255" w:type="dxa"/>
            <w:tcMar>
              <w:top w:w="113" w:type="dxa"/>
              <w:left w:w="113" w:type="dxa"/>
              <w:bottom w:w="113" w:type="dxa"/>
              <w:right w:w="113" w:type="dxa"/>
            </w:tcMar>
            <w:hideMark/>
          </w:tcPr>
          <w:p w14:paraId="6F1FE8B8" w14:textId="041D92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-1.17419</w:t>
            </w:r>
          </w:p>
        </w:tc>
        <w:tc>
          <w:tcPr>
            <w:tcW w:w="2304" w:type="dxa"/>
            <w:tcMar>
              <w:top w:w="113" w:type="dxa"/>
              <w:left w:w="113" w:type="dxa"/>
              <w:bottom w:w="113" w:type="dxa"/>
              <w:right w:w="113" w:type="dxa"/>
            </w:tcMar>
            <w:hideMark/>
          </w:tcPr>
          <w:p w14:paraId="362FE038" w14:textId="0981F06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-1.97447 – -0.37390</w:t>
            </w:r>
          </w:p>
        </w:tc>
        <w:tc>
          <w:tcPr>
            <w:tcW w:w="1129" w:type="dxa"/>
            <w:tcMar>
              <w:top w:w="113" w:type="dxa"/>
              <w:left w:w="113" w:type="dxa"/>
              <w:bottom w:w="113" w:type="dxa"/>
              <w:right w:w="113" w:type="dxa"/>
            </w:tcMar>
            <w:hideMark/>
          </w:tcPr>
          <w:p w14:paraId="65B9841B" w14:textId="7AE16CD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0.004</w:t>
            </w:r>
          </w:p>
        </w:tc>
      </w:tr>
      <w:tr w:rsidR="004B7AA0" w:rsidRPr="004B7AA0" w14:paraId="3DB254F5" w14:textId="77777777" w:rsidTr="00643F3A">
        <w:tc>
          <w:tcPr>
            <w:tcW w:w="4361" w:type="dxa"/>
            <w:tcMar>
              <w:top w:w="113" w:type="dxa"/>
              <w:left w:w="113" w:type="dxa"/>
              <w:bottom w:w="113" w:type="dxa"/>
              <w:right w:w="113" w:type="dxa"/>
            </w:tcMar>
            <w:hideMark/>
          </w:tcPr>
          <w:p w14:paraId="46B380D3" w14:textId="47BD25AF"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255" w:type="dxa"/>
            <w:tcMar>
              <w:top w:w="113" w:type="dxa"/>
              <w:left w:w="113" w:type="dxa"/>
              <w:bottom w:w="113" w:type="dxa"/>
              <w:right w:w="113" w:type="dxa"/>
            </w:tcMar>
            <w:hideMark/>
          </w:tcPr>
          <w:p w14:paraId="6F6203F4" w14:textId="02E1AC8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-1.06123</w:t>
            </w:r>
          </w:p>
        </w:tc>
        <w:tc>
          <w:tcPr>
            <w:tcW w:w="2304" w:type="dxa"/>
            <w:tcMar>
              <w:top w:w="113" w:type="dxa"/>
              <w:left w:w="113" w:type="dxa"/>
              <w:bottom w:w="113" w:type="dxa"/>
              <w:right w:w="113" w:type="dxa"/>
            </w:tcMar>
            <w:hideMark/>
          </w:tcPr>
          <w:p w14:paraId="1E3E97A9" w14:textId="6F62B25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-1.94158 – -0.18089</w:t>
            </w:r>
          </w:p>
        </w:tc>
        <w:tc>
          <w:tcPr>
            <w:tcW w:w="1129" w:type="dxa"/>
            <w:tcMar>
              <w:top w:w="113" w:type="dxa"/>
              <w:left w:w="113" w:type="dxa"/>
              <w:bottom w:w="113" w:type="dxa"/>
              <w:right w:w="113" w:type="dxa"/>
            </w:tcMar>
            <w:hideMark/>
          </w:tcPr>
          <w:p w14:paraId="624CF726" w14:textId="1351D12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0.019</w:t>
            </w:r>
          </w:p>
        </w:tc>
      </w:tr>
      <w:tr w:rsidR="004B7AA0" w:rsidRPr="004B7AA0" w14:paraId="54BA72E3" w14:textId="77777777" w:rsidTr="00643F3A">
        <w:tc>
          <w:tcPr>
            <w:tcW w:w="4361" w:type="dxa"/>
            <w:tcMar>
              <w:top w:w="113" w:type="dxa"/>
              <w:left w:w="113" w:type="dxa"/>
              <w:bottom w:w="113" w:type="dxa"/>
              <w:right w:w="113" w:type="dxa"/>
            </w:tcMar>
            <w:hideMark/>
          </w:tcPr>
          <w:p w14:paraId="7D7200E9" w14:textId="652DB59C"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255" w:type="dxa"/>
            <w:tcMar>
              <w:top w:w="113" w:type="dxa"/>
              <w:left w:w="113" w:type="dxa"/>
              <w:bottom w:w="113" w:type="dxa"/>
              <w:right w:w="113" w:type="dxa"/>
            </w:tcMar>
            <w:hideMark/>
          </w:tcPr>
          <w:p w14:paraId="1999D68B" w14:textId="58FF0E9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-1.88326</w:t>
            </w:r>
          </w:p>
        </w:tc>
        <w:tc>
          <w:tcPr>
            <w:tcW w:w="2304" w:type="dxa"/>
            <w:tcMar>
              <w:top w:w="113" w:type="dxa"/>
              <w:left w:w="113" w:type="dxa"/>
              <w:bottom w:w="113" w:type="dxa"/>
              <w:right w:w="113" w:type="dxa"/>
            </w:tcMar>
            <w:hideMark/>
          </w:tcPr>
          <w:p w14:paraId="3DC85B8D" w14:textId="08CB1BF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-3.26523 – -0.50128</w:t>
            </w:r>
          </w:p>
        </w:tc>
        <w:tc>
          <w:tcPr>
            <w:tcW w:w="1129" w:type="dxa"/>
            <w:tcMar>
              <w:top w:w="113" w:type="dxa"/>
              <w:left w:w="113" w:type="dxa"/>
              <w:bottom w:w="113" w:type="dxa"/>
              <w:right w:w="113" w:type="dxa"/>
            </w:tcMar>
            <w:hideMark/>
          </w:tcPr>
          <w:p w14:paraId="4A6D0DE2" w14:textId="6ACCEE9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0.008</w:t>
            </w:r>
          </w:p>
        </w:tc>
      </w:tr>
      <w:tr w:rsidR="004B7AA0" w:rsidRPr="004B7AA0" w14:paraId="08184BB0" w14:textId="77777777" w:rsidTr="00643F3A">
        <w:tc>
          <w:tcPr>
            <w:tcW w:w="4361" w:type="dxa"/>
            <w:tcMar>
              <w:top w:w="113" w:type="dxa"/>
              <w:left w:w="113" w:type="dxa"/>
              <w:bottom w:w="113" w:type="dxa"/>
              <w:right w:w="113" w:type="dxa"/>
            </w:tcMar>
            <w:hideMark/>
          </w:tcPr>
          <w:p w14:paraId="0FD65BDD" w14:textId="11359BF3"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255" w:type="dxa"/>
            <w:tcMar>
              <w:top w:w="113" w:type="dxa"/>
              <w:left w:w="113" w:type="dxa"/>
              <w:bottom w:w="113" w:type="dxa"/>
              <w:right w:w="113" w:type="dxa"/>
            </w:tcMar>
            <w:hideMark/>
          </w:tcPr>
          <w:p w14:paraId="2D8EE841" w14:textId="22C4510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-1.43027</w:t>
            </w:r>
          </w:p>
        </w:tc>
        <w:tc>
          <w:tcPr>
            <w:tcW w:w="2304" w:type="dxa"/>
            <w:tcMar>
              <w:top w:w="113" w:type="dxa"/>
              <w:left w:w="113" w:type="dxa"/>
              <w:bottom w:w="113" w:type="dxa"/>
              <w:right w:w="113" w:type="dxa"/>
            </w:tcMar>
            <w:hideMark/>
          </w:tcPr>
          <w:p w14:paraId="5E70DD94" w14:textId="4F9DD9B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-2.24257 – -0.61797</w:t>
            </w:r>
          </w:p>
        </w:tc>
        <w:tc>
          <w:tcPr>
            <w:tcW w:w="1129" w:type="dxa"/>
            <w:tcMar>
              <w:top w:w="113" w:type="dxa"/>
              <w:left w:w="113" w:type="dxa"/>
              <w:bottom w:w="113" w:type="dxa"/>
              <w:right w:w="113" w:type="dxa"/>
            </w:tcMar>
            <w:hideMark/>
          </w:tcPr>
          <w:p w14:paraId="2AF15A0C" w14:textId="16715F8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0.001</w:t>
            </w:r>
          </w:p>
        </w:tc>
      </w:tr>
      <w:tr w:rsidR="004B7AA0" w:rsidRPr="004B7AA0" w14:paraId="679F6AD7" w14:textId="77777777" w:rsidTr="00643F3A">
        <w:tc>
          <w:tcPr>
            <w:tcW w:w="4361" w:type="dxa"/>
            <w:tcMar>
              <w:top w:w="113" w:type="dxa"/>
              <w:left w:w="113" w:type="dxa"/>
              <w:bottom w:w="113" w:type="dxa"/>
              <w:right w:w="113" w:type="dxa"/>
            </w:tcMar>
            <w:hideMark/>
          </w:tcPr>
          <w:p w14:paraId="271C63CC" w14:textId="3E7F699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255" w:type="dxa"/>
            <w:tcMar>
              <w:top w:w="113" w:type="dxa"/>
              <w:left w:w="113" w:type="dxa"/>
              <w:bottom w:w="113" w:type="dxa"/>
              <w:right w:w="113" w:type="dxa"/>
            </w:tcMar>
            <w:hideMark/>
          </w:tcPr>
          <w:p w14:paraId="072D602E" w14:textId="0CD10A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-0.00005</w:t>
            </w:r>
          </w:p>
        </w:tc>
        <w:tc>
          <w:tcPr>
            <w:tcW w:w="2304" w:type="dxa"/>
            <w:tcMar>
              <w:top w:w="113" w:type="dxa"/>
              <w:left w:w="113" w:type="dxa"/>
              <w:bottom w:w="113" w:type="dxa"/>
              <w:right w:w="113" w:type="dxa"/>
            </w:tcMar>
            <w:hideMark/>
          </w:tcPr>
          <w:p w14:paraId="72CF7ABB" w14:textId="041F3FA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-0.00009 – -0.00000</w:t>
            </w:r>
          </w:p>
        </w:tc>
        <w:tc>
          <w:tcPr>
            <w:tcW w:w="1129" w:type="dxa"/>
            <w:tcMar>
              <w:top w:w="113" w:type="dxa"/>
              <w:left w:w="113" w:type="dxa"/>
              <w:bottom w:w="113" w:type="dxa"/>
              <w:right w:w="113" w:type="dxa"/>
            </w:tcMar>
            <w:hideMark/>
          </w:tcPr>
          <w:p w14:paraId="1CA456B7" w14:textId="6F74791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0.043</w:t>
            </w:r>
          </w:p>
        </w:tc>
      </w:tr>
      <w:tr w:rsidR="004B7AA0" w:rsidRPr="004B7AA0" w14:paraId="0B20D0BC" w14:textId="77777777" w:rsidTr="00643F3A">
        <w:tc>
          <w:tcPr>
            <w:tcW w:w="4361" w:type="dxa"/>
            <w:tcMar>
              <w:top w:w="113" w:type="dxa"/>
              <w:left w:w="113" w:type="dxa"/>
              <w:bottom w:w="113" w:type="dxa"/>
              <w:right w:w="113" w:type="dxa"/>
            </w:tcMar>
            <w:hideMark/>
          </w:tcPr>
          <w:p w14:paraId="69D2BB6E" w14:textId="1850601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255" w:type="dxa"/>
            <w:tcMar>
              <w:top w:w="113" w:type="dxa"/>
              <w:left w:w="113" w:type="dxa"/>
              <w:bottom w:w="113" w:type="dxa"/>
              <w:right w:w="113" w:type="dxa"/>
            </w:tcMar>
            <w:hideMark/>
          </w:tcPr>
          <w:p w14:paraId="546D586E" w14:textId="0C8C64B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-0.05319</w:t>
            </w:r>
          </w:p>
        </w:tc>
        <w:tc>
          <w:tcPr>
            <w:tcW w:w="2304" w:type="dxa"/>
            <w:tcMar>
              <w:top w:w="113" w:type="dxa"/>
              <w:left w:w="113" w:type="dxa"/>
              <w:bottom w:w="113" w:type="dxa"/>
              <w:right w:w="113" w:type="dxa"/>
            </w:tcMar>
            <w:hideMark/>
          </w:tcPr>
          <w:p w14:paraId="01E65C44" w14:textId="781FB6F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-0.15948 – 0.05310</w:t>
            </w:r>
          </w:p>
        </w:tc>
        <w:tc>
          <w:tcPr>
            <w:tcW w:w="1129" w:type="dxa"/>
            <w:tcMar>
              <w:top w:w="113" w:type="dxa"/>
              <w:left w:w="113" w:type="dxa"/>
              <w:bottom w:w="113" w:type="dxa"/>
              <w:right w:w="113" w:type="dxa"/>
            </w:tcMar>
            <w:hideMark/>
          </w:tcPr>
          <w:p w14:paraId="7D6E4A2E" w14:textId="6A572A7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0.328</w:t>
            </w:r>
          </w:p>
        </w:tc>
      </w:tr>
      <w:tr w:rsidR="004B7AA0" w:rsidRPr="004B7AA0" w14:paraId="5FAB4E2E" w14:textId="77777777" w:rsidTr="00643F3A">
        <w:tc>
          <w:tcPr>
            <w:tcW w:w="4361" w:type="dxa"/>
            <w:tcMar>
              <w:top w:w="113" w:type="dxa"/>
              <w:left w:w="113" w:type="dxa"/>
              <w:bottom w:w="113" w:type="dxa"/>
              <w:right w:w="113" w:type="dxa"/>
            </w:tcMar>
            <w:hideMark/>
          </w:tcPr>
          <w:p w14:paraId="04F476D2" w14:textId="7A422A1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255" w:type="dxa"/>
            <w:tcMar>
              <w:top w:w="113" w:type="dxa"/>
              <w:left w:w="113" w:type="dxa"/>
              <w:bottom w:w="113" w:type="dxa"/>
              <w:right w:w="113" w:type="dxa"/>
            </w:tcMar>
            <w:hideMark/>
          </w:tcPr>
          <w:p w14:paraId="317F0472" w14:textId="2C430F0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-0.02777</w:t>
            </w:r>
          </w:p>
        </w:tc>
        <w:tc>
          <w:tcPr>
            <w:tcW w:w="2304" w:type="dxa"/>
            <w:tcMar>
              <w:top w:w="113" w:type="dxa"/>
              <w:left w:w="113" w:type="dxa"/>
              <w:bottom w:w="113" w:type="dxa"/>
              <w:right w:w="113" w:type="dxa"/>
            </w:tcMar>
            <w:hideMark/>
          </w:tcPr>
          <w:p w14:paraId="70DA5F0E" w14:textId="74F440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-0.40812 – 0.35258</w:t>
            </w:r>
          </w:p>
        </w:tc>
        <w:tc>
          <w:tcPr>
            <w:tcW w:w="1129" w:type="dxa"/>
            <w:tcMar>
              <w:top w:w="113" w:type="dxa"/>
              <w:left w:w="113" w:type="dxa"/>
              <w:bottom w:w="113" w:type="dxa"/>
              <w:right w:w="113" w:type="dxa"/>
            </w:tcMar>
            <w:hideMark/>
          </w:tcPr>
          <w:p w14:paraId="047D8D88" w14:textId="69436D7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0.886</w:t>
            </w:r>
          </w:p>
        </w:tc>
      </w:tr>
      <w:tr w:rsidR="004B7AA0" w:rsidRPr="004B7AA0" w14:paraId="2F5A12DC" w14:textId="77777777" w:rsidTr="00643F3A">
        <w:tc>
          <w:tcPr>
            <w:tcW w:w="4361" w:type="dxa"/>
            <w:tcMar>
              <w:top w:w="113" w:type="dxa"/>
              <w:left w:w="113" w:type="dxa"/>
              <w:bottom w:w="113" w:type="dxa"/>
              <w:right w:w="113" w:type="dxa"/>
            </w:tcMar>
            <w:hideMark/>
          </w:tcPr>
          <w:p w14:paraId="49E32841" w14:textId="0F186C1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255" w:type="dxa"/>
            <w:tcMar>
              <w:top w:w="113" w:type="dxa"/>
              <w:left w:w="113" w:type="dxa"/>
              <w:bottom w:w="113" w:type="dxa"/>
              <w:right w:w="113" w:type="dxa"/>
            </w:tcMar>
            <w:hideMark/>
          </w:tcPr>
          <w:p w14:paraId="2A8C34E2" w14:textId="43BE0A8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-0.00001</w:t>
            </w:r>
          </w:p>
        </w:tc>
        <w:tc>
          <w:tcPr>
            <w:tcW w:w="2304" w:type="dxa"/>
            <w:tcMar>
              <w:top w:w="113" w:type="dxa"/>
              <w:left w:w="113" w:type="dxa"/>
              <w:bottom w:w="113" w:type="dxa"/>
              <w:right w:w="113" w:type="dxa"/>
            </w:tcMar>
            <w:hideMark/>
          </w:tcPr>
          <w:p w14:paraId="5FD591D3" w14:textId="5629C69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-0.00003 – 0.00001</w:t>
            </w:r>
          </w:p>
        </w:tc>
        <w:tc>
          <w:tcPr>
            <w:tcW w:w="1129" w:type="dxa"/>
            <w:tcMar>
              <w:top w:w="113" w:type="dxa"/>
              <w:left w:w="113" w:type="dxa"/>
              <w:bottom w:w="113" w:type="dxa"/>
              <w:right w:w="113" w:type="dxa"/>
            </w:tcMar>
            <w:hideMark/>
          </w:tcPr>
          <w:p w14:paraId="1F482FAF" w14:textId="6FEB2B5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0.431</w:t>
            </w:r>
          </w:p>
        </w:tc>
      </w:tr>
      <w:tr w:rsidR="004B7AA0" w:rsidRPr="004B7AA0" w14:paraId="1DD126B5" w14:textId="77777777" w:rsidTr="00643F3A">
        <w:tc>
          <w:tcPr>
            <w:tcW w:w="4361" w:type="dxa"/>
            <w:tcMar>
              <w:top w:w="113" w:type="dxa"/>
              <w:left w:w="113" w:type="dxa"/>
              <w:bottom w:w="113" w:type="dxa"/>
              <w:right w:w="113" w:type="dxa"/>
            </w:tcMar>
            <w:hideMark/>
          </w:tcPr>
          <w:p w14:paraId="2D9243EF" w14:textId="5F49C17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255" w:type="dxa"/>
            <w:tcMar>
              <w:top w:w="113" w:type="dxa"/>
              <w:left w:w="113" w:type="dxa"/>
              <w:bottom w:w="113" w:type="dxa"/>
              <w:right w:w="113" w:type="dxa"/>
            </w:tcMar>
            <w:hideMark/>
          </w:tcPr>
          <w:p w14:paraId="5F4502A3" w14:textId="45F2BD2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0.00006</w:t>
            </w:r>
          </w:p>
        </w:tc>
        <w:tc>
          <w:tcPr>
            <w:tcW w:w="2304" w:type="dxa"/>
            <w:tcMar>
              <w:top w:w="113" w:type="dxa"/>
              <w:left w:w="113" w:type="dxa"/>
              <w:bottom w:w="113" w:type="dxa"/>
              <w:right w:w="113" w:type="dxa"/>
            </w:tcMar>
            <w:hideMark/>
          </w:tcPr>
          <w:p w14:paraId="758306BF" w14:textId="6747447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0.00000 – 0.00011</w:t>
            </w:r>
          </w:p>
        </w:tc>
        <w:tc>
          <w:tcPr>
            <w:tcW w:w="1129" w:type="dxa"/>
            <w:tcMar>
              <w:top w:w="113" w:type="dxa"/>
              <w:left w:w="113" w:type="dxa"/>
              <w:bottom w:w="113" w:type="dxa"/>
              <w:right w:w="113" w:type="dxa"/>
            </w:tcMar>
            <w:hideMark/>
          </w:tcPr>
          <w:p w14:paraId="3EA6BDEE" w14:textId="522959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0.044</w:t>
            </w:r>
          </w:p>
        </w:tc>
      </w:tr>
      <w:tr w:rsidR="004B7AA0" w:rsidRPr="004B7AA0" w14:paraId="77BCDB69" w14:textId="77777777" w:rsidTr="00643F3A">
        <w:tc>
          <w:tcPr>
            <w:tcW w:w="4361" w:type="dxa"/>
            <w:tcMar>
              <w:top w:w="113" w:type="dxa"/>
              <w:left w:w="113" w:type="dxa"/>
              <w:bottom w:w="113" w:type="dxa"/>
              <w:right w:w="113" w:type="dxa"/>
            </w:tcMar>
            <w:hideMark/>
          </w:tcPr>
          <w:p w14:paraId="7BC6C006" w14:textId="411B6CDF"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255" w:type="dxa"/>
            <w:tcMar>
              <w:top w:w="113" w:type="dxa"/>
              <w:left w:w="113" w:type="dxa"/>
              <w:bottom w:w="113" w:type="dxa"/>
              <w:right w:w="113" w:type="dxa"/>
            </w:tcMar>
            <w:hideMark/>
          </w:tcPr>
          <w:p w14:paraId="12C190F5" w14:textId="660B73C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-0.00649</w:t>
            </w:r>
          </w:p>
        </w:tc>
        <w:tc>
          <w:tcPr>
            <w:tcW w:w="2304" w:type="dxa"/>
            <w:tcMar>
              <w:top w:w="113" w:type="dxa"/>
              <w:left w:w="113" w:type="dxa"/>
              <w:bottom w:w="113" w:type="dxa"/>
              <w:right w:w="113" w:type="dxa"/>
            </w:tcMar>
            <w:hideMark/>
          </w:tcPr>
          <w:p w14:paraId="26E2B456" w14:textId="2E60982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-0.04528 – 0.03230</w:t>
            </w:r>
          </w:p>
        </w:tc>
        <w:tc>
          <w:tcPr>
            <w:tcW w:w="1129" w:type="dxa"/>
            <w:tcMar>
              <w:top w:w="113" w:type="dxa"/>
              <w:left w:w="113" w:type="dxa"/>
              <w:bottom w:w="113" w:type="dxa"/>
              <w:right w:w="113" w:type="dxa"/>
            </w:tcMar>
            <w:hideMark/>
          </w:tcPr>
          <w:p w14:paraId="622D1CF5" w14:textId="41BBD01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0.743</w:t>
            </w:r>
          </w:p>
        </w:tc>
      </w:tr>
      <w:tr w:rsidR="004B7AA0" w:rsidRPr="004B7AA0" w14:paraId="6E28AB34" w14:textId="77777777" w:rsidTr="00643F3A">
        <w:tc>
          <w:tcPr>
            <w:tcW w:w="4361" w:type="dxa"/>
            <w:tcMar>
              <w:top w:w="113" w:type="dxa"/>
              <w:left w:w="113" w:type="dxa"/>
              <w:bottom w:w="113" w:type="dxa"/>
              <w:right w:w="113" w:type="dxa"/>
            </w:tcMar>
            <w:hideMark/>
          </w:tcPr>
          <w:p w14:paraId="233A4761" w14:textId="44271A1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255" w:type="dxa"/>
            <w:tcMar>
              <w:top w:w="113" w:type="dxa"/>
              <w:left w:w="113" w:type="dxa"/>
              <w:bottom w:w="113" w:type="dxa"/>
              <w:right w:w="113" w:type="dxa"/>
            </w:tcMar>
            <w:hideMark/>
          </w:tcPr>
          <w:p w14:paraId="0DD10E03" w14:textId="70F823A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0.04842</w:t>
            </w:r>
          </w:p>
        </w:tc>
        <w:tc>
          <w:tcPr>
            <w:tcW w:w="2304" w:type="dxa"/>
            <w:tcMar>
              <w:top w:w="113" w:type="dxa"/>
              <w:left w:w="113" w:type="dxa"/>
              <w:bottom w:w="113" w:type="dxa"/>
              <w:right w:w="113" w:type="dxa"/>
            </w:tcMar>
            <w:hideMark/>
          </w:tcPr>
          <w:p w14:paraId="28133E4A" w14:textId="736BF69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0.01394 – 0.08290</w:t>
            </w:r>
          </w:p>
        </w:tc>
        <w:tc>
          <w:tcPr>
            <w:tcW w:w="1129" w:type="dxa"/>
            <w:tcMar>
              <w:top w:w="113" w:type="dxa"/>
              <w:left w:w="113" w:type="dxa"/>
              <w:bottom w:w="113" w:type="dxa"/>
              <w:right w:w="113" w:type="dxa"/>
            </w:tcMar>
            <w:hideMark/>
          </w:tcPr>
          <w:p w14:paraId="05497561" w14:textId="025081D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0.006</w:t>
            </w:r>
          </w:p>
        </w:tc>
      </w:tr>
      <w:tr w:rsidR="004B7AA0" w:rsidRPr="004B7AA0" w14:paraId="5669BDBC" w14:textId="77777777" w:rsidTr="00643F3A">
        <w:tc>
          <w:tcPr>
            <w:tcW w:w="4361" w:type="dxa"/>
            <w:tcMar>
              <w:top w:w="113" w:type="dxa"/>
              <w:left w:w="113" w:type="dxa"/>
              <w:bottom w:w="113" w:type="dxa"/>
              <w:right w:w="113" w:type="dxa"/>
            </w:tcMar>
            <w:hideMark/>
          </w:tcPr>
          <w:p w14:paraId="293CE719" w14:textId="35C63C7A"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255" w:type="dxa"/>
            <w:tcMar>
              <w:top w:w="113" w:type="dxa"/>
              <w:left w:w="113" w:type="dxa"/>
              <w:bottom w:w="113" w:type="dxa"/>
              <w:right w:w="113" w:type="dxa"/>
            </w:tcMar>
            <w:hideMark/>
          </w:tcPr>
          <w:p w14:paraId="207A71A4" w14:textId="435C0D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0.03605</w:t>
            </w:r>
          </w:p>
        </w:tc>
        <w:tc>
          <w:tcPr>
            <w:tcW w:w="2304" w:type="dxa"/>
            <w:tcMar>
              <w:top w:w="113" w:type="dxa"/>
              <w:left w:w="113" w:type="dxa"/>
              <w:bottom w:w="113" w:type="dxa"/>
              <w:right w:w="113" w:type="dxa"/>
            </w:tcMar>
            <w:hideMark/>
          </w:tcPr>
          <w:p w14:paraId="146665F7" w14:textId="1DB51EF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-0.00506 – 0.07716</w:t>
            </w:r>
          </w:p>
        </w:tc>
        <w:tc>
          <w:tcPr>
            <w:tcW w:w="1129" w:type="dxa"/>
            <w:tcMar>
              <w:top w:w="113" w:type="dxa"/>
              <w:left w:w="113" w:type="dxa"/>
              <w:bottom w:w="113" w:type="dxa"/>
              <w:right w:w="113" w:type="dxa"/>
            </w:tcMar>
            <w:hideMark/>
          </w:tcPr>
          <w:p w14:paraId="37626FDA" w14:textId="2B23EB6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0.087</w:t>
            </w:r>
          </w:p>
        </w:tc>
      </w:tr>
      <w:tr w:rsidR="00266752" w:rsidRPr="004B7AA0" w14:paraId="2CCE849B" w14:textId="77777777" w:rsidTr="00643F3A">
        <w:tc>
          <w:tcPr>
            <w:tcW w:w="4361" w:type="dxa"/>
            <w:tcBorders>
              <w:top w:val="single" w:sz="6" w:space="0" w:color="auto"/>
            </w:tcBorders>
            <w:tcMar>
              <w:top w:w="57" w:type="dxa"/>
              <w:left w:w="113" w:type="dxa"/>
              <w:bottom w:w="57" w:type="dxa"/>
              <w:right w:w="113" w:type="dxa"/>
            </w:tcMar>
            <w:hideMark/>
          </w:tcPr>
          <w:p w14:paraId="31A0B056"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688" w:type="dxa"/>
            <w:gridSpan w:val="3"/>
            <w:tcBorders>
              <w:top w:val="single" w:sz="6" w:space="0" w:color="auto"/>
            </w:tcBorders>
            <w:tcMar>
              <w:top w:w="57" w:type="dxa"/>
              <w:left w:w="113" w:type="dxa"/>
              <w:bottom w:w="57" w:type="dxa"/>
              <w:right w:w="113" w:type="dxa"/>
            </w:tcMar>
            <w:hideMark/>
          </w:tcPr>
          <w:p w14:paraId="7C99A150"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212</w:t>
            </w:r>
          </w:p>
        </w:tc>
      </w:tr>
      <w:tr w:rsidR="00266752" w:rsidRPr="004B7AA0" w14:paraId="313064CD" w14:textId="77777777" w:rsidTr="00643F3A">
        <w:tc>
          <w:tcPr>
            <w:tcW w:w="4361" w:type="dxa"/>
            <w:tcMar>
              <w:top w:w="57" w:type="dxa"/>
              <w:left w:w="113" w:type="dxa"/>
              <w:bottom w:w="57" w:type="dxa"/>
              <w:right w:w="113" w:type="dxa"/>
            </w:tcMar>
            <w:hideMark/>
          </w:tcPr>
          <w:p w14:paraId="09C2029B"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688" w:type="dxa"/>
            <w:gridSpan w:val="3"/>
            <w:tcMar>
              <w:top w:w="57" w:type="dxa"/>
              <w:left w:w="113" w:type="dxa"/>
              <w:bottom w:w="57" w:type="dxa"/>
              <w:right w:w="113" w:type="dxa"/>
            </w:tcMar>
            <w:hideMark/>
          </w:tcPr>
          <w:p w14:paraId="72EAB50B" w14:textId="54C75D09"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0.3</w:t>
            </w:r>
            <w:r w:rsidR="004B7AA0" w:rsidRPr="004B7AA0">
              <w:rPr>
                <w:rFonts w:ascii="Times New Roman" w:eastAsia="Times New Roman" w:hAnsi="Times New Roman" w:cs="Times New Roman"/>
                <w:lang w:eastAsia="de-DE"/>
              </w:rPr>
              <w:t>49</w:t>
            </w:r>
          </w:p>
        </w:tc>
      </w:tr>
    </w:tbl>
    <w:p w14:paraId="2DEE5047" w14:textId="77777777" w:rsidR="00266752" w:rsidRPr="005076A2" w:rsidRDefault="00266752" w:rsidP="005076A2">
      <w:pPr>
        <w:rPr>
          <w:rFonts w:ascii="Times New Roman" w:hAnsi="Times New Roman" w:cs="Times New Roman"/>
          <w:b/>
          <w:sz w:val="24"/>
          <w:szCs w:val="24"/>
        </w:rPr>
      </w:pPr>
    </w:p>
    <w:p w14:paraId="6648DE49"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20A521EF" w14:textId="14847B00"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rPr>
        <w:lastRenderedPageBreak/>
        <w:t xml:space="preserve">6t.  </w:t>
      </w:r>
      <w:r w:rsidRPr="005076A2">
        <w:rPr>
          <w:rFonts w:ascii="Times New Roman" w:hAnsi="Times New Roman" w:cs="Times New Roman"/>
          <w:b/>
          <w:sz w:val="24"/>
          <w:szCs w:val="24"/>
          <w:lang w:val="en-US"/>
        </w:rPr>
        <w:t>Nitrate ion.</w:t>
      </w:r>
    </w:p>
    <w:tbl>
      <w:tblPr>
        <w:tblW w:w="0" w:type="auto"/>
        <w:tblCellMar>
          <w:top w:w="15" w:type="dxa"/>
          <w:left w:w="15" w:type="dxa"/>
          <w:bottom w:w="15" w:type="dxa"/>
          <w:right w:w="15" w:type="dxa"/>
        </w:tblCellMar>
        <w:tblLook w:val="04A0" w:firstRow="1" w:lastRow="0" w:firstColumn="1" w:lastColumn="0" w:noHBand="0" w:noVBand="1"/>
      </w:tblPr>
      <w:tblGrid>
        <w:gridCol w:w="4191"/>
        <w:gridCol w:w="1167"/>
        <w:gridCol w:w="2292"/>
        <w:gridCol w:w="1399"/>
      </w:tblGrid>
      <w:tr w:rsidR="00266752" w:rsidRPr="004B7AA0" w14:paraId="0CED54A8" w14:textId="77777777" w:rsidTr="00643F3A">
        <w:tc>
          <w:tcPr>
            <w:tcW w:w="4191" w:type="dxa"/>
            <w:tcBorders>
              <w:top w:val="double" w:sz="6" w:space="0" w:color="auto"/>
            </w:tcBorders>
            <w:tcMar>
              <w:top w:w="113" w:type="dxa"/>
              <w:left w:w="113" w:type="dxa"/>
              <w:bottom w:w="113" w:type="dxa"/>
              <w:right w:w="113" w:type="dxa"/>
            </w:tcMar>
            <w:vAlign w:val="center"/>
            <w:hideMark/>
          </w:tcPr>
          <w:p w14:paraId="64261DBF" w14:textId="77777777" w:rsidR="00266752" w:rsidRPr="004B7AA0" w:rsidRDefault="00266752" w:rsidP="00266752">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858" w:type="dxa"/>
            <w:gridSpan w:val="3"/>
            <w:tcBorders>
              <w:top w:val="double" w:sz="6" w:space="0" w:color="auto"/>
            </w:tcBorders>
            <w:tcMar>
              <w:top w:w="113" w:type="dxa"/>
              <w:left w:w="113" w:type="dxa"/>
              <w:bottom w:w="113" w:type="dxa"/>
              <w:right w:w="113" w:type="dxa"/>
            </w:tcMar>
            <w:vAlign w:val="center"/>
            <w:hideMark/>
          </w:tcPr>
          <w:p w14:paraId="25501975" w14:textId="68802D0D" w:rsidR="00266752" w:rsidRPr="004B7AA0" w:rsidRDefault="004B7AA0" w:rsidP="00266752">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Nitrate ion</w:t>
            </w:r>
          </w:p>
        </w:tc>
      </w:tr>
      <w:tr w:rsidR="00266752" w:rsidRPr="004B7AA0" w14:paraId="3DB50FCB" w14:textId="77777777" w:rsidTr="00643F3A">
        <w:tc>
          <w:tcPr>
            <w:tcW w:w="4191" w:type="dxa"/>
            <w:tcBorders>
              <w:bottom w:val="single" w:sz="6" w:space="0" w:color="auto"/>
            </w:tcBorders>
            <w:vAlign w:val="center"/>
            <w:hideMark/>
          </w:tcPr>
          <w:p w14:paraId="07D55886" w14:textId="77777777" w:rsidR="00266752" w:rsidRPr="004B7AA0" w:rsidRDefault="00266752" w:rsidP="00266752">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1EB1B598"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292" w:type="dxa"/>
            <w:tcBorders>
              <w:bottom w:val="single" w:sz="6" w:space="0" w:color="auto"/>
            </w:tcBorders>
            <w:vAlign w:val="center"/>
            <w:hideMark/>
          </w:tcPr>
          <w:p w14:paraId="22904271"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399" w:type="dxa"/>
            <w:tcBorders>
              <w:bottom w:val="single" w:sz="6" w:space="0" w:color="auto"/>
            </w:tcBorders>
            <w:vAlign w:val="center"/>
            <w:hideMark/>
          </w:tcPr>
          <w:p w14:paraId="1351A1B3"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70B3CC16" w14:textId="77777777" w:rsidTr="00643F3A">
        <w:tc>
          <w:tcPr>
            <w:tcW w:w="4191" w:type="dxa"/>
            <w:tcMar>
              <w:top w:w="113" w:type="dxa"/>
              <w:left w:w="113" w:type="dxa"/>
              <w:bottom w:w="113" w:type="dxa"/>
              <w:right w:w="113" w:type="dxa"/>
            </w:tcMar>
            <w:hideMark/>
          </w:tcPr>
          <w:p w14:paraId="662BA853" w14:textId="58203B4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33E5603B" w14:textId="6B9775D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-3.480</w:t>
            </w:r>
          </w:p>
        </w:tc>
        <w:tc>
          <w:tcPr>
            <w:tcW w:w="2292" w:type="dxa"/>
            <w:tcMar>
              <w:top w:w="113" w:type="dxa"/>
              <w:left w:w="113" w:type="dxa"/>
              <w:bottom w:w="113" w:type="dxa"/>
              <w:right w:w="113" w:type="dxa"/>
            </w:tcMar>
            <w:hideMark/>
          </w:tcPr>
          <w:p w14:paraId="01A97661" w14:textId="747BF3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-7.224 – 0.264</w:t>
            </w:r>
          </w:p>
        </w:tc>
        <w:tc>
          <w:tcPr>
            <w:tcW w:w="1399" w:type="dxa"/>
            <w:tcMar>
              <w:top w:w="113" w:type="dxa"/>
              <w:left w:w="113" w:type="dxa"/>
              <w:bottom w:w="113" w:type="dxa"/>
              <w:right w:w="113" w:type="dxa"/>
            </w:tcMar>
            <w:hideMark/>
          </w:tcPr>
          <w:p w14:paraId="5D2F0A87" w14:textId="1B75C9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0.070</w:t>
            </w:r>
          </w:p>
        </w:tc>
      </w:tr>
      <w:tr w:rsidR="004B7AA0" w:rsidRPr="004B7AA0" w14:paraId="636B8A9D" w14:textId="77777777" w:rsidTr="00643F3A">
        <w:tc>
          <w:tcPr>
            <w:tcW w:w="4191" w:type="dxa"/>
            <w:tcMar>
              <w:top w:w="113" w:type="dxa"/>
              <w:left w:w="113" w:type="dxa"/>
              <w:bottom w:w="113" w:type="dxa"/>
              <w:right w:w="113" w:type="dxa"/>
            </w:tcMar>
            <w:hideMark/>
          </w:tcPr>
          <w:p w14:paraId="3CA954A4" w14:textId="30C58D35"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4720D9BD" w14:textId="1957A4C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0.145</w:t>
            </w:r>
          </w:p>
        </w:tc>
        <w:tc>
          <w:tcPr>
            <w:tcW w:w="2292" w:type="dxa"/>
            <w:tcMar>
              <w:top w:w="113" w:type="dxa"/>
              <w:left w:w="113" w:type="dxa"/>
              <w:bottom w:w="113" w:type="dxa"/>
              <w:right w:w="113" w:type="dxa"/>
            </w:tcMar>
            <w:hideMark/>
          </w:tcPr>
          <w:p w14:paraId="524E1069" w14:textId="413B355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0.043 – 0.247</w:t>
            </w:r>
          </w:p>
        </w:tc>
        <w:tc>
          <w:tcPr>
            <w:tcW w:w="1399" w:type="dxa"/>
            <w:tcMar>
              <w:top w:w="113" w:type="dxa"/>
              <w:left w:w="113" w:type="dxa"/>
              <w:bottom w:w="113" w:type="dxa"/>
              <w:right w:w="113" w:type="dxa"/>
            </w:tcMar>
            <w:hideMark/>
          </w:tcPr>
          <w:p w14:paraId="17D86370" w14:textId="4F2F185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0.006</w:t>
            </w:r>
          </w:p>
        </w:tc>
      </w:tr>
      <w:tr w:rsidR="004B7AA0" w:rsidRPr="004B7AA0" w14:paraId="45FC389A" w14:textId="77777777" w:rsidTr="00643F3A">
        <w:tc>
          <w:tcPr>
            <w:tcW w:w="4191" w:type="dxa"/>
            <w:tcMar>
              <w:top w:w="113" w:type="dxa"/>
              <w:left w:w="113" w:type="dxa"/>
              <w:bottom w:w="113" w:type="dxa"/>
              <w:right w:w="113" w:type="dxa"/>
            </w:tcMar>
            <w:hideMark/>
          </w:tcPr>
          <w:p w14:paraId="2FB19B74" w14:textId="4EDC670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4BA572A1" w14:textId="205FBE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4.604</w:t>
            </w:r>
          </w:p>
        </w:tc>
        <w:tc>
          <w:tcPr>
            <w:tcW w:w="2292" w:type="dxa"/>
            <w:tcMar>
              <w:top w:w="113" w:type="dxa"/>
              <w:left w:w="113" w:type="dxa"/>
              <w:bottom w:w="113" w:type="dxa"/>
              <w:right w:w="113" w:type="dxa"/>
            </w:tcMar>
            <w:hideMark/>
          </w:tcPr>
          <w:p w14:paraId="252B5AE3" w14:textId="6F89A4F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0.824 – 8.384</w:t>
            </w:r>
          </w:p>
        </w:tc>
        <w:tc>
          <w:tcPr>
            <w:tcW w:w="1399" w:type="dxa"/>
            <w:tcMar>
              <w:top w:w="113" w:type="dxa"/>
              <w:left w:w="113" w:type="dxa"/>
              <w:bottom w:w="113" w:type="dxa"/>
              <w:right w:w="113" w:type="dxa"/>
            </w:tcMar>
            <w:hideMark/>
          </w:tcPr>
          <w:p w14:paraId="0B4A8C7C" w14:textId="621C420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0.018</w:t>
            </w:r>
          </w:p>
        </w:tc>
      </w:tr>
      <w:tr w:rsidR="004B7AA0" w:rsidRPr="004B7AA0" w14:paraId="6504A1E0" w14:textId="77777777" w:rsidTr="00643F3A">
        <w:tc>
          <w:tcPr>
            <w:tcW w:w="4191" w:type="dxa"/>
            <w:tcMar>
              <w:top w:w="113" w:type="dxa"/>
              <w:left w:w="113" w:type="dxa"/>
              <w:bottom w:w="113" w:type="dxa"/>
              <w:right w:w="113" w:type="dxa"/>
            </w:tcMar>
            <w:hideMark/>
          </w:tcPr>
          <w:p w14:paraId="781457B0" w14:textId="6D05B1D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3F7502C8" w14:textId="0FD454F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6.084</w:t>
            </w:r>
          </w:p>
        </w:tc>
        <w:tc>
          <w:tcPr>
            <w:tcW w:w="2292" w:type="dxa"/>
            <w:tcMar>
              <w:top w:w="113" w:type="dxa"/>
              <w:left w:w="113" w:type="dxa"/>
              <w:bottom w:w="113" w:type="dxa"/>
              <w:right w:w="113" w:type="dxa"/>
            </w:tcMar>
            <w:hideMark/>
          </w:tcPr>
          <w:p w14:paraId="06F898A3" w14:textId="54DB317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2.350 – 9.818</w:t>
            </w:r>
          </w:p>
        </w:tc>
        <w:tc>
          <w:tcPr>
            <w:tcW w:w="1399" w:type="dxa"/>
            <w:tcMar>
              <w:top w:w="113" w:type="dxa"/>
              <w:left w:w="113" w:type="dxa"/>
              <w:bottom w:w="113" w:type="dxa"/>
              <w:right w:w="113" w:type="dxa"/>
            </w:tcMar>
            <w:hideMark/>
          </w:tcPr>
          <w:p w14:paraId="0A0460DD" w14:textId="78CB221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0.002</w:t>
            </w:r>
          </w:p>
        </w:tc>
      </w:tr>
      <w:tr w:rsidR="004B7AA0" w:rsidRPr="004B7AA0" w14:paraId="2460BC42" w14:textId="77777777" w:rsidTr="00643F3A">
        <w:tc>
          <w:tcPr>
            <w:tcW w:w="4191" w:type="dxa"/>
            <w:tcMar>
              <w:top w:w="113" w:type="dxa"/>
              <w:left w:w="113" w:type="dxa"/>
              <w:bottom w:w="113" w:type="dxa"/>
              <w:right w:w="113" w:type="dxa"/>
            </w:tcMar>
            <w:hideMark/>
          </w:tcPr>
          <w:p w14:paraId="7DC2F2ED" w14:textId="56EE13F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3AEE6529" w14:textId="09D113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6.711</w:t>
            </w:r>
          </w:p>
        </w:tc>
        <w:tc>
          <w:tcPr>
            <w:tcW w:w="2292" w:type="dxa"/>
            <w:tcMar>
              <w:top w:w="113" w:type="dxa"/>
              <w:left w:w="113" w:type="dxa"/>
              <w:bottom w:w="113" w:type="dxa"/>
              <w:right w:w="113" w:type="dxa"/>
            </w:tcMar>
            <w:hideMark/>
          </w:tcPr>
          <w:p w14:paraId="66ABA17F" w14:textId="5A11458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2.395 – 11.026</w:t>
            </w:r>
          </w:p>
        </w:tc>
        <w:tc>
          <w:tcPr>
            <w:tcW w:w="1399" w:type="dxa"/>
            <w:tcMar>
              <w:top w:w="113" w:type="dxa"/>
              <w:left w:w="113" w:type="dxa"/>
              <w:bottom w:w="113" w:type="dxa"/>
              <w:right w:w="113" w:type="dxa"/>
            </w:tcMar>
            <w:hideMark/>
          </w:tcPr>
          <w:p w14:paraId="615F698A" w14:textId="290854C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0.003</w:t>
            </w:r>
          </w:p>
        </w:tc>
      </w:tr>
      <w:tr w:rsidR="004B7AA0" w:rsidRPr="004B7AA0" w14:paraId="059E4484" w14:textId="77777777" w:rsidTr="00643F3A">
        <w:tc>
          <w:tcPr>
            <w:tcW w:w="4191" w:type="dxa"/>
            <w:tcMar>
              <w:top w:w="113" w:type="dxa"/>
              <w:left w:w="113" w:type="dxa"/>
              <w:bottom w:w="113" w:type="dxa"/>
              <w:right w:w="113" w:type="dxa"/>
            </w:tcMar>
            <w:hideMark/>
          </w:tcPr>
          <w:p w14:paraId="2E2303BF" w14:textId="1515D1D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10539314" w14:textId="7F73BB3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3.909</w:t>
            </w:r>
          </w:p>
        </w:tc>
        <w:tc>
          <w:tcPr>
            <w:tcW w:w="2292" w:type="dxa"/>
            <w:tcMar>
              <w:top w:w="113" w:type="dxa"/>
              <w:left w:w="113" w:type="dxa"/>
              <w:bottom w:w="113" w:type="dxa"/>
              <w:right w:w="113" w:type="dxa"/>
            </w:tcMar>
            <w:hideMark/>
          </w:tcPr>
          <w:p w14:paraId="713E0DD3" w14:textId="090A28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-0.490 – 8.309</w:t>
            </w:r>
          </w:p>
        </w:tc>
        <w:tc>
          <w:tcPr>
            <w:tcW w:w="1399" w:type="dxa"/>
            <w:tcMar>
              <w:top w:w="113" w:type="dxa"/>
              <w:left w:w="113" w:type="dxa"/>
              <w:bottom w:w="113" w:type="dxa"/>
              <w:right w:w="113" w:type="dxa"/>
            </w:tcMar>
            <w:hideMark/>
          </w:tcPr>
          <w:p w14:paraId="74A55441" w14:textId="0193763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0.083</w:t>
            </w:r>
          </w:p>
        </w:tc>
      </w:tr>
      <w:tr w:rsidR="004B7AA0" w:rsidRPr="004B7AA0" w14:paraId="4B449F7E" w14:textId="77777777" w:rsidTr="00643F3A">
        <w:tc>
          <w:tcPr>
            <w:tcW w:w="4191" w:type="dxa"/>
            <w:tcMar>
              <w:top w:w="113" w:type="dxa"/>
              <w:left w:w="113" w:type="dxa"/>
              <w:bottom w:w="113" w:type="dxa"/>
              <w:right w:w="113" w:type="dxa"/>
            </w:tcMar>
            <w:hideMark/>
          </w:tcPr>
          <w:p w14:paraId="23B73C05" w14:textId="0103233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47864AE8" w14:textId="543A678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4.870</w:t>
            </w:r>
          </w:p>
        </w:tc>
        <w:tc>
          <w:tcPr>
            <w:tcW w:w="2292" w:type="dxa"/>
            <w:tcMar>
              <w:top w:w="113" w:type="dxa"/>
              <w:left w:w="113" w:type="dxa"/>
              <w:bottom w:w="113" w:type="dxa"/>
              <w:right w:w="113" w:type="dxa"/>
            </w:tcMar>
            <w:hideMark/>
          </w:tcPr>
          <w:p w14:paraId="05F47DE0" w14:textId="6A6ADFE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1.092 – 8.648</w:t>
            </w:r>
          </w:p>
        </w:tc>
        <w:tc>
          <w:tcPr>
            <w:tcW w:w="1399" w:type="dxa"/>
            <w:tcMar>
              <w:top w:w="113" w:type="dxa"/>
              <w:left w:w="113" w:type="dxa"/>
              <w:bottom w:w="113" w:type="dxa"/>
              <w:right w:w="113" w:type="dxa"/>
            </w:tcMar>
            <w:hideMark/>
          </w:tcPr>
          <w:p w14:paraId="0F8DBAD1" w14:textId="078E479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0.012</w:t>
            </w:r>
          </w:p>
        </w:tc>
      </w:tr>
      <w:tr w:rsidR="004B7AA0" w:rsidRPr="004B7AA0" w14:paraId="0531FD42" w14:textId="77777777" w:rsidTr="00643F3A">
        <w:tc>
          <w:tcPr>
            <w:tcW w:w="4191" w:type="dxa"/>
            <w:tcMar>
              <w:top w:w="113" w:type="dxa"/>
              <w:left w:w="113" w:type="dxa"/>
              <w:bottom w:w="113" w:type="dxa"/>
              <w:right w:w="113" w:type="dxa"/>
            </w:tcMar>
            <w:hideMark/>
          </w:tcPr>
          <w:p w14:paraId="22A78E20" w14:textId="5F6615A3"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110423F1" w14:textId="457738C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66E37E82" w14:textId="18437C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 – 0.000</w:t>
            </w:r>
          </w:p>
        </w:tc>
        <w:tc>
          <w:tcPr>
            <w:tcW w:w="1399" w:type="dxa"/>
            <w:tcMar>
              <w:top w:w="113" w:type="dxa"/>
              <w:left w:w="113" w:type="dxa"/>
              <w:bottom w:w="113" w:type="dxa"/>
              <w:right w:w="113" w:type="dxa"/>
            </w:tcMar>
            <w:hideMark/>
          </w:tcPr>
          <w:p w14:paraId="407936A4" w14:textId="084F274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0.549</w:t>
            </w:r>
          </w:p>
        </w:tc>
      </w:tr>
      <w:tr w:rsidR="004B7AA0" w:rsidRPr="004B7AA0" w14:paraId="674DB5BE" w14:textId="77777777" w:rsidTr="00643F3A">
        <w:tc>
          <w:tcPr>
            <w:tcW w:w="4191" w:type="dxa"/>
            <w:tcMar>
              <w:top w:w="113" w:type="dxa"/>
              <w:left w:w="113" w:type="dxa"/>
              <w:bottom w:w="113" w:type="dxa"/>
              <w:right w:w="113" w:type="dxa"/>
            </w:tcMar>
            <w:hideMark/>
          </w:tcPr>
          <w:p w14:paraId="69CD91FC" w14:textId="5F78BC9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0E66558E" w14:textId="6EFDCF5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-0.321</w:t>
            </w:r>
          </w:p>
        </w:tc>
        <w:tc>
          <w:tcPr>
            <w:tcW w:w="2292" w:type="dxa"/>
            <w:tcMar>
              <w:top w:w="113" w:type="dxa"/>
              <w:left w:w="113" w:type="dxa"/>
              <w:bottom w:w="113" w:type="dxa"/>
              <w:right w:w="113" w:type="dxa"/>
            </w:tcMar>
            <w:hideMark/>
          </w:tcPr>
          <w:p w14:paraId="06ECD65F" w14:textId="729784B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-1.125 – 0.483</w:t>
            </w:r>
          </w:p>
        </w:tc>
        <w:tc>
          <w:tcPr>
            <w:tcW w:w="1399" w:type="dxa"/>
            <w:tcMar>
              <w:top w:w="113" w:type="dxa"/>
              <w:left w:w="113" w:type="dxa"/>
              <w:bottom w:w="113" w:type="dxa"/>
              <w:right w:w="113" w:type="dxa"/>
            </w:tcMar>
            <w:hideMark/>
          </w:tcPr>
          <w:p w14:paraId="46E8AD50" w14:textId="2D1A1B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0.435</w:t>
            </w:r>
          </w:p>
        </w:tc>
      </w:tr>
      <w:tr w:rsidR="004B7AA0" w:rsidRPr="004B7AA0" w14:paraId="529FD490" w14:textId="77777777" w:rsidTr="00643F3A">
        <w:tc>
          <w:tcPr>
            <w:tcW w:w="4191" w:type="dxa"/>
            <w:tcMar>
              <w:top w:w="113" w:type="dxa"/>
              <w:left w:w="113" w:type="dxa"/>
              <w:bottom w:w="113" w:type="dxa"/>
              <w:right w:w="113" w:type="dxa"/>
            </w:tcMar>
            <w:hideMark/>
          </w:tcPr>
          <w:p w14:paraId="2B423881" w14:textId="282076A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267E77B8" w14:textId="432998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2.048</w:t>
            </w:r>
          </w:p>
        </w:tc>
        <w:tc>
          <w:tcPr>
            <w:tcW w:w="2292" w:type="dxa"/>
            <w:tcMar>
              <w:top w:w="113" w:type="dxa"/>
              <w:left w:w="113" w:type="dxa"/>
              <w:bottom w:w="113" w:type="dxa"/>
              <w:right w:w="113" w:type="dxa"/>
            </w:tcMar>
            <w:hideMark/>
          </w:tcPr>
          <w:p w14:paraId="5CC392ED" w14:textId="5965B92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-0.706 – 4.802</w:t>
            </w:r>
          </w:p>
        </w:tc>
        <w:tc>
          <w:tcPr>
            <w:tcW w:w="1399" w:type="dxa"/>
            <w:tcMar>
              <w:top w:w="113" w:type="dxa"/>
              <w:left w:w="113" w:type="dxa"/>
              <w:bottom w:w="113" w:type="dxa"/>
              <w:right w:w="113" w:type="dxa"/>
            </w:tcMar>
            <w:hideMark/>
          </w:tcPr>
          <w:p w14:paraId="55E87A11" w14:textId="2CD0899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0.146</w:t>
            </w:r>
          </w:p>
        </w:tc>
      </w:tr>
      <w:tr w:rsidR="004B7AA0" w:rsidRPr="004B7AA0" w14:paraId="7D45D40F" w14:textId="77777777" w:rsidTr="00643F3A">
        <w:tc>
          <w:tcPr>
            <w:tcW w:w="4191" w:type="dxa"/>
            <w:tcMar>
              <w:top w:w="113" w:type="dxa"/>
              <w:left w:w="113" w:type="dxa"/>
              <w:bottom w:w="113" w:type="dxa"/>
              <w:right w:w="113" w:type="dxa"/>
            </w:tcMar>
            <w:hideMark/>
          </w:tcPr>
          <w:p w14:paraId="58AA71DA" w14:textId="6E3469A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1DDE945C" w14:textId="3D208A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7EEE50EE" w14:textId="62418A1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 – 0.000</w:t>
            </w:r>
          </w:p>
        </w:tc>
        <w:tc>
          <w:tcPr>
            <w:tcW w:w="1399" w:type="dxa"/>
            <w:tcMar>
              <w:top w:w="113" w:type="dxa"/>
              <w:left w:w="113" w:type="dxa"/>
              <w:bottom w:w="113" w:type="dxa"/>
              <w:right w:w="113" w:type="dxa"/>
            </w:tcMar>
            <w:hideMark/>
          </w:tcPr>
          <w:p w14:paraId="17A3AD8E" w14:textId="32556A5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0.461</w:t>
            </w:r>
          </w:p>
        </w:tc>
      </w:tr>
      <w:tr w:rsidR="004B7AA0" w:rsidRPr="004B7AA0" w14:paraId="467C121D" w14:textId="77777777" w:rsidTr="00643F3A">
        <w:tc>
          <w:tcPr>
            <w:tcW w:w="4191" w:type="dxa"/>
            <w:tcMar>
              <w:top w:w="113" w:type="dxa"/>
              <w:left w:w="113" w:type="dxa"/>
              <w:bottom w:w="113" w:type="dxa"/>
              <w:right w:w="113" w:type="dxa"/>
            </w:tcMar>
            <w:hideMark/>
          </w:tcPr>
          <w:p w14:paraId="7AE53B7B" w14:textId="4D5CD21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4727DD96" w14:textId="00373D1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5F6C9FBA" w14:textId="5C3537A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-0.001 – 0.000</w:t>
            </w:r>
          </w:p>
        </w:tc>
        <w:tc>
          <w:tcPr>
            <w:tcW w:w="1399" w:type="dxa"/>
            <w:tcMar>
              <w:top w:w="113" w:type="dxa"/>
              <w:left w:w="113" w:type="dxa"/>
              <w:bottom w:w="113" w:type="dxa"/>
              <w:right w:w="113" w:type="dxa"/>
            </w:tcMar>
            <w:hideMark/>
          </w:tcPr>
          <w:p w14:paraId="65389369" w14:textId="59590AB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0.294</w:t>
            </w:r>
          </w:p>
        </w:tc>
      </w:tr>
      <w:tr w:rsidR="004B7AA0" w:rsidRPr="004B7AA0" w14:paraId="5BDBEDEB" w14:textId="77777777" w:rsidTr="00643F3A">
        <w:tc>
          <w:tcPr>
            <w:tcW w:w="4191" w:type="dxa"/>
            <w:tcMar>
              <w:top w:w="113" w:type="dxa"/>
              <w:left w:w="113" w:type="dxa"/>
              <w:bottom w:w="113" w:type="dxa"/>
              <w:right w:w="113" w:type="dxa"/>
            </w:tcMar>
            <w:hideMark/>
          </w:tcPr>
          <w:p w14:paraId="20CFBCC0" w14:textId="496687B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5C88DFE6" w14:textId="6EDF420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-0.744</w:t>
            </w:r>
          </w:p>
        </w:tc>
        <w:tc>
          <w:tcPr>
            <w:tcW w:w="2292" w:type="dxa"/>
            <w:tcMar>
              <w:top w:w="113" w:type="dxa"/>
              <w:left w:w="113" w:type="dxa"/>
              <w:bottom w:w="113" w:type="dxa"/>
              <w:right w:w="113" w:type="dxa"/>
            </w:tcMar>
            <w:hideMark/>
          </w:tcPr>
          <w:p w14:paraId="0A0265B5" w14:textId="19269C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-1.024 – -0.464</w:t>
            </w:r>
          </w:p>
        </w:tc>
        <w:tc>
          <w:tcPr>
            <w:tcW w:w="1399" w:type="dxa"/>
            <w:tcMar>
              <w:top w:w="113" w:type="dxa"/>
              <w:left w:w="113" w:type="dxa"/>
              <w:bottom w:w="113" w:type="dxa"/>
              <w:right w:w="113" w:type="dxa"/>
            </w:tcMar>
            <w:hideMark/>
          </w:tcPr>
          <w:p w14:paraId="19047A7E" w14:textId="4D2E7A2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7ED42DCC" w14:textId="77777777" w:rsidTr="00643F3A">
        <w:tc>
          <w:tcPr>
            <w:tcW w:w="4191" w:type="dxa"/>
            <w:tcMar>
              <w:top w:w="113" w:type="dxa"/>
              <w:left w:w="113" w:type="dxa"/>
              <w:bottom w:w="113" w:type="dxa"/>
              <w:right w:w="113" w:type="dxa"/>
            </w:tcMar>
            <w:hideMark/>
          </w:tcPr>
          <w:p w14:paraId="1F43286A" w14:textId="06AAD2B0"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6E722E64" w14:textId="0957260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-1.175</w:t>
            </w:r>
          </w:p>
        </w:tc>
        <w:tc>
          <w:tcPr>
            <w:tcW w:w="2292" w:type="dxa"/>
            <w:tcMar>
              <w:top w:w="113" w:type="dxa"/>
              <w:left w:w="113" w:type="dxa"/>
              <w:bottom w:w="113" w:type="dxa"/>
              <w:right w:w="113" w:type="dxa"/>
            </w:tcMar>
            <w:hideMark/>
          </w:tcPr>
          <w:p w14:paraId="2D6AA1E6" w14:textId="697B2B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-1.438 – -0.911</w:t>
            </w:r>
          </w:p>
        </w:tc>
        <w:tc>
          <w:tcPr>
            <w:tcW w:w="1399" w:type="dxa"/>
            <w:tcMar>
              <w:top w:w="113" w:type="dxa"/>
              <w:left w:w="113" w:type="dxa"/>
              <w:bottom w:w="113" w:type="dxa"/>
              <w:right w:w="113" w:type="dxa"/>
            </w:tcMar>
            <w:hideMark/>
          </w:tcPr>
          <w:p w14:paraId="6ED1B9DC" w14:textId="2D75924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7391E5FD" w14:textId="77777777" w:rsidTr="00643F3A">
        <w:tc>
          <w:tcPr>
            <w:tcW w:w="4191" w:type="dxa"/>
            <w:tcMar>
              <w:top w:w="113" w:type="dxa"/>
              <w:left w:w="113" w:type="dxa"/>
              <w:bottom w:w="113" w:type="dxa"/>
              <w:right w:w="113" w:type="dxa"/>
            </w:tcMar>
            <w:hideMark/>
          </w:tcPr>
          <w:p w14:paraId="2CEDD522" w14:textId="6948C49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3B165417" w14:textId="655EEFE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-0.750</w:t>
            </w:r>
          </w:p>
        </w:tc>
        <w:tc>
          <w:tcPr>
            <w:tcW w:w="2292" w:type="dxa"/>
            <w:tcMar>
              <w:top w:w="113" w:type="dxa"/>
              <w:left w:w="113" w:type="dxa"/>
              <w:bottom w:w="113" w:type="dxa"/>
              <w:right w:w="113" w:type="dxa"/>
            </w:tcMar>
            <w:hideMark/>
          </w:tcPr>
          <w:p w14:paraId="62A4CEEB" w14:textId="0B89870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-1.034 – -0.467</w:t>
            </w:r>
          </w:p>
        </w:tc>
        <w:tc>
          <w:tcPr>
            <w:tcW w:w="1399" w:type="dxa"/>
            <w:tcMar>
              <w:top w:w="113" w:type="dxa"/>
              <w:left w:w="113" w:type="dxa"/>
              <w:bottom w:w="113" w:type="dxa"/>
              <w:right w:w="113" w:type="dxa"/>
            </w:tcMar>
            <w:hideMark/>
          </w:tcPr>
          <w:p w14:paraId="67A30208" w14:textId="5EB3245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266752" w:rsidRPr="004B7AA0" w14:paraId="1E09D9C2" w14:textId="77777777" w:rsidTr="00643F3A">
        <w:tc>
          <w:tcPr>
            <w:tcW w:w="4191" w:type="dxa"/>
            <w:tcBorders>
              <w:top w:val="single" w:sz="6" w:space="0" w:color="auto"/>
            </w:tcBorders>
            <w:tcMar>
              <w:top w:w="57" w:type="dxa"/>
              <w:left w:w="113" w:type="dxa"/>
              <w:bottom w:w="57" w:type="dxa"/>
              <w:right w:w="113" w:type="dxa"/>
            </w:tcMar>
            <w:hideMark/>
          </w:tcPr>
          <w:p w14:paraId="3F310921"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858" w:type="dxa"/>
            <w:gridSpan w:val="3"/>
            <w:tcBorders>
              <w:top w:val="single" w:sz="6" w:space="0" w:color="auto"/>
            </w:tcBorders>
            <w:tcMar>
              <w:top w:w="57" w:type="dxa"/>
              <w:left w:w="113" w:type="dxa"/>
              <w:bottom w:w="57" w:type="dxa"/>
              <w:right w:w="113" w:type="dxa"/>
            </w:tcMar>
            <w:hideMark/>
          </w:tcPr>
          <w:p w14:paraId="57381852"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265</w:t>
            </w:r>
          </w:p>
        </w:tc>
      </w:tr>
      <w:tr w:rsidR="00266752" w:rsidRPr="004B7AA0" w14:paraId="5F3378AD" w14:textId="77777777" w:rsidTr="00643F3A">
        <w:tc>
          <w:tcPr>
            <w:tcW w:w="4191" w:type="dxa"/>
            <w:tcMar>
              <w:top w:w="57" w:type="dxa"/>
              <w:left w:w="113" w:type="dxa"/>
              <w:bottom w:w="57" w:type="dxa"/>
              <w:right w:w="113" w:type="dxa"/>
            </w:tcMar>
            <w:hideMark/>
          </w:tcPr>
          <w:p w14:paraId="7AF3A464"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858" w:type="dxa"/>
            <w:gridSpan w:val="3"/>
            <w:tcMar>
              <w:top w:w="57" w:type="dxa"/>
              <w:left w:w="113" w:type="dxa"/>
              <w:bottom w:w="57" w:type="dxa"/>
              <w:right w:w="113" w:type="dxa"/>
            </w:tcMar>
            <w:hideMark/>
          </w:tcPr>
          <w:p w14:paraId="6FF68404"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0.496</w:t>
            </w:r>
          </w:p>
        </w:tc>
      </w:tr>
    </w:tbl>
    <w:p w14:paraId="396F78BB" w14:textId="77777777" w:rsidR="00266752" w:rsidRPr="005076A2" w:rsidRDefault="00266752" w:rsidP="005076A2">
      <w:pPr>
        <w:rPr>
          <w:rFonts w:ascii="Times New Roman" w:hAnsi="Times New Roman" w:cs="Times New Roman"/>
          <w:b/>
          <w:sz w:val="24"/>
          <w:szCs w:val="24"/>
          <w:lang w:val="en-US"/>
        </w:rPr>
      </w:pPr>
    </w:p>
    <w:p w14:paraId="64A0ACE1" w14:textId="77777777" w:rsidR="00CA2314" w:rsidRDefault="00CA231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E9B1265" w14:textId="3A4125D9"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6u.  Sulfate ion.</w:t>
      </w:r>
    </w:p>
    <w:tbl>
      <w:tblPr>
        <w:tblW w:w="0" w:type="auto"/>
        <w:tblCellMar>
          <w:top w:w="15" w:type="dxa"/>
          <w:left w:w="15" w:type="dxa"/>
          <w:bottom w:w="15" w:type="dxa"/>
          <w:right w:w="15" w:type="dxa"/>
        </w:tblCellMar>
        <w:tblLook w:val="04A0" w:firstRow="1" w:lastRow="0" w:firstColumn="1" w:lastColumn="0" w:noHBand="0" w:noVBand="1"/>
      </w:tblPr>
      <w:tblGrid>
        <w:gridCol w:w="4901"/>
        <w:gridCol w:w="1129"/>
        <w:gridCol w:w="1890"/>
        <w:gridCol w:w="1129"/>
      </w:tblGrid>
      <w:tr w:rsidR="000F3D9E" w:rsidRPr="004B7AA0" w14:paraId="608BD62D" w14:textId="77777777" w:rsidTr="00643F3A">
        <w:tc>
          <w:tcPr>
            <w:tcW w:w="4901" w:type="dxa"/>
            <w:tcBorders>
              <w:top w:val="double" w:sz="6" w:space="0" w:color="auto"/>
            </w:tcBorders>
            <w:tcMar>
              <w:top w:w="113" w:type="dxa"/>
              <w:left w:w="113" w:type="dxa"/>
              <w:bottom w:w="113" w:type="dxa"/>
              <w:right w:w="113" w:type="dxa"/>
            </w:tcMar>
            <w:vAlign w:val="center"/>
            <w:hideMark/>
          </w:tcPr>
          <w:p w14:paraId="253F26AB" w14:textId="77777777" w:rsidR="000F3D9E" w:rsidRPr="004B7AA0" w:rsidRDefault="000F3D9E" w:rsidP="000F3D9E">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148" w:type="dxa"/>
            <w:gridSpan w:val="3"/>
            <w:tcBorders>
              <w:top w:val="double" w:sz="6" w:space="0" w:color="auto"/>
            </w:tcBorders>
            <w:tcMar>
              <w:top w:w="113" w:type="dxa"/>
              <w:left w:w="113" w:type="dxa"/>
              <w:bottom w:w="113" w:type="dxa"/>
              <w:right w:w="113" w:type="dxa"/>
            </w:tcMar>
            <w:vAlign w:val="center"/>
            <w:hideMark/>
          </w:tcPr>
          <w:p w14:paraId="02BB251F" w14:textId="1A358975" w:rsidR="000F3D9E" w:rsidRPr="004B7AA0" w:rsidRDefault="004B7AA0" w:rsidP="000F3D9E">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Sulfate ion</w:t>
            </w:r>
          </w:p>
        </w:tc>
      </w:tr>
      <w:tr w:rsidR="000F3D9E" w:rsidRPr="004B7AA0" w14:paraId="45C2E97A" w14:textId="77777777" w:rsidTr="00643F3A">
        <w:tc>
          <w:tcPr>
            <w:tcW w:w="4901" w:type="dxa"/>
            <w:tcBorders>
              <w:bottom w:val="single" w:sz="6" w:space="0" w:color="auto"/>
            </w:tcBorders>
            <w:vAlign w:val="center"/>
            <w:hideMark/>
          </w:tcPr>
          <w:p w14:paraId="6FA453DD" w14:textId="77777777" w:rsidR="000F3D9E" w:rsidRPr="004B7AA0" w:rsidRDefault="000F3D9E" w:rsidP="000F3D9E">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129" w:type="dxa"/>
            <w:tcBorders>
              <w:bottom w:val="single" w:sz="6" w:space="0" w:color="auto"/>
            </w:tcBorders>
            <w:vAlign w:val="center"/>
            <w:hideMark/>
          </w:tcPr>
          <w:p w14:paraId="0E323C20"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1890" w:type="dxa"/>
            <w:tcBorders>
              <w:bottom w:val="single" w:sz="6" w:space="0" w:color="auto"/>
            </w:tcBorders>
            <w:vAlign w:val="center"/>
            <w:hideMark/>
          </w:tcPr>
          <w:p w14:paraId="38394E66"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0981706E"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42821528" w14:textId="77777777" w:rsidTr="00643F3A">
        <w:tc>
          <w:tcPr>
            <w:tcW w:w="4901" w:type="dxa"/>
            <w:tcMar>
              <w:top w:w="113" w:type="dxa"/>
              <w:left w:w="113" w:type="dxa"/>
              <w:bottom w:w="113" w:type="dxa"/>
              <w:right w:w="113" w:type="dxa"/>
            </w:tcMar>
            <w:hideMark/>
          </w:tcPr>
          <w:p w14:paraId="6183CC07" w14:textId="7953D5B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129" w:type="dxa"/>
            <w:tcMar>
              <w:top w:w="113" w:type="dxa"/>
              <w:left w:w="113" w:type="dxa"/>
              <w:bottom w:w="113" w:type="dxa"/>
              <w:right w:w="113" w:type="dxa"/>
            </w:tcMar>
            <w:hideMark/>
          </w:tcPr>
          <w:p w14:paraId="1837192A" w14:textId="2A5B749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1.5180</w:t>
            </w:r>
          </w:p>
        </w:tc>
        <w:tc>
          <w:tcPr>
            <w:tcW w:w="1890" w:type="dxa"/>
            <w:tcMar>
              <w:top w:w="113" w:type="dxa"/>
              <w:left w:w="113" w:type="dxa"/>
              <w:bottom w:w="113" w:type="dxa"/>
              <w:right w:w="113" w:type="dxa"/>
            </w:tcMar>
            <w:hideMark/>
          </w:tcPr>
          <w:p w14:paraId="14CD13F6" w14:textId="707593E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-1.8521 – 4.8881</w:t>
            </w:r>
          </w:p>
        </w:tc>
        <w:tc>
          <w:tcPr>
            <w:tcW w:w="1129" w:type="dxa"/>
            <w:tcMar>
              <w:top w:w="113" w:type="dxa"/>
              <w:left w:w="113" w:type="dxa"/>
              <w:bottom w:w="113" w:type="dxa"/>
              <w:right w:w="113" w:type="dxa"/>
            </w:tcMar>
            <w:hideMark/>
          </w:tcPr>
          <w:p w14:paraId="1A838495" w14:textId="003467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0.378</w:t>
            </w:r>
          </w:p>
        </w:tc>
      </w:tr>
      <w:tr w:rsidR="004B7AA0" w:rsidRPr="004B7AA0" w14:paraId="3308D699" w14:textId="77777777" w:rsidTr="00643F3A">
        <w:tc>
          <w:tcPr>
            <w:tcW w:w="4901" w:type="dxa"/>
            <w:tcMar>
              <w:top w:w="113" w:type="dxa"/>
              <w:left w:w="113" w:type="dxa"/>
              <w:bottom w:w="113" w:type="dxa"/>
              <w:right w:w="113" w:type="dxa"/>
            </w:tcMar>
            <w:hideMark/>
          </w:tcPr>
          <w:p w14:paraId="13726EE2" w14:textId="5E87A34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129" w:type="dxa"/>
            <w:tcMar>
              <w:top w:w="113" w:type="dxa"/>
              <w:left w:w="113" w:type="dxa"/>
              <w:bottom w:w="113" w:type="dxa"/>
              <w:right w:w="113" w:type="dxa"/>
            </w:tcMar>
            <w:hideMark/>
          </w:tcPr>
          <w:p w14:paraId="2814954A" w14:textId="4F6E355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0.1697</w:t>
            </w:r>
          </w:p>
        </w:tc>
        <w:tc>
          <w:tcPr>
            <w:tcW w:w="1890" w:type="dxa"/>
            <w:tcMar>
              <w:top w:w="113" w:type="dxa"/>
              <w:left w:w="113" w:type="dxa"/>
              <w:bottom w:w="113" w:type="dxa"/>
              <w:right w:w="113" w:type="dxa"/>
            </w:tcMar>
            <w:hideMark/>
          </w:tcPr>
          <w:p w14:paraId="38B012C6" w14:textId="32A0B65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0.0811 – 0.2584</w:t>
            </w:r>
          </w:p>
        </w:tc>
        <w:tc>
          <w:tcPr>
            <w:tcW w:w="1129" w:type="dxa"/>
            <w:tcMar>
              <w:top w:w="113" w:type="dxa"/>
              <w:left w:w="113" w:type="dxa"/>
              <w:bottom w:w="113" w:type="dxa"/>
              <w:right w:w="113" w:type="dxa"/>
            </w:tcMar>
            <w:hideMark/>
          </w:tcPr>
          <w:p w14:paraId="55CCF611" w14:textId="70B7C35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5C7B9765" w14:textId="77777777" w:rsidTr="00643F3A">
        <w:tc>
          <w:tcPr>
            <w:tcW w:w="4901" w:type="dxa"/>
            <w:tcMar>
              <w:top w:w="113" w:type="dxa"/>
              <w:left w:w="113" w:type="dxa"/>
              <w:bottom w:w="113" w:type="dxa"/>
              <w:right w:w="113" w:type="dxa"/>
            </w:tcMar>
            <w:hideMark/>
          </w:tcPr>
          <w:p w14:paraId="751D7F0D" w14:textId="26488040"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129" w:type="dxa"/>
            <w:tcMar>
              <w:top w:w="113" w:type="dxa"/>
              <w:left w:w="113" w:type="dxa"/>
              <w:bottom w:w="113" w:type="dxa"/>
              <w:right w:w="113" w:type="dxa"/>
            </w:tcMar>
            <w:hideMark/>
          </w:tcPr>
          <w:p w14:paraId="079FFCE7" w14:textId="77700B6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0.1584</w:t>
            </w:r>
          </w:p>
        </w:tc>
        <w:tc>
          <w:tcPr>
            <w:tcW w:w="1890" w:type="dxa"/>
            <w:tcMar>
              <w:top w:w="113" w:type="dxa"/>
              <w:left w:w="113" w:type="dxa"/>
              <w:bottom w:w="113" w:type="dxa"/>
              <w:right w:w="113" w:type="dxa"/>
            </w:tcMar>
            <w:hideMark/>
          </w:tcPr>
          <w:p w14:paraId="1FB5E20B" w14:textId="399E417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-3.2455 – 3.5623</w:t>
            </w:r>
          </w:p>
        </w:tc>
        <w:tc>
          <w:tcPr>
            <w:tcW w:w="1129" w:type="dxa"/>
            <w:tcMar>
              <w:top w:w="113" w:type="dxa"/>
              <w:left w:w="113" w:type="dxa"/>
              <w:bottom w:w="113" w:type="dxa"/>
              <w:right w:w="113" w:type="dxa"/>
            </w:tcMar>
            <w:hideMark/>
          </w:tcPr>
          <w:p w14:paraId="1FAD7559" w14:textId="4442A4C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0.927</w:t>
            </w:r>
          </w:p>
        </w:tc>
      </w:tr>
      <w:tr w:rsidR="004B7AA0" w:rsidRPr="004B7AA0" w14:paraId="20796300" w14:textId="77777777" w:rsidTr="00643F3A">
        <w:tc>
          <w:tcPr>
            <w:tcW w:w="4901" w:type="dxa"/>
            <w:tcMar>
              <w:top w:w="113" w:type="dxa"/>
              <w:left w:w="113" w:type="dxa"/>
              <w:bottom w:w="113" w:type="dxa"/>
              <w:right w:w="113" w:type="dxa"/>
            </w:tcMar>
            <w:hideMark/>
          </w:tcPr>
          <w:p w14:paraId="0C6BE326" w14:textId="0B20AED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129" w:type="dxa"/>
            <w:tcMar>
              <w:top w:w="113" w:type="dxa"/>
              <w:left w:w="113" w:type="dxa"/>
              <w:bottom w:w="113" w:type="dxa"/>
              <w:right w:w="113" w:type="dxa"/>
            </w:tcMar>
            <w:hideMark/>
          </w:tcPr>
          <w:p w14:paraId="21F5DA09" w14:textId="0D1B85B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0.2915</w:t>
            </w:r>
          </w:p>
        </w:tc>
        <w:tc>
          <w:tcPr>
            <w:tcW w:w="1890" w:type="dxa"/>
            <w:tcMar>
              <w:top w:w="113" w:type="dxa"/>
              <w:left w:w="113" w:type="dxa"/>
              <w:bottom w:w="113" w:type="dxa"/>
              <w:right w:w="113" w:type="dxa"/>
            </w:tcMar>
            <w:hideMark/>
          </w:tcPr>
          <w:p w14:paraId="6FBA4BB5" w14:textId="25F9B46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-3.0678 – 3.6508</w:t>
            </w:r>
          </w:p>
        </w:tc>
        <w:tc>
          <w:tcPr>
            <w:tcW w:w="1129" w:type="dxa"/>
            <w:tcMar>
              <w:top w:w="113" w:type="dxa"/>
              <w:left w:w="113" w:type="dxa"/>
              <w:bottom w:w="113" w:type="dxa"/>
              <w:right w:w="113" w:type="dxa"/>
            </w:tcMar>
            <w:hideMark/>
          </w:tcPr>
          <w:p w14:paraId="58F740AF" w14:textId="4B43470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0.865</w:t>
            </w:r>
          </w:p>
        </w:tc>
      </w:tr>
      <w:tr w:rsidR="004B7AA0" w:rsidRPr="004B7AA0" w14:paraId="6458CC91" w14:textId="77777777" w:rsidTr="00643F3A">
        <w:tc>
          <w:tcPr>
            <w:tcW w:w="4901" w:type="dxa"/>
            <w:tcMar>
              <w:top w:w="113" w:type="dxa"/>
              <w:left w:w="113" w:type="dxa"/>
              <w:bottom w:w="113" w:type="dxa"/>
              <w:right w:w="113" w:type="dxa"/>
            </w:tcMar>
            <w:hideMark/>
          </w:tcPr>
          <w:p w14:paraId="6BD7C047" w14:textId="7CA71F3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129" w:type="dxa"/>
            <w:tcMar>
              <w:top w:w="113" w:type="dxa"/>
              <w:left w:w="113" w:type="dxa"/>
              <w:bottom w:w="113" w:type="dxa"/>
              <w:right w:w="113" w:type="dxa"/>
            </w:tcMar>
            <w:hideMark/>
          </w:tcPr>
          <w:p w14:paraId="4EF8565C" w14:textId="2C66FC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0.9291</w:t>
            </w:r>
          </w:p>
        </w:tc>
        <w:tc>
          <w:tcPr>
            <w:tcW w:w="1890" w:type="dxa"/>
            <w:tcMar>
              <w:top w:w="113" w:type="dxa"/>
              <w:left w:w="113" w:type="dxa"/>
              <w:bottom w:w="113" w:type="dxa"/>
              <w:right w:w="113" w:type="dxa"/>
            </w:tcMar>
            <w:hideMark/>
          </w:tcPr>
          <w:p w14:paraId="2815D6EC" w14:textId="39E2B0E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-2.9524 – 4.8106</w:t>
            </w:r>
          </w:p>
        </w:tc>
        <w:tc>
          <w:tcPr>
            <w:tcW w:w="1129" w:type="dxa"/>
            <w:tcMar>
              <w:top w:w="113" w:type="dxa"/>
              <w:left w:w="113" w:type="dxa"/>
              <w:bottom w:w="113" w:type="dxa"/>
              <w:right w:w="113" w:type="dxa"/>
            </w:tcMar>
            <w:hideMark/>
          </w:tcPr>
          <w:p w14:paraId="68E2EADB" w14:textId="4968774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0.639</w:t>
            </w:r>
          </w:p>
        </w:tc>
      </w:tr>
      <w:tr w:rsidR="004B7AA0" w:rsidRPr="004B7AA0" w14:paraId="4A4C1D83" w14:textId="77777777" w:rsidTr="00643F3A">
        <w:tc>
          <w:tcPr>
            <w:tcW w:w="4901" w:type="dxa"/>
            <w:tcMar>
              <w:top w:w="113" w:type="dxa"/>
              <w:left w:w="113" w:type="dxa"/>
              <w:bottom w:w="113" w:type="dxa"/>
              <w:right w:w="113" w:type="dxa"/>
            </w:tcMar>
            <w:hideMark/>
          </w:tcPr>
          <w:p w14:paraId="3DACBDED" w14:textId="6D77786C"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129" w:type="dxa"/>
            <w:tcMar>
              <w:top w:w="113" w:type="dxa"/>
              <w:left w:w="113" w:type="dxa"/>
              <w:bottom w:w="113" w:type="dxa"/>
              <w:right w:w="113" w:type="dxa"/>
            </w:tcMar>
            <w:hideMark/>
          </w:tcPr>
          <w:p w14:paraId="26FF127A" w14:textId="59A5F1E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-1.2048</w:t>
            </w:r>
          </w:p>
        </w:tc>
        <w:tc>
          <w:tcPr>
            <w:tcW w:w="1890" w:type="dxa"/>
            <w:tcMar>
              <w:top w:w="113" w:type="dxa"/>
              <w:left w:w="113" w:type="dxa"/>
              <w:bottom w:w="113" w:type="dxa"/>
              <w:right w:w="113" w:type="dxa"/>
            </w:tcMar>
            <w:hideMark/>
          </w:tcPr>
          <w:p w14:paraId="2274A2F2" w14:textId="4E23CA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-5.1662 – 2.7567</w:t>
            </w:r>
          </w:p>
        </w:tc>
        <w:tc>
          <w:tcPr>
            <w:tcW w:w="1129" w:type="dxa"/>
            <w:tcMar>
              <w:top w:w="113" w:type="dxa"/>
              <w:left w:w="113" w:type="dxa"/>
              <w:bottom w:w="113" w:type="dxa"/>
              <w:right w:w="113" w:type="dxa"/>
            </w:tcMar>
            <w:hideMark/>
          </w:tcPr>
          <w:p w14:paraId="6F9BE279" w14:textId="50FB05C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0.552</w:t>
            </w:r>
          </w:p>
        </w:tc>
      </w:tr>
      <w:tr w:rsidR="004B7AA0" w:rsidRPr="004B7AA0" w14:paraId="50DF6CE9" w14:textId="77777777" w:rsidTr="00643F3A">
        <w:tc>
          <w:tcPr>
            <w:tcW w:w="4901" w:type="dxa"/>
            <w:tcMar>
              <w:top w:w="113" w:type="dxa"/>
              <w:left w:w="113" w:type="dxa"/>
              <w:bottom w:w="113" w:type="dxa"/>
              <w:right w:w="113" w:type="dxa"/>
            </w:tcMar>
            <w:hideMark/>
          </w:tcPr>
          <w:p w14:paraId="6515179C" w14:textId="5CD2449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129" w:type="dxa"/>
            <w:tcMar>
              <w:top w:w="113" w:type="dxa"/>
              <w:left w:w="113" w:type="dxa"/>
              <w:bottom w:w="113" w:type="dxa"/>
              <w:right w:w="113" w:type="dxa"/>
            </w:tcMar>
            <w:hideMark/>
          </w:tcPr>
          <w:p w14:paraId="7537A086" w14:textId="014461D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0.5468</w:t>
            </w:r>
          </w:p>
        </w:tc>
        <w:tc>
          <w:tcPr>
            <w:tcW w:w="1890" w:type="dxa"/>
            <w:tcMar>
              <w:top w:w="113" w:type="dxa"/>
              <w:left w:w="113" w:type="dxa"/>
              <w:bottom w:w="113" w:type="dxa"/>
              <w:right w:w="113" w:type="dxa"/>
            </w:tcMar>
            <w:hideMark/>
          </w:tcPr>
          <w:p w14:paraId="72162140" w14:textId="0EDA730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-2.8552 – 3.9488</w:t>
            </w:r>
          </w:p>
        </w:tc>
        <w:tc>
          <w:tcPr>
            <w:tcW w:w="1129" w:type="dxa"/>
            <w:tcMar>
              <w:top w:w="113" w:type="dxa"/>
              <w:left w:w="113" w:type="dxa"/>
              <w:bottom w:w="113" w:type="dxa"/>
              <w:right w:w="113" w:type="dxa"/>
            </w:tcMar>
            <w:hideMark/>
          </w:tcPr>
          <w:p w14:paraId="560675BB" w14:textId="65EF9F8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0.753</w:t>
            </w:r>
          </w:p>
        </w:tc>
      </w:tr>
      <w:tr w:rsidR="004B7AA0" w:rsidRPr="004B7AA0" w14:paraId="24844B28" w14:textId="77777777" w:rsidTr="00643F3A">
        <w:tc>
          <w:tcPr>
            <w:tcW w:w="4901" w:type="dxa"/>
            <w:tcMar>
              <w:top w:w="113" w:type="dxa"/>
              <w:left w:w="113" w:type="dxa"/>
              <w:bottom w:w="113" w:type="dxa"/>
              <w:right w:w="113" w:type="dxa"/>
            </w:tcMar>
            <w:hideMark/>
          </w:tcPr>
          <w:p w14:paraId="266208A7" w14:textId="73128CFE"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129" w:type="dxa"/>
            <w:tcMar>
              <w:top w:w="113" w:type="dxa"/>
              <w:left w:w="113" w:type="dxa"/>
              <w:bottom w:w="113" w:type="dxa"/>
              <w:right w:w="113" w:type="dxa"/>
            </w:tcMar>
            <w:hideMark/>
          </w:tcPr>
          <w:p w14:paraId="19F2B8A0" w14:textId="642726B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0FA19052" w14:textId="7C812E7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-0.0002 – 0.0002</w:t>
            </w:r>
          </w:p>
        </w:tc>
        <w:tc>
          <w:tcPr>
            <w:tcW w:w="1129" w:type="dxa"/>
            <w:tcMar>
              <w:top w:w="113" w:type="dxa"/>
              <w:left w:w="113" w:type="dxa"/>
              <w:bottom w:w="113" w:type="dxa"/>
              <w:right w:w="113" w:type="dxa"/>
            </w:tcMar>
            <w:hideMark/>
          </w:tcPr>
          <w:p w14:paraId="442A4420" w14:textId="08C5982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0.990</w:t>
            </w:r>
          </w:p>
        </w:tc>
      </w:tr>
      <w:tr w:rsidR="004B7AA0" w:rsidRPr="004B7AA0" w14:paraId="629E5D53" w14:textId="77777777" w:rsidTr="00643F3A">
        <w:tc>
          <w:tcPr>
            <w:tcW w:w="4901" w:type="dxa"/>
            <w:tcMar>
              <w:top w:w="113" w:type="dxa"/>
              <w:left w:w="113" w:type="dxa"/>
              <w:bottom w:w="113" w:type="dxa"/>
              <w:right w:w="113" w:type="dxa"/>
            </w:tcMar>
            <w:hideMark/>
          </w:tcPr>
          <w:p w14:paraId="0243F49C" w14:textId="3288F7C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129" w:type="dxa"/>
            <w:tcMar>
              <w:top w:w="113" w:type="dxa"/>
              <w:left w:w="113" w:type="dxa"/>
              <w:bottom w:w="113" w:type="dxa"/>
              <w:right w:w="113" w:type="dxa"/>
            </w:tcMar>
            <w:hideMark/>
          </w:tcPr>
          <w:p w14:paraId="040BA532" w14:textId="4F61809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-0.2835</w:t>
            </w:r>
          </w:p>
        </w:tc>
        <w:tc>
          <w:tcPr>
            <w:tcW w:w="1890" w:type="dxa"/>
            <w:tcMar>
              <w:top w:w="113" w:type="dxa"/>
              <w:left w:w="113" w:type="dxa"/>
              <w:bottom w:w="113" w:type="dxa"/>
              <w:right w:w="113" w:type="dxa"/>
            </w:tcMar>
            <w:hideMark/>
          </w:tcPr>
          <w:p w14:paraId="4DCD1C33" w14:textId="67EB0B3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-0.9896 – 0.4226</w:t>
            </w:r>
          </w:p>
        </w:tc>
        <w:tc>
          <w:tcPr>
            <w:tcW w:w="1129" w:type="dxa"/>
            <w:tcMar>
              <w:top w:w="113" w:type="dxa"/>
              <w:left w:w="113" w:type="dxa"/>
              <w:bottom w:w="113" w:type="dxa"/>
              <w:right w:w="113" w:type="dxa"/>
            </w:tcMar>
            <w:hideMark/>
          </w:tcPr>
          <w:p w14:paraId="50BFA15D" w14:textId="49A758F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0.432</w:t>
            </w:r>
          </w:p>
        </w:tc>
      </w:tr>
      <w:tr w:rsidR="004B7AA0" w:rsidRPr="004B7AA0" w14:paraId="378CE7A7" w14:textId="77777777" w:rsidTr="00643F3A">
        <w:tc>
          <w:tcPr>
            <w:tcW w:w="4901" w:type="dxa"/>
            <w:tcMar>
              <w:top w:w="113" w:type="dxa"/>
              <w:left w:w="113" w:type="dxa"/>
              <w:bottom w:w="113" w:type="dxa"/>
              <w:right w:w="113" w:type="dxa"/>
            </w:tcMar>
            <w:hideMark/>
          </w:tcPr>
          <w:p w14:paraId="706F329C" w14:textId="72063C5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129" w:type="dxa"/>
            <w:tcMar>
              <w:top w:w="113" w:type="dxa"/>
              <w:left w:w="113" w:type="dxa"/>
              <w:bottom w:w="113" w:type="dxa"/>
              <w:right w:w="113" w:type="dxa"/>
            </w:tcMar>
            <w:hideMark/>
          </w:tcPr>
          <w:p w14:paraId="74F5755E" w14:textId="07C14D4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2.2514</w:t>
            </w:r>
          </w:p>
        </w:tc>
        <w:tc>
          <w:tcPr>
            <w:tcW w:w="1890" w:type="dxa"/>
            <w:tcMar>
              <w:top w:w="113" w:type="dxa"/>
              <w:left w:w="113" w:type="dxa"/>
              <w:bottom w:w="113" w:type="dxa"/>
              <w:right w:w="113" w:type="dxa"/>
            </w:tcMar>
            <w:hideMark/>
          </w:tcPr>
          <w:p w14:paraId="07A48A2B" w14:textId="4504373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-0.2106 – 4.7134</w:t>
            </w:r>
          </w:p>
        </w:tc>
        <w:tc>
          <w:tcPr>
            <w:tcW w:w="1129" w:type="dxa"/>
            <w:tcMar>
              <w:top w:w="113" w:type="dxa"/>
              <w:left w:w="113" w:type="dxa"/>
              <w:bottom w:w="113" w:type="dxa"/>
              <w:right w:w="113" w:type="dxa"/>
            </w:tcMar>
            <w:hideMark/>
          </w:tcPr>
          <w:p w14:paraId="4E554034" w14:textId="058C8D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0.074</w:t>
            </w:r>
          </w:p>
        </w:tc>
      </w:tr>
      <w:tr w:rsidR="004B7AA0" w:rsidRPr="004B7AA0" w14:paraId="3C733B7A" w14:textId="77777777" w:rsidTr="00643F3A">
        <w:tc>
          <w:tcPr>
            <w:tcW w:w="4901" w:type="dxa"/>
            <w:tcMar>
              <w:top w:w="113" w:type="dxa"/>
              <w:left w:w="113" w:type="dxa"/>
              <w:bottom w:w="113" w:type="dxa"/>
              <w:right w:w="113" w:type="dxa"/>
            </w:tcMar>
            <w:hideMark/>
          </w:tcPr>
          <w:p w14:paraId="339FC690" w14:textId="2EE9809A"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129" w:type="dxa"/>
            <w:tcMar>
              <w:top w:w="113" w:type="dxa"/>
              <w:left w:w="113" w:type="dxa"/>
              <w:bottom w:w="113" w:type="dxa"/>
              <w:right w:w="113" w:type="dxa"/>
            </w:tcMar>
            <w:hideMark/>
          </w:tcPr>
          <w:p w14:paraId="13915470" w14:textId="4E72AA4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49610329" w14:textId="1F0B4CE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-0.0002 – 0.0001</w:t>
            </w:r>
          </w:p>
        </w:tc>
        <w:tc>
          <w:tcPr>
            <w:tcW w:w="1129" w:type="dxa"/>
            <w:tcMar>
              <w:top w:w="113" w:type="dxa"/>
              <w:left w:w="113" w:type="dxa"/>
              <w:bottom w:w="113" w:type="dxa"/>
              <w:right w:w="113" w:type="dxa"/>
            </w:tcMar>
            <w:hideMark/>
          </w:tcPr>
          <w:p w14:paraId="29C317C2" w14:textId="6FDF243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0.650</w:t>
            </w:r>
          </w:p>
        </w:tc>
      </w:tr>
      <w:tr w:rsidR="004B7AA0" w:rsidRPr="004B7AA0" w14:paraId="57652BC6" w14:textId="77777777" w:rsidTr="00643F3A">
        <w:tc>
          <w:tcPr>
            <w:tcW w:w="4901" w:type="dxa"/>
            <w:tcMar>
              <w:top w:w="113" w:type="dxa"/>
              <w:left w:w="113" w:type="dxa"/>
              <w:bottom w:w="113" w:type="dxa"/>
              <w:right w:w="113" w:type="dxa"/>
            </w:tcMar>
            <w:hideMark/>
          </w:tcPr>
          <w:p w14:paraId="2BBD9488" w14:textId="5A4D826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129" w:type="dxa"/>
            <w:tcMar>
              <w:top w:w="113" w:type="dxa"/>
              <w:left w:w="113" w:type="dxa"/>
              <w:bottom w:w="113" w:type="dxa"/>
              <w:right w:w="113" w:type="dxa"/>
            </w:tcMar>
            <w:hideMark/>
          </w:tcPr>
          <w:p w14:paraId="22F7FDC0" w14:textId="2488672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1ECE6826" w14:textId="4EBE6D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-0.0003 – 0.0003</w:t>
            </w:r>
          </w:p>
        </w:tc>
        <w:tc>
          <w:tcPr>
            <w:tcW w:w="1129" w:type="dxa"/>
            <w:tcMar>
              <w:top w:w="113" w:type="dxa"/>
              <w:left w:w="113" w:type="dxa"/>
              <w:bottom w:w="113" w:type="dxa"/>
              <w:right w:w="113" w:type="dxa"/>
            </w:tcMar>
            <w:hideMark/>
          </w:tcPr>
          <w:p w14:paraId="6F7E3286" w14:textId="4CC476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0.801</w:t>
            </w:r>
          </w:p>
        </w:tc>
      </w:tr>
      <w:tr w:rsidR="004B7AA0" w:rsidRPr="004B7AA0" w14:paraId="22047F17" w14:textId="77777777" w:rsidTr="00643F3A">
        <w:tc>
          <w:tcPr>
            <w:tcW w:w="4901" w:type="dxa"/>
            <w:tcMar>
              <w:top w:w="113" w:type="dxa"/>
              <w:left w:w="113" w:type="dxa"/>
              <w:bottom w:w="113" w:type="dxa"/>
              <w:right w:w="113" w:type="dxa"/>
            </w:tcMar>
            <w:hideMark/>
          </w:tcPr>
          <w:p w14:paraId="5F4D36C0" w14:textId="1659BED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129" w:type="dxa"/>
            <w:tcMar>
              <w:top w:w="113" w:type="dxa"/>
              <w:left w:w="113" w:type="dxa"/>
              <w:bottom w:w="113" w:type="dxa"/>
              <w:right w:w="113" w:type="dxa"/>
            </w:tcMar>
            <w:hideMark/>
          </w:tcPr>
          <w:p w14:paraId="303A4C34" w14:textId="2F89D63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-0.0480</w:t>
            </w:r>
          </w:p>
        </w:tc>
        <w:tc>
          <w:tcPr>
            <w:tcW w:w="1890" w:type="dxa"/>
            <w:tcMar>
              <w:top w:w="113" w:type="dxa"/>
              <w:left w:w="113" w:type="dxa"/>
              <w:bottom w:w="113" w:type="dxa"/>
              <w:right w:w="113" w:type="dxa"/>
            </w:tcMar>
            <w:hideMark/>
          </w:tcPr>
          <w:p w14:paraId="478A224F" w14:textId="3A780A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-0.3003 – 0.2043</w:t>
            </w:r>
          </w:p>
        </w:tc>
        <w:tc>
          <w:tcPr>
            <w:tcW w:w="1129" w:type="dxa"/>
            <w:tcMar>
              <w:top w:w="113" w:type="dxa"/>
              <w:left w:w="113" w:type="dxa"/>
              <w:bottom w:w="113" w:type="dxa"/>
              <w:right w:w="113" w:type="dxa"/>
            </w:tcMar>
            <w:hideMark/>
          </w:tcPr>
          <w:p w14:paraId="19530C1D" w14:textId="2959155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0.710</w:t>
            </w:r>
          </w:p>
        </w:tc>
      </w:tr>
      <w:tr w:rsidR="004B7AA0" w:rsidRPr="004B7AA0" w14:paraId="27E4F2F8" w14:textId="77777777" w:rsidTr="00643F3A">
        <w:tc>
          <w:tcPr>
            <w:tcW w:w="4901" w:type="dxa"/>
            <w:tcMar>
              <w:top w:w="113" w:type="dxa"/>
              <w:left w:w="113" w:type="dxa"/>
              <w:bottom w:w="113" w:type="dxa"/>
              <w:right w:w="113" w:type="dxa"/>
            </w:tcMar>
            <w:hideMark/>
          </w:tcPr>
          <w:p w14:paraId="218C64EE" w14:textId="4D4671C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129" w:type="dxa"/>
            <w:tcMar>
              <w:top w:w="113" w:type="dxa"/>
              <w:left w:w="113" w:type="dxa"/>
              <w:bottom w:w="113" w:type="dxa"/>
              <w:right w:w="113" w:type="dxa"/>
            </w:tcMar>
            <w:hideMark/>
          </w:tcPr>
          <w:p w14:paraId="2208D48E" w14:textId="37415AA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0.1713</w:t>
            </w:r>
          </w:p>
        </w:tc>
        <w:tc>
          <w:tcPr>
            <w:tcW w:w="1890" w:type="dxa"/>
            <w:tcMar>
              <w:top w:w="113" w:type="dxa"/>
              <w:left w:w="113" w:type="dxa"/>
              <w:bottom w:w="113" w:type="dxa"/>
              <w:right w:w="113" w:type="dxa"/>
            </w:tcMar>
            <w:hideMark/>
          </w:tcPr>
          <w:p w14:paraId="47CF1A1C" w14:textId="09F6E6C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-0.0557 – 0.3983</w:t>
            </w:r>
          </w:p>
        </w:tc>
        <w:tc>
          <w:tcPr>
            <w:tcW w:w="1129" w:type="dxa"/>
            <w:tcMar>
              <w:top w:w="113" w:type="dxa"/>
              <w:left w:w="113" w:type="dxa"/>
              <w:bottom w:w="113" w:type="dxa"/>
              <w:right w:w="113" w:type="dxa"/>
            </w:tcMar>
            <w:hideMark/>
          </w:tcPr>
          <w:p w14:paraId="6F298BCC" w14:textId="2B8871F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0.140</w:t>
            </w:r>
          </w:p>
        </w:tc>
      </w:tr>
      <w:tr w:rsidR="004B7AA0" w:rsidRPr="004B7AA0" w14:paraId="1CFD91B3" w14:textId="77777777" w:rsidTr="00643F3A">
        <w:tc>
          <w:tcPr>
            <w:tcW w:w="4901" w:type="dxa"/>
            <w:tcMar>
              <w:top w:w="113" w:type="dxa"/>
              <w:left w:w="113" w:type="dxa"/>
              <w:bottom w:w="113" w:type="dxa"/>
              <w:right w:w="113" w:type="dxa"/>
            </w:tcMar>
            <w:hideMark/>
          </w:tcPr>
          <w:p w14:paraId="1549D044" w14:textId="07CCA4B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129" w:type="dxa"/>
            <w:tcMar>
              <w:top w:w="113" w:type="dxa"/>
              <w:left w:w="113" w:type="dxa"/>
              <w:bottom w:w="113" w:type="dxa"/>
              <w:right w:w="113" w:type="dxa"/>
            </w:tcMar>
            <w:hideMark/>
          </w:tcPr>
          <w:p w14:paraId="4BC76EB5" w14:textId="077C9C7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-1.4552</w:t>
            </w:r>
          </w:p>
        </w:tc>
        <w:tc>
          <w:tcPr>
            <w:tcW w:w="1890" w:type="dxa"/>
            <w:tcMar>
              <w:top w:w="113" w:type="dxa"/>
              <w:left w:w="113" w:type="dxa"/>
              <w:bottom w:w="113" w:type="dxa"/>
              <w:right w:w="113" w:type="dxa"/>
            </w:tcMar>
            <w:hideMark/>
          </w:tcPr>
          <w:p w14:paraId="3CEF03D3" w14:textId="4440751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-1.7032 – -1.2071</w:t>
            </w:r>
          </w:p>
        </w:tc>
        <w:tc>
          <w:tcPr>
            <w:tcW w:w="1129" w:type="dxa"/>
            <w:tcMar>
              <w:top w:w="113" w:type="dxa"/>
              <w:left w:w="113" w:type="dxa"/>
              <w:bottom w:w="113" w:type="dxa"/>
              <w:right w:w="113" w:type="dxa"/>
            </w:tcMar>
            <w:hideMark/>
          </w:tcPr>
          <w:p w14:paraId="387288F9" w14:textId="59C7FD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0F3D9E" w:rsidRPr="004B7AA0" w14:paraId="0BADF577" w14:textId="77777777" w:rsidTr="00643F3A">
        <w:tc>
          <w:tcPr>
            <w:tcW w:w="4901" w:type="dxa"/>
            <w:tcBorders>
              <w:top w:val="single" w:sz="6" w:space="0" w:color="auto"/>
            </w:tcBorders>
            <w:tcMar>
              <w:top w:w="57" w:type="dxa"/>
              <w:left w:w="113" w:type="dxa"/>
              <w:bottom w:w="57" w:type="dxa"/>
              <w:right w:w="113" w:type="dxa"/>
            </w:tcMar>
            <w:hideMark/>
          </w:tcPr>
          <w:p w14:paraId="46CB4051"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148" w:type="dxa"/>
            <w:gridSpan w:val="3"/>
            <w:tcBorders>
              <w:top w:val="single" w:sz="6" w:space="0" w:color="auto"/>
            </w:tcBorders>
            <w:tcMar>
              <w:top w:w="57" w:type="dxa"/>
              <w:left w:w="113" w:type="dxa"/>
              <w:bottom w:w="57" w:type="dxa"/>
              <w:right w:w="113" w:type="dxa"/>
            </w:tcMar>
            <w:hideMark/>
          </w:tcPr>
          <w:p w14:paraId="7E6F376B"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275</w:t>
            </w:r>
          </w:p>
        </w:tc>
      </w:tr>
      <w:tr w:rsidR="000F3D9E" w:rsidRPr="004B7AA0" w14:paraId="404A106F" w14:textId="77777777" w:rsidTr="00643F3A">
        <w:tc>
          <w:tcPr>
            <w:tcW w:w="4901" w:type="dxa"/>
            <w:tcMar>
              <w:top w:w="57" w:type="dxa"/>
              <w:left w:w="113" w:type="dxa"/>
              <w:bottom w:w="57" w:type="dxa"/>
              <w:right w:w="113" w:type="dxa"/>
            </w:tcMar>
            <w:hideMark/>
          </w:tcPr>
          <w:p w14:paraId="2BAE97CB"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148" w:type="dxa"/>
            <w:gridSpan w:val="3"/>
            <w:tcMar>
              <w:top w:w="57" w:type="dxa"/>
              <w:left w:w="113" w:type="dxa"/>
              <w:bottom w:w="57" w:type="dxa"/>
              <w:right w:w="113" w:type="dxa"/>
            </w:tcMar>
            <w:hideMark/>
          </w:tcPr>
          <w:p w14:paraId="64021E1C"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0.763</w:t>
            </w:r>
          </w:p>
        </w:tc>
      </w:tr>
    </w:tbl>
    <w:p w14:paraId="7055C39B" w14:textId="77777777" w:rsidR="000F3D9E" w:rsidRDefault="000F3D9E" w:rsidP="005076A2">
      <w:pPr>
        <w:rPr>
          <w:rFonts w:ascii="Times New Roman" w:hAnsi="Times New Roman" w:cs="Times New Roman"/>
          <w:b/>
          <w:sz w:val="24"/>
          <w:szCs w:val="24"/>
          <w:lang w:val="en-US"/>
        </w:rPr>
      </w:pPr>
    </w:p>
    <w:p w14:paraId="6A78B7D6" w14:textId="77777777" w:rsidR="000F3D9E" w:rsidRDefault="000F3D9E" w:rsidP="005076A2">
      <w:pPr>
        <w:rPr>
          <w:rFonts w:ascii="Times New Roman" w:hAnsi="Times New Roman" w:cs="Times New Roman"/>
          <w:b/>
          <w:sz w:val="24"/>
          <w:szCs w:val="24"/>
          <w:lang w:val="en-US"/>
        </w:rPr>
      </w:pPr>
    </w:p>
    <w:p w14:paraId="6A0A87D4" w14:textId="77777777" w:rsidR="000F3D9E" w:rsidRDefault="000F3D9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C14D7FD" w14:textId="3109BBB0"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6v.  Elemental carbon.</w:t>
      </w:r>
    </w:p>
    <w:tbl>
      <w:tblPr>
        <w:tblW w:w="0" w:type="auto"/>
        <w:tblCellMar>
          <w:top w:w="15" w:type="dxa"/>
          <w:left w:w="15" w:type="dxa"/>
          <w:bottom w:w="15" w:type="dxa"/>
          <w:right w:w="15" w:type="dxa"/>
        </w:tblCellMar>
        <w:tblLook w:val="04A0" w:firstRow="1" w:lastRow="0" w:firstColumn="1" w:lastColumn="0" w:noHBand="0" w:noVBand="1"/>
      </w:tblPr>
      <w:tblGrid>
        <w:gridCol w:w="5399"/>
        <w:gridCol w:w="900"/>
        <w:gridCol w:w="2029"/>
        <w:gridCol w:w="721"/>
      </w:tblGrid>
      <w:tr w:rsidR="000F3D9E" w:rsidRPr="000265C1" w14:paraId="3E2F6D3D" w14:textId="77777777" w:rsidTr="000F3D9E">
        <w:tc>
          <w:tcPr>
            <w:tcW w:w="0" w:type="auto"/>
            <w:tcBorders>
              <w:top w:val="double" w:sz="6" w:space="0" w:color="auto"/>
            </w:tcBorders>
            <w:tcMar>
              <w:top w:w="113" w:type="dxa"/>
              <w:left w:w="113" w:type="dxa"/>
              <w:bottom w:w="113" w:type="dxa"/>
              <w:right w:w="113" w:type="dxa"/>
            </w:tcMar>
            <w:vAlign w:val="center"/>
            <w:hideMark/>
          </w:tcPr>
          <w:p w14:paraId="0B65CC1B" w14:textId="77777777" w:rsidR="000F3D9E" w:rsidRPr="000265C1" w:rsidRDefault="000F3D9E" w:rsidP="000F3D9E">
            <w:pPr>
              <w:spacing w:after="0" w:line="240" w:lineRule="auto"/>
              <w:rPr>
                <w:rFonts w:ascii="Times New Roman" w:eastAsia="Times New Roman" w:hAnsi="Times New Roman" w:cs="Times New Roman"/>
                <w:b/>
                <w:bCs/>
                <w:lang w:eastAsia="de-DE"/>
              </w:rPr>
            </w:pPr>
            <w:r w:rsidRPr="000265C1">
              <w:rPr>
                <w:rFonts w:ascii="Times New Roman" w:eastAsia="Times New Roman" w:hAnsi="Times New Roman" w:cs="Times New Roman"/>
                <w:b/>
                <w:bCs/>
                <w:lang w:eastAsia="de-DE"/>
              </w:rPr>
              <w:t> </w:t>
            </w:r>
          </w:p>
        </w:tc>
        <w:tc>
          <w:tcPr>
            <w:tcW w:w="0" w:type="auto"/>
            <w:gridSpan w:val="3"/>
            <w:tcBorders>
              <w:top w:val="double" w:sz="6" w:space="0" w:color="auto"/>
            </w:tcBorders>
            <w:tcMar>
              <w:top w:w="113" w:type="dxa"/>
              <w:left w:w="113" w:type="dxa"/>
              <w:bottom w:w="113" w:type="dxa"/>
              <w:right w:w="113" w:type="dxa"/>
            </w:tcMar>
            <w:vAlign w:val="center"/>
            <w:hideMark/>
          </w:tcPr>
          <w:p w14:paraId="5B53F01D" w14:textId="1EA72F06" w:rsidR="000F3D9E" w:rsidRPr="000265C1" w:rsidRDefault="000F3D9E" w:rsidP="000F3D9E">
            <w:pPr>
              <w:spacing w:after="0" w:line="240" w:lineRule="auto"/>
              <w:jc w:val="center"/>
              <w:rPr>
                <w:rFonts w:ascii="Times New Roman" w:eastAsia="Times New Roman" w:hAnsi="Times New Roman" w:cs="Times New Roman"/>
                <w:b/>
                <w:bCs/>
                <w:lang w:eastAsia="de-DE"/>
              </w:rPr>
            </w:pPr>
            <w:r w:rsidRPr="000265C1">
              <w:rPr>
                <w:rFonts w:ascii="Times New Roman" w:eastAsia="Times New Roman" w:hAnsi="Times New Roman" w:cs="Times New Roman"/>
                <w:b/>
                <w:bCs/>
                <w:lang w:eastAsia="de-DE"/>
              </w:rPr>
              <w:t>Elemental carbon</w:t>
            </w:r>
          </w:p>
        </w:tc>
      </w:tr>
      <w:tr w:rsidR="000F3D9E" w:rsidRPr="000265C1" w14:paraId="7AA46D4F" w14:textId="77777777" w:rsidTr="000F3D9E">
        <w:tc>
          <w:tcPr>
            <w:tcW w:w="0" w:type="auto"/>
            <w:tcBorders>
              <w:bottom w:val="single" w:sz="6" w:space="0" w:color="auto"/>
            </w:tcBorders>
            <w:vAlign w:val="center"/>
            <w:hideMark/>
          </w:tcPr>
          <w:p w14:paraId="3C7E9BCC" w14:textId="77777777" w:rsidR="000F3D9E" w:rsidRPr="000265C1" w:rsidRDefault="000F3D9E" w:rsidP="000F3D9E">
            <w:pPr>
              <w:spacing w:after="0" w:line="240" w:lineRule="auto"/>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Predictors</w:t>
            </w:r>
          </w:p>
        </w:tc>
        <w:tc>
          <w:tcPr>
            <w:tcW w:w="0" w:type="auto"/>
            <w:tcBorders>
              <w:bottom w:val="single" w:sz="6" w:space="0" w:color="auto"/>
            </w:tcBorders>
            <w:vAlign w:val="center"/>
            <w:hideMark/>
          </w:tcPr>
          <w:p w14:paraId="602BA465" w14:textId="77777777"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Estimates</w:t>
            </w:r>
          </w:p>
        </w:tc>
        <w:tc>
          <w:tcPr>
            <w:tcW w:w="0" w:type="auto"/>
            <w:tcBorders>
              <w:bottom w:val="single" w:sz="6" w:space="0" w:color="auto"/>
            </w:tcBorders>
            <w:vAlign w:val="center"/>
            <w:hideMark/>
          </w:tcPr>
          <w:p w14:paraId="054E94E1" w14:textId="7725FC2A"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 xml:space="preserve">       Confidence interval</w:t>
            </w:r>
          </w:p>
        </w:tc>
        <w:tc>
          <w:tcPr>
            <w:tcW w:w="0" w:type="auto"/>
            <w:tcBorders>
              <w:bottom w:val="single" w:sz="6" w:space="0" w:color="auto"/>
            </w:tcBorders>
            <w:vAlign w:val="center"/>
            <w:hideMark/>
          </w:tcPr>
          <w:p w14:paraId="32B23B94" w14:textId="77777777"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p</w:t>
            </w:r>
          </w:p>
        </w:tc>
      </w:tr>
      <w:tr w:rsidR="000265C1" w:rsidRPr="000265C1" w14:paraId="1C21CE83" w14:textId="77777777" w:rsidTr="000F3D9E">
        <w:tc>
          <w:tcPr>
            <w:tcW w:w="0" w:type="auto"/>
            <w:tcMar>
              <w:top w:w="113" w:type="dxa"/>
              <w:left w:w="113" w:type="dxa"/>
              <w:bottom w:w="113" w:type="dxa"/>
              <w:right w:w="113" w:type="dxa"/>
            </w:tcMar>
            <w:hideMark/>
          </w:tcPr>
          <w:p w14:paraId="11027A05" w14:textId="17DE0F8B"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Intercept (Midwest)</w:t>
            </w:r>
          </w:p>
        </w:tc>
        <w:tc>
          <w:tcPr>
            <w:tcW w:w="0" w:type="auto"/>
            <w:tcMar>
              <w:top w:w="113" w:type="dxa"/>
              <w:left w:w="113" w:type="dxa"/>
              <w:bottom w:w="113" w:type="dxa"/>
              <w:right w:w="113" w:type="dxa"/>
            </w:tcMar>
            <w:hideMark/>
          </w:tcPr>
          <w:p w14:paraId="270FD148" w14:textId="57D07A8F"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0.7619</w:t>
            </w:r>
          </w:p>
        </w:tc>
        <w:tc>
          <w:tcPr>
            <w:tcW w:w="0" w:type="auto"/>
            <w:tcMar>
              <w:top w:w="113" w:type="dxa"/>
              <w:left w:w="113" w:type="dxa"/>
              <w:bottom w:w="113" w:type="dxa"/>
              <w:right w:w="113" w:type="dxa"/>
            </w:tcMar>
            <w:hideMark/>
          </w:tcPr>
          <w:p w14:paraId="24DC8B3A" w14:textId="70E4C0C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-6.5337 – 8.0575</w:t>
            </w:r>
          </w:p>
        </w:tc>
        <w:tc>
          <w:tcPr>
            <w:tcW w:w="0" w:type="auto"/>
            <w:tcMar>
              <w:top w:w="113" w:type="dxa"/>
              <w:left w:w="113" w:type="dxa"/>
              <w:bottom w:w="113" w:type="dxa"/>
              <w:right w:w="113" w:type="dxa"/>
            </w:tcMar>
            <w:hideMark/>
          </w:tcPr>
          <w:p w14:paraId="3BD60244" w14:textId="3AA82E2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0.838</w:t>
            </w:r>
          </w:p>
        </w:tc>
      </w:tr>
      <w:tr w:rsidR="000265C1" w:rsidRPr="000265C1" w14:paraId="3392A031" w14:textId="77777777" w:rsidTr="000F3D9E">
        <w:tc>
          <w:tcPr>
            <w:tcW w:w="0" w:type="auto"/>
            <w:tcMar>
              <w:top w:w="113" w:type="dxa"/>
              <w:left w:w="113" w:type="dxa"/>
              <w:bottom w:w="113" w:type="dxa"/>
              <w:right w:w="113" w:type="dxa"/>
            </w:tcMar>
            <w:hideMark/>
          </w:tcPr>
          <w:p w14:paraId="57FC28F7" w14:textId="10B7285E"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Racial isolation quintile</w:t>
            </w:r>
          </w:p>
        </w:tc>
        <w:tc>
          <w:tcPr>
            <w:tcW w:w="0" w:type="auto"/>
            <w:tcMar>
              <w:top w:w="113" w:type="dxa"/>
              <w:left w:w="113" w:type="dxa"/>
              <w:bottom w:w="113" w:type="dxa"/>
              <w:right w:w="113" w:type="dxa"/>
            </w:tcMar>
            <w:hideMark/>
          </w:tcPr>
          <w:p w14:paraId="7FBC8077" w14:textId="22EC23F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0.0340</w:t>
            </w:r>
          </w:p>
        </w:tc>
        <w:tc>
          <w:tcPr>
            <w:tcW w:w="0" w:type="auto"/>
            <w:tcMar>
              <w:top w:w="113" w:type="dxa"/>
              <w:left w:w="113" w:type="dxa"/>
              <w:bottom w:w="113" w:type="dxa"/>
              <w:right w:w="113" w:type="dxa"/>
            </w:tcMar>
            <w:hideMark/>
          </w:tcPr>
          <w:p w14:paraId="7D995548" w14:textId="434EFF9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-0.1530 – 0.2210</w:t>
            </w:r>
          </w:p>
        </w:tc>
        <w:tc>
          <w:tcPr>
            <w:tcW w:w="0" w:type="auto"/>
            <w:tcMar>
              <w:top w:w="113" w:type="dxa"/>
              <w:left w:w="113" w:type="dxa"/>
              <w:bottom w:w="113" w:type="dxa"/>
              <w:right w:w="113" w:type="dxa"/>
            </w:tcMar>
            <w:hideMark/>
          </w:tcPr>
          <w:p w14:paraId="7E699553" w14:textId="7DD046B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0.722</w:t>
            </w:r>
          </w:p>
        </w:tc>
      </w:tr>
      <w:tr w:rsidR="000265C1" w:rsidRPr="000265C1" w14:paraId="2B5DF119" w14:textId="77777777" w:rsidTr="000F3D9E">
        <w:tc>
          <w:tcPr>
            <w:tcW w:w="0" w:type="auto"/>
            <w:tcMar>
              <w:top w:w="113" w:type="dxa"/>
              <w:left w:w="113" w:type="dxa"/>
              <w:bottom w:w="113" w:type="dxa"/>
              <w:right w:w="113" w:type="dxa"/>
            </w:tcMar>
            <w:hideMark/>
          </w:tcPr>
          <w:p w14:paraId="1B184834" w14:textId="5A58E8D2"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Black or African American (%)</w:t>
            </w:r>
          </w:p>
        </w:tc>
        <w:tc>
          <w:tcPr>
            <w:tcW w:w="0" w:type="auto"/>
            <w:tcMar>
              <w:top w:w="113" w:type="dxa"/>
              <w:left w:w="113" w:type="dxa"/>
              <w:bottom w:w="113" w:type="dxa"/>
              <w:right w:w="113" w:type="dxa"/>
            </w:tcMar>
            <w:hideMark/>
          </w:tcPr>
          <w:p w14:paraId="0D96A28C" w14:textId="6879809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0.5515</w:t>
            </w:r>
          </w:p>
        </w:tc>
        <w:tc>
          <w:tcPr>
            <w:tcW w:w="0" w:type="auto"/>
            <w:tcMar>
              <w:top w:w="113" w:type="dxa"/>
              <w:left w:w="113" w:type="dxa"/>
              <w:bottom w:w="113" w:type="dxa"/>
              <w:right w:w="113" w:type="dxa"/>
            </w:tcMar>
            <w:hideMark/>
          </w:tcPr>
          <w:p w14:paraId="66E69C6A" w14:textId="5AF4286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-6.8273 – 7.9303</w:t>
            </w:r>
          </w:p>
        </w:tc>
        <w:tc>
          <w:tcPr>
            <w:tcW w:w="0" w:type="auto"/>
            <w:tcMar>
              <w:top w:w="113" w:type="dxa"/>
              <w:left w:w="113" w:type="dxa"/>
              <w:bottom w:w="113" w:type="dxa"/>
              <w:right w:w="113" w:type="dxa"/>
            </w:tcMar>
            <w:hideMark/>
          </w:tcPr>
          <w:p w14:paraId="380B7A41" w14:textId="25D137C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0.884</w:t>
            </w:r>
          </w:p>
        </w:tc>
      </w:tr>
      <w:tr w:rsidR="000265C1" w:rsidRPr="000265C1" w14:paraId="7454EDD9" w14:textId="77777777" w:rsidTr="000F3D9E">
        <w:tc>
          <w:tcPr>
            <w:tcW w:w="0" w:type="auto"/>
            <w:tcMar>
              <w:top w:w="113" w:type="dxa"/>
              <w:left w:w="113" w:type="dxa"/>
              <w:bottom w:w="113" w:type="dxa"/>
              <w:right w:w="113" w:type="dxa"/>
            </w:tcMar>
            <w:hideMark/>
          </w:tcPr>
          <w:p w14:paraId="4DF70B9F" w14:textId="7763B077"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Hispanic or Latino (%)</w:t>
            </w:r>
          </w:p>
        </w:tc>
        <w:tc>
          <w:tcPr>
            <w:tcW w:w="0" w:type="auto"/>
            <w:tcMar>
              <w:top w:w="113" w:type="dxa"/>
              <w:left w:w="113" w:type="dxa"/>
              <w:bottom w:w="113" w:type="dxa"/>
              <w:right w:w="113" w:type="dxa"/>
            </w:tcMar>
            <w:hideMark/>
          </w:tcPr>
          <w:p w14:paraId="1985ADCD" w14:textId="22441E8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0.1316</w:t>
            </w:r>
          </w:p>
        </w:tc>
        <w:tc>
          <w:tcPr>
            <w:tcW w:w="0" w:type="auto"/>
            <w:tcMar>
              <w:top w:w="113" w:type="dxa"/>
              <w:left w:w="113" w:type="dxa"/>
              <w:bottom w:w="113" w:type="dxa"/>
              <w:right w:w="113" w:type="dxa"/>
            </w:tcMar>
            <w:hideMark/>
          </w:tcPr>
          <w:p w14:paraId="38695F8C" w14:textId="175EBC9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-7.1085 – 7.3718</w:t>
            </w:r>
          </w:p>
        </w:tc>
        <w:tc>
          <w:tcPr>
            <w:tcW w:w="0" w:type="auto"/>
            <w:tcMar>
              <w:top w:w="113" w:type="dxa"/>
              <w:left w:w="113" w:type="dxa"/>
              <w:bottom w:w="113" w:type="dxa"/>
              <w:right w:w="113" w:type="dxa"/>
            </w:tcMar>
            <w:hideMark/>
          </w:tcPr>
          <w:p w14:paraId="3D83620A" w14:textId="1C00166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0.972</w:t>
            </w:r>
          </w:p>
        </w:tc>
      </w:tr>
      <w:tr w:rsidR="000265C1" w:rsidRPr="000265C1" w14:paraId="63A95822" w14:textId="77777777" w:rsidTr="000F3D9E">
        <w:tc>
          <w:tcPr>
            <w:tcW w:w="0" w:type="auto"/>
            <w:tcMar>
              <w:top w:w="113" w:type="dxa"/>
              <w:left w:w="113" w:type="dxa"/>
              <w:bottom w:w="113" w:type="dxa"/>
              <w:right w:w="113" w:type="dxa"/>
            </w:tcMar>
            <w:hideMark/>
          </w:tcPr>
          <w:p w14:paraId="7935A453" w14:textId="7B059AA6"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Asian (%)</w:t>
            </w:r>
          </w:p>
        </w:tc>
        <w:tc>
          <w:tcPr>
            <w:tcW w:w="0" w:type="auto"/>
            <w:tcMar>
              <w:top w:w="113" w:type="dxa"/>
              <w:left w:w="113" w:type="dxa"/>
              <w:bottom w:w="113" w:type="dxa"/>
              <w:right w:w="113" w:type="dxa"/>
            </w:tcMar>
            <w:hideMark/>
          </w:tcPr>
          <w:p w14:paraId="19EE0628" w14:textId="3DFE6A8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0.1407</w:t>
            </w:r>
          </w:p>
        </w:tc>
        <w:tc>
          <w:tcPr>
            <w:tcW w:w="0" w:type="auto"/>
            <w:tcMar>
              <w:top w:w="113" w:type="dxa"/>
              <w:left w:w="113" w:type="dxa"/>
              <w:bottom w:w="113" w:type="dxa"/>
              <w:right w:w="113" w:type="dxa"/>
            </w:tcMar>
            <w:hideMark/>
          </w:tcPr>
          <w:p w14:paraId="5B6EE5B3" w14:textId="5AAE8A7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-8.9166 – 9.1979</w:t>
            </w:r>
          </w:p>
        </w:tc>
        <w:tc>
          <w:tcPr>
            <w:tcW w:w="0" w:type="auto"/>
            <w:tcMar>
              <w:top w:w="113" w:type="dxa"/>
              <w:left w:w="113" w:type="dxa"/>
              <w:bottom w:w="113" w:type="dxa"/>
              <w:right w:w="113" w:type="dxa"/>
            </w:tcMar>
            <w:hideMark/>
          </w:tcPr>
          <w:p w14:paraId="486EF492" w14:textId="30B87D7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0.976</w:t>
            </w:r>
          </w:p>
        </w:tc>
      </w:tr>
      <w:tr w:rsidR="000265C1" w:rsidRPr="000265C1" w14:paraId="1B16EB9E" w14:textId="77777777" w:rsidTr="000F3D9E">
        <w:tc>
          <w:tcPr>
            <w:tcW w:w="0" w:type="auto"/>
            <w:tcMar>
              <w:top w:w="113" w:type="dxa"/>
              <w:left w:w="113" w:type="dxa"/>
              <w:bottom w:w="113" w:type="dxa"/>
              <w:right w:w="113" w:type="dxa"/>
            </w:tcMar>
            <w:hideMark/>
          </w:tcPr>
          <w:p w14:paraId="72A6FB0C" w14:textId="7622C779" w:rsidR="000265C1" w:rsidRPr="000265C1" w:rsidRDefault="000265C1" w:rsidP="000265C1">
            <w:pPr>
              <w:spacing w:after="0" w:line="240" w:lineRule="auto"/>
              <w:rPr>
                <w:rFonts w:ascii="Times New Roman" w:eastAsia="Times New Roman" w:hAnsi="Times New Roman" w:cs="Times New Roman"/>
                <w:lang w:val="en-US" w:eastAsia="de-DE"/>
              </w:rPr>
            </w:pPr>
            <w:r w:rsidRPr="000265C1">
              <w:rPr>
                <w:rFonts w:ascii="Times New Roman" w:eastAsia="Times New Roman" w:hAnsi="Times New Roman" w:cs="Times New Roman"/>
                <w:lang w:val="en-US" w:eastAsia="de-DE"/>
              </w:rPr>
              <w:t>American Indian, Alaska Native, Native Hawaiian, or Pacific Islander (%)</w:t>
            </w:r>
          </w:p>
        </w:tc>
        <w:tc>
          <w:tcPr>
            <w:tcW w:w="0" w:type="auto"/>
            <w:tcMar>
              <w:top w:w="113" w:type="dxa"/>
              <w:left w:w="113" w:type="dxa"/>
              <w:bottom w:w="113" w:type="dxa"/>
              <w:right w:w="113" w:type="dxa"/>
            </w:tcMar>
            <w:hideMark/>
          </w:tcPr>
          <w:p w14:paraId="0AF9EE61" w14:textId="15A36E3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-0.7444</w:t>
            </w:r>
          </w:p>
        </w:tc>
        <w:tc>
          <w:tcPr>
            <w:tcW w:w="0" w:type="auto"/>
            <w:tcMar>
              <w:top w:w="113" w:type="dxa"/>
              <w:left w:w="113" w:type="dxa"/>
              <w:bottom w:w="113" w:type="dxa"/>
              <w:right w:w="113" w:type="dxa"/>
            </w:tcMar>
            <w:hideMark/>
          </w:tcPr>
          <w:p w14:paraId="313AABD2" w14:textId="5EE05B77"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-8.9370 – 7.4482</w:t>
            </w:r>
          </w:p>
        </w:tc>
        <w:tc>
          <w:tcPr>
            <w:tcW w:w="0" w:type="auto"/>
            <w:tcMar>
              <w:top w:w="113" w:type="dxa"/>
              <w:left w:w="113" w:type="dxa"/>
              <w:bottom w:w="113" w:type="dxa"/>
              <w:right w:w="113" w:type="dxa"/>
            </w:tcMar>
            <w:hideMark/>
          </w:tcPr>
          <w:p w14:paraId="32DE740D" w14:textId="0D905BA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0.859</w:t>
            </w:r>
          </w:p>
        </w:tc>
      </w:tr>
      <w:tr w:rsidR="000265C1" w:rsidRPr="000265C1" w14:paraId="31C52A91" w14:textId="77777777" w:rsidTr="000F3D9E">
        <w:tc>
          <w:tcPr>
            <w:tcW w:w="0" w:type="auto"/>
            <w:tcMar>
              <w:top w:w="113" w:type="dxa"/>
              <w:left w:w="113" w:type="dxa"/>
              <w:bottom w:w="113" w:type="dxa"/>
              <w:right w:w="113" w:type="dxa"/>
            </w:tcMar>
            <w:hideMark/>
          </w:tcPr>
          <w:p w14:paraId="5959DE85" w14:textId="759CD776"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White (%)</w:t>
            </w:r>
          </w:p>
        </w:tc>
        <w:tc>
          <w:tcPr>
            <w:tcW w:w="0" w:type="auto"/>
            <w:tcMar>
              <w:top w:w="113" w:type="dxa"/>
              <w:left w:w="113" w:type="dxa"/>
              <w:bottom w:w="113" w:type="dxa"/>
              <w:right w:w="113" w:type="dxa"/>
            </w:tcMar>
            <w:hideMark/>
          </w:tcPr>
          <w:p w14:paraId="67BA7127" w14:textId="377ACAF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-0.5565</w:t>
            </w:r>
          </w:p>
        </w:tc>
        <w:tc>
          <w:tcPr>
            <w:tcW w:w="0" w:type="auto"/>
            <w:tcMar>
              <w:top w:w="113" w:type="dxa"/>
              <w:left w:w="113" w:type="dxa"/>
              <w:bottom w:w="113" w:type="dxa"/>
              <w:right w:w="113" w:type="dxa"/>
            </w:tcMar>
            <w:hideMark/>
          </w:tcPr>
          <w:p w14:paraId="7693C107" w14:textId="363839F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-7.9137 – 6.8006</w:t>
            </w:r>
          </w:p>
        </w:tc>
        <w:tc>
          <w:tcPr>
            <w:tcW w:w="0" w:type="auto"/>
            <w:tcMar>
              <w:top w:w="113" w:type="dxa"/>
              <w:left w:w="113" w:type="dxa"/>
              <w:bottom w:w="113" w:type="dxa"/>
              <w:right w:w="113" w:type="dxa"/>
            </w:tcMar>
            <w:hideMark/>
          </w:tcPr>
          <w:p w14:paraId="1D611DE9" w14:textId="1F6D3EF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0.882</w:t>
            </w:r>
          </w:p>
        </w:tc>
      </w:tr>
      <w:tr w:rsidR="000265C1" w:rsidRPr="000265C1" w14:paraId="2054604B" w14:textId="77777777" w:rsidTr="000F3D9E">
        <w:tc>
          <w:tcPr>
            <w:tcW w:w="0" w:type="auto"/>
            <w:tcMar>
              <w:top w:w="113" w:type="dxa"/>
              <w:left w:w="113" w:type="dxa"/>
              <w:bottom w:w="113" w:type="dxa"/>
              <w:right w:w="113" w:type="dxa"/>
            </w:tcMar>
            <w:hideMark/>
          </w:tcPr>
          <w:p w14:paraId="73FEDBFB" w14:textId="0DCA2F29" w:rsidR="000265C1" w:rsidRPr="000265C1" w:rsidRDefault="000265C1" w:rsidP="000265C1">
            <w:pPr>
              <w:spacing w:after="0" w:line="240" w:lineRule="auto"/>
              <w:rPr>
                <w:rFonts w:ascii="Times New Roman" w:eastAsia="Times New Roman" w:hAnsi="Times New Roman" w:cs="Times New Roman"/>
                <w:lang w:val="en-US" w:eastAsia="de-DE"/>
              </w:rPr>
            </w:pPr>
            <w:r w:rsidRPr="000265C1">
              <w:rPr>
                <w:rFonts w:ascii="Times New Roman" w:eastAsia="Times New Roman" w:hAnsi="Times New Roman" w:cs="Times New Roman"/>
                <w:lang w:val="en-US" w:eastAsia="de-DE"/>
              </w:rPr>
              <w:t>Education less than high school (%)</w:t>
            </w:r>
            <w:r w:rsidRPr="000265C1">
              <w:rPr>
                <w:rFonts w:ascii="Times New Roman" w:eastAsia="Times New Roman" w:hAnsi="Times New Roman" w:cs="Times New Roman"/>
                <w:lang w:val="en-US" w:eastAsia="de-DE"/>
              </w:rPr>
              <w:br/>
            </w:r>
          </w:p>
        </w:tc>
        <w:tc>
          <w:tcPr>
            <w:tcW w:w="0" w:type="auto"/>
            <w:tcMar>
              <w:top w:w="113" w:type="dxa"/>
              <w:left w:w="113" w:type="dxa"/>
              <w:bottom w:w="113" w:type="dxa"/>
              <w:right w:w="113" w:type="dxa"/>
            </w:tcMar>
            <w:hideMark/>
          </w:tcPr>
          <w:p w14:paraId="134A2E30" w14:textId="5568FF0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-0.0001</w:t>
            </w:r>
          </w:p>
        </w:tc>
        <w:tc>
          <w:tcPr>
            <w:tcW w:w="0" w:type="auto"/>
            <w:tcMar>
              <w:top w:w="113" w:type="dxa"/>
              <w:left w:w="113" w:type="dxa"/>
              <w:bottom w:w="113" w:type="dxa"/>
              <w:right w:w="113" w:type="dxa"/>
            </w:tcMar>
            <w:hideMark/>
          </w:tcPr>
          <w:p w14:paraId="1FDAA09C" w14:textId="467A61F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-0.0005 – 0.0002</w:t>
            </w:r>
          </w:p>
        </w:tc>
        <w:tc>
          <w:tcPr>
            <w:tcW w:w="0" w:type="auto"/>
            <w:tcMar>
              <w:top w:w="113" w:type="dxa"/>
              <w:left w:w="113" w:type="dxa"/>
              <w:bottom w:w="113" w:type="dxa"/>
              <w:right w:w="113" w:type="dxa"/>
            </w:tcMar>
            <w:hideMark/>
          </w:tcPr>
          <w:p w14:paraId="21504ADA" w14:textId="0A9D466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0.440</w:t>
            </w:r>
          </w:p>
        </w:tc>
      </w:tr>
      <w:tr w:rsidR="000265C1" w:rsidRPr="000265C1" w14:paraId="24546EC2" w14:textId="77777777" w:rsidTr="000F3D9E">
        <w:tc>
          <w:tcPr>
            <w:tcW w:w="0" w:type="auto"/>
            <w:tcMar>
              <w:top w:w="113" w:type="dxa"/>
              <w:left w:w="113" w:type="dxa"/>
              <w:bottom w:w="113" w:type="dxa"/>
              <w:right w:w="113" w:type="dxa"/>
            </w:tcMar>
            <w:hideMark/>
          </w:tcPr>
          <w:p w14:paraId="5FFEE194" w14:textId="50E8B0E0"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Poverty (%)</w:t>
            </w:r>
          </w:p>
        </w:tc>
        <w:tc>
          <w:tcPr>
            <w:tcW w:w="0" w:type="auto"/>
            <w:tcMar>
              <w:top w:w="113" w:type="dxa"/>
              <w:left w:w="113" w:type="dxa"/>
              <w:bottom w:w="113" w:type="dxa"/>
              <w:right w:w="113" w:type="dxa"/>
            </w:tcMar>
            <w:hideMark/>
          </w:tcPr>
          <w:p w14:paraId="5020DDC8" w14:textId="3784716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-0.3680</w:t>
            </w:r>
          </w:p>
        </w:tc>
        <w:tc>
          <w:tcPr>
            <w:tcW w:w="0" w:type="auto"/>
            <w:tcMar>
              <w:top w:w="113" w:type="dxa"/>
              <w:left w:w="113" w:type="dxa"/>
              <w:bottom w:w="113" w:type="dxa"/>
              <w:right w:w="113" w:type="dxa"/>
            </w:tcMar>
            <w:hideMark/>
          </w:tcPr>
          <w:p w14:paraId="17E91488" w14:textId="2EA3690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-1.8006 – 1.0647</w:t>
            </w:r>
          </w:p>
        </w:tc>
        <w:tc>
          <w:tcPr>
            <w:tcW w:w="0" w:type="auto"/>
            <w:tcMar>
              <w:top w:w="113" w:type="dxa"/>
              <w:left w:w="113" w:type="dxa"/>
              <w:bottom w:w="113" w:type="dxa"/>
              <w:right w:w="113" w:type="dxa"/>
            </w:tcMar>
            <w:hideMark/>
          </w:tcPr>
          <w:p w14:paraId="63C554D6" w14:textId="1AC7ED2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0.615</w:t>
            </w:r>
          </w:p>
        </w:tc>
      </w:tr>
      <w:tr w:rsidR="000265C1" w:rsidRPr="000265C1" w14:paraId="1159CDFA" w14:textId="77777777" w:rsidTr="000F3D9E">
        <w:tc>
          <w:tcPr>
            <w:tcW w:w="0" w:type="auto"/>
            <w:tcMar>
              <w:top w:w="113" w:type="dxa"/>
              <w:left w:w="113" w:type="dxa"/>
              <w:bottom w:w="113" w:type="dxa"/>
              <w:right w:w="113" w:type="dxa"/>
            </w:tcMar>
            <w:hideMark/>
          </w:tcPr>
          <w:p w14:paraId="5629DA39" w14:textId="1910727F"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Unemployed (%)</w:t>
            </w:r>
          </w:p>
        </w:tc>
        <w:tc>
          <w:tcPr>
            <w:tcW w:w="0" w:type="auto"/>
            <w:tcMar>
              <w:top w:w="113" w:type="dxa"/>
              <w:left w:w="113" w:type="dxa"/>
              <w:bottom w:w="113" w:type="dxa"/>
              <w:right w:w="113" w:type="dxa"/>
            </w:tcMar>
            <w:hideMark/>
          </w:tcPr>
          <w:p w14:paraId="1EA59D11" w14:textId="0EFB6287"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0.0225</w:t>
            </w:r>
          </w:p>
        </w:tc>
        <w:tc>
          <w:tcPr>
            <w:tcW w:w="0" w:type="auto"/>
            <w:tcMar>
              <w:top w:w="113" w:type="dxa"/>
              <w:left w:w="113" w:type="dxa"/>
              <w:bottom w:w="113" w:type="dxa"/>
              <w:right w:w="113" w:type="dxa"/>
            </w:tcMar>
            <w:hideMark/>
          </w:tcPr>
          <w:p w14:paraId="52875F47" w14:textId="526A3BE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-5.1398 – 5.1848</w:t>
            </w:r>
          </w:p>
        </w:tc>
        <w:tc>
          <w:tcPr>
            <w:tcW w:w="0" w:type="auto"/>
            <w:tcMar>
              <w:top w:w="113" w:type="dxa"/>
              <w:left w:w="113" w:type="dxa"/>
              <w:bottom w:w="113" w:type="dxa"/>
              <w:right w:w="113" w:type="dxa"/>
            </w:tcMar>
            <w:hideMark/>
          </w:tcPr>
          <w:p w14:paraId="2E5F1949" w14:textId="190A4F8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0.993</w:t>
            </w:r>
          </w:p>
        </w:tc>
      </w:tr>
      <w:tr w:rsidR="000265C1" w:rsidRPr="000265C1" w14:paraId="7D72AAE1" w14:textId="77777777" w:rsidTr="000F3D9E">
        <w:tc>
          <w:tcPr>
            <w:tcW w:w="0" w:type="auto"/>
            <w:tcMar>
              <w:top w:w="113" w:type="dxa"/>
              <w:left w:w="113" w:type="dxa"/>
              <w:bottom w:w="113" w:type="dxa"/>
              <w:right w:w="113" w:type="dxa"/>
            </w:tcMar>
            <w:hideMark/>
          </w:tcPr>
          <w:p w14:paraId="3D3FBC19" w14:textId="0302634D"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Age 0 to 19 (%)</w:t>
            </w:r>
          </w:p>
        </w:tc>
        <w:tc>
          <w:tcPr>
            <w:tcW w:w="0" w:type="auto"/>
            <w:tcMar>
              <w:top w:w="113" w:type="dxa"/>
              <w:left w:w="113" w:type="dxa"/>
              <w:bottom w:w="113" w:type="dxa"/>
              <w:right w:w="113" w:type="dxa"/>
            </w:tcMar>
            <w:hideMark/>
          </w:tcPr>
          <w:p w14:paraId="511FE179" w14:textId="6A0D902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0.0003</w:t>
            </w:r>
          </w:p>
        </w:tc>
        <w:tc>
          <w:tcPr>
            <w:tcW w:w="0" w:type="auto"/>
            <w:tcMar>
              <w:top w:w="113" w:type="dxa"/>
              <w:left w:w="113" w:type="dxa"/>
              <w:bottom w:w="113" w:type="dxa"/>
              <w:right w:w="113" w:type="dxa"/>
            </w:tcMar>
            <w:hideMark/>
          </w:tcPr>
          <w:p w14:paraId="4F19C95B" w14:textId="08E210E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0.0000 – 0.0005</w:t>
            </w:r>
          </w:p>
        </w:tc>
        <w:tc>
          <w:tcPr>
            <w:tcW w:w="0" w:type="auto"/>
            <w:tcMar>
              <w:top w:w="113" w:type="dxa"/>
              <w:left w:w="113" w:type="dxa"/>
              <w:bottom w:w="113" w:type="dxa"/>
              <w:right w:w="113" w:type="dxa"/>
            </w:tcMar>
            <w:hideMark/>
          </w:tcPr>
          <w:p w14:paraId="2B4E7F34" w14:textId="426CB4F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Style w:val="Strong"/>
                <w:rFonts w:ascii="Times New Roman" w:eastAsia="Times New Roman" w:hAnsi="Times New Roman" w:cs="Times New Roman"/>
              </w:rPr>
              <w:t>0.043</w:t>
            </w:r>
          </w:p>
        </w:tc>
      </w:tr>
      <w:tr w:rsidR="000265C1" w:rsidRPr="000265C1" w14:paraId="28E7E25A" w14:textId="77777777" w:rsidTr="000F3D9E">
        <w:tc>
          <w:tcPr>
            <w:tcW w:w="0" w:type="auto"/>
            <w:tcMar>
              <w:top w:w="113" w:type="dxa"/>
              <w:left w:w="113" w:type="dxa"/>
              <w:bottom w:w="113" w:type="dxa"/>
              <w:right w:w="113" w:type="dxa"/>
            </w:tcMar>
            <w:hideMark/>
          </w:tcPr>
          <w:p w14:paraId="33127466" w14:textId="62DAF528"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Age 65 or over (%)</w:t>
            </w:r>
          </w:p>
        </w:tc>
        <w:tc>
          <w:tcPr>
            <w:tcW w:w="0" w:type="auto"/>
            <w:tcMar>
              <w:top w:w="113" w:type="dxa"/>
              <w:left w:w="113" w:type="dxa"/>
              <w:bottom w:w="113" w:type="dxa"/>
              <w:right w:w="113" w:type="dxa"/>
            </w:tcMar>
            <w:hideMark/>
          </w:tcPr>
          <w:p w14:paraId="66082DDE" w14:textId="10D67A1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-0.0004</w:t>
            </w:r>
          </w:p>
        </w:tc>
        <w:tc>
          <w:tcPr>
            <w:tcW w:w="0" w:type="auto"/>
            <w:tcMar>
              <w:top w:w="113" w:type="dxa"/>
              <w:left w:w="113" w:type="dxa"/>
              <w:bottom w:w="113" w:type="dxa"/>
              <w:right w:w="113" w:type="dxa"/>
            </w:tcMar>
            <w:hideMark/>
          </w:tcPr>
          <w:p w14:paraId="62D47C0E" w14:textId="59596EDC"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-0.0010 – 0.0001</w:t>
            </w:r>
          </w:p>
        </w:tc>
        <w:tc>
          <w:tcPr>
            <w:tcW w:w="0" w:type="auto"/>
            <w:tcMar>
              <w:top w:w="113" w:type="dxa"/>
              <w:left w:w="113" w:type="dxa"/>
              <w:bottom w:w="113" w:type="dxa"/>
              <w:right w:w="113" w:type="dxa"/>
            </w:tcMar>
            <w:hideMark/>
          </w:tcPr>
          <w:p w14:paraId="0CA82032" w14:textId="09A699F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0.145</w:t>
            </w:r>
          </w:p>
        </w:tc>
      </w:tr>
      <w:tr w:rsidR="000265C1" w:rsidRPr="000265C1" w14:paraId="2C79C1F8" w14:textId="77777777" w:rsidTr="000F3D9E">
        <w:tc>
          <w:tcPr>
            <w:tcW w:w="0" w:type="auto"/>
            <w:tcMar>
              <w:top w:w="113" w:type="dxa"/>
              <w:left w:w="113" w:type="dxa"/>
              <w:bottom w:w="113" w:type="dxa"/>
              <w:right w:w="113" w:type="dxa"/>
            </w:tcMar>
            <w:hideMark/>
          </w:tcPr>
          <w:p w14:paraId="62E35569" w14:textId="25CD62B0"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Northeast</w:t>
            </w:r>
          </w:p>
        </w:tc>
        <w:tc>
          <w:tcPr>
            <w:tcW w:w="0" w:type="auto"/>
            <w:tcMar>
              <w:top w:w="113" w:type="dxa"/>
              <w:left w:w="113" w:type="dxa"/>
              <w:bottom w:w="113" w:type="dxa"/>
              <w:right w:w="113" w:type="dxa"/>
            </w:tcMar>
            <w:hideMark/>
          </w:tcPr>
          <w:p w14:paraId="46507842" w14:textId="1D6F359A"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0.1473</w:t>
            </w:r>
          </w:p>
        </w:tc>
        <w:tc>
          <w:tcPr>
            <w:tcW w:w="0" w:type="auto"/>
            <w:tcMar>
              <w:top w:w="113" w:type="dxa"/>
              <w:left w:w="113" w:type="dxa"/>
              <w:bottom w:w="113" w:type="dxa"/>
              <w:right w:w="113" w:type="dxa"/>
            </w:tcMar>
            <w:hideMark/>
          </w:tcPr>
          <w:p w14:paraId="18225106" w14:textId="088DC39C"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-0.3915 – 0.6860</w:t>
            </w:r>
          </w:p>
        </w:tc>
        <w:tc>
          <w:tcPr>
            <w:tcW w:w="0" w:type="auto"/>
            <w:tcMar>
              <w:top w:w="113" w:type="dxa"/>
              <w:left w:w="113" w:type="dxa"/>
              <w:bottom w:w="113" w:type="dxa"/>
              <w:right w:w="113" w:type="dxa"/>
            </w:tcMar>
            <w:hideMark/>
          </w:tcPr>
          <w:p w14:paraId="778B0CDF" w14:textId="2D069E0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0.593</w:t>
            </w:r>
          </w:p>
        </w:tc>
      </w:tr>
      <w:tr w:rsidR="000265C1" w:rsidRPr="000265C1" w14:paraId="117252D8" w14:textId="77777777" w:rsidTr="000F3D9E">
        <w:tc>
          <w:tcPr>
            <w:tcW w:w="0" w:type="auto"/>
            <w:tcMar>
              <w:top w:w="113" w:type="dxa"/>
              <w:left w:w="113" w:type="dxa"/>
              <w:bottom w:w="113" w:type="dxa"/>
              <w:right w:w="113" w:type="dxa"/>
            </w:tcMar>
            <w:hideMark/>
          </w:tcPr>
          <w:p w14:paraId="561323C7" w14:textId="6BA87083"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South</w:t>
            </w:r>
          </w:p>
        </w:tc>
        <w:tc>
          <w:tcPr>
            <w:tcW w:w="0" w:type="auto"/>
            <w:tcMar>
              <w:top w:w="113" w:type="dxa"/>
              <w:left w:w="113" w:type="dxa"/>
              <w:bottom w:w="113" w:type="dxa"/>
              <w:right w:w="113" w:type="dxa"/>
            </w:tcMar>
            <w:hideMark/>
          </w:tcPr>
          <w:p w14:paraId="37507D95" w14:textId="17A3C82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0.2439</w:t>
            </w:r>
          </w:p>
        </w:tc>
        <w:tc>
          <w:tcPr>
            <w:tcW w:w="0" w:type="auto"/>
            <w:tcMar>
              <w:top w:w="113" w:type="dxa"/>
              <w:left w:w="113" w:type="dxa"/>
              <w:bottom w:w="113" w:type="dxa"/>
              <w:right w:w="113" w:type="dxa"/>
            </w:tcMar>
            <w:hideMark/>
          </w:tcPr>
          <w:p w14:paraId="25EE9360" w14:textId="6A97C3F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-0.2508 – 0.7385</w:t>
            </w:r>
          </w:p>
        </w:tc>
        <w:tc>
          <w:tcPr>
            <w:tcW w:w="0" w:type="auto"/>
            <w:tcMar>
              <w:top w:w="113" w:type="dxa"/>
              <w:left w:w="113" w:type="dxa"/>
              <w:bottom w:w="113" w:type="dxa"/>
              <w:right w:w="113" w:type="dxa"/>
            </w:tcMar>
            <w:hideMark/>
          </w:tcPr>
          <w:p w14:paraId="4C987FF9" w14:textId="370EAC9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0.335</w:t>
            </w:r>
          </w:p>
        </w:tc>
      </w:tr>
      <w:tr w:rsidR="000265C1" w:rsidRPr="000265C1" w14:paraId="382E6B2F" w14:textId="77777777" w:rsidTr="000F3D9E">
        <w:tc>
          <w:tcPr>
            <w:tcW w:w="0" w:type="auto"/>
            <w:tcMar>
              <w:top w:w="113" w:type="dxa"/>
              <w:left w:w="113" w:type="dxa"/>
              <w:bottom w:w="113" w:type="dxa"/>
              <w:right w:w="113" w:type="dxa"/>
            </w:tcMar>
            <w:hideMark/>
          </w:tcPr>
          <w:p w14:paraId="69E0E4B5" w14:textId="59F1F05D"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West</w:t>
            </w:r>
          </w:p>
        </w:tc>
        <w:tc>
          <w:tcPr>
            <w:tcW w:w="0" w:type="auto"/>
            <w:tcMar>
              <w:top w:w="113" w:type="dxa"/>
              <w:left w:w="113" w:type="dxa"/>
              <w:bottom w:w="113" w:type="dxa"/>
              <w:right w:w="113" w:type="dxa"/>
            </w:tcMar>
            <w:hideMark/>
          </w:tcPr>
          <w:p w14:paraId="73B2F574" w14:textId="7FAD212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0.1108</w:t>
            </w:r>
          </w:p>
        </w:tc>
        <w:tc>
          <w:tcPr>
            <w:tcW w:w="0" w:type="auto"/>
            <w:tcMar>
              <w:top w:w="113" w:type="dxa"/>
              <w:left w:w="113" w:type="dxa"/>
              <w:bottom w:w="113" w:type="dxa"/>
              <w:right w:w="113" w:type="dxa"/>
            </w:tcMar>
            <w:hideMark/>
          </w:tcPr>
          <w:p w14:paraId="337F4D17" w14:textId="5D29BDC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-0.4168 – 0.6384</w:t>
            </w:r>
          </w:p>
        </w:tc>
        <w:tc>
          <w:tcPr>
            <w:tcW w:w="0" w:type="auto"/>
            <w:tcMar>
              <w:top w:w="113" w:type="dxa"/>
              <w:left w:w="113" w:type="dxa"/>
              <w:bottom w:w="113" w:type="dxa"/>
              <w:right w:w="113" w:type="dxa"/>
            </w:tcMar>
            <w:hideMark/>
          </w:tcPr>
          <w:p w14:paraId="35BD3F34" w14:textId="60EBD0B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0.681</w:t>
            </w:r>
          </w:p>
        </w:tc>
      </w:tr>
      <w:tr w:rsidR="000F3D9E" w:rsidRPr="000265C1" w14:paraId="03AD9D01" w14:textId="77777777" w:rsidTr="000F3D9E">
        <w:tc>
          <w:tcPr>
            <w:tcW w:w="0" w:type="auto"/>
            <w:tcBorders>
              <w:top w:val="single" w:sz="6" w:space="0" w:color="auto"/>
            </w:tcBorders>
            <w:tcMar>
              <w:top w:w="57" w:type="dxa"/>
              <w:left w:w="113" w:type="dxa"/>
              <w:bottom w:w="57" w:type="dxa"/>
              <w:right w:w="113" w:type="dxa"/>
            </w:tcMar>
            <w:hideMark/>
          </w:tcPr>
          <w:p w14:paraId="67D2B3E0"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Observations</w:t>
            </w:r>
          </w:p>
        </w:tc>
        <w:tc>
          <w:tcPr>
            <w:tcW w:w="0" w:type="auto"/>
            <w:gridSpan w:val="3"/>
            <w:tcBorders>
              <w:top w:val="single" w:sz="6" w:space="0" w:color="auto"/>
            </w:tcBorders>
            <w:tcMar>
              <w:top w:w="57" w:type="dxa"/>
              <w:left w:w="113" w:type="dxa"/>
              <w:bottom w:w="57" w:type="dxa"/>
              <w:right w:w="113" w:type="dxa"/>
            </w:tcMar>
            <w:hideMark/>
          </w:tcPr>
          <w:p w14:paraId="194B955C"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200</w:t>
            </w:r>
          </w:p>
        </w:tc>
      </w:tr>
      <w:tr w:rsidR="000F3D9E" w:rsidRPr="000265C1" w14:paraId="50EB3EA9" w14:textId="77777777" w:rsidTr="000F3D9E">
        <w:tc>
          <w:tcPr>
            <w:tcW w:w="0" w:type="auto"/>
            <w:tcMar>
              <w:top w:w="57" w:type="dxa"/>
              <w:left w:w="113" w:type="dxa"/>
              <w:bottom w:w="57" w:type="dxa"/>
              <w:right w:w="113" w:type="dxa"/>
            </w:tcMar>
            <w:hideMark/>
          </w:tcPr>
          <w:p w14:paraId="366CD3C8"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Nagelkerke's R</w:t>
            </w:r>
            <w:r w:rsidRPr="000265C1">
              <w:rPr>
                <w:rFonts w:ascii="Times New Roman" w:eastAsia="Times New Roman" w:hAnsi="Times New Roman" w:cs="Times New Roman"/>
                <w:vertAlign w:val="superscript"/>
                <w:lang w:eastAsia="de-DE"/>
              </w:rPr>
              <w:t>2</w:t>
            </w:r>
          </w:p>
        </w:tc>
        <w:tc>
          <w:tcPr>
            <w:tcW w:w="0" w:type="auto"/>
            <w:gridSpan w:val="3"/>
            <w:tcMar>
              <w:top w:w="57" w:type="dxa"/>
              <w:left w:w="113" w:type="dxa"/>
              <w:bottom w:w="57" w:type="dxa"/>
              <w:right w:w="113" w:type="dxa"/>
            </w:tcMar>
            <w:hideMark/>
          </w:tcPr>
          <w:p w14:paraId="08055DC7"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0.207</w:t>
            </w:r>
          </w:p>
        </w:tc>
      </w:tr>
    </w:tbl>
    <w:p w14:paraId="5D722973" w14:textId="77777777" w:rsidR="000F3D9E" w:rsidRDefault="000F3D9E" w:rsidP="005076A2">
      <w:pPr>
        <w:rPr>
          <w:rFonts w:ascii="Times New Roman" w:hAnsi="Times New Roman" w:cs="Times New Roman"/>
          <w:b/>
          <w:sz w:val="24"/>
          <w:szCs w:val="24"/>
          <w:lang w:val="en-US"/>
        </w:rPr>
      </w:pPr>
    </w:p>
    <w:p w14:paraId="724C7A4A" w14:textId="7AFC6111" w:rsidR="005076A2" w:rsidRDefault="005076A2">
      <w:pPr>
        <w:rPr>
          <w:rFonts w:ascii="Times New Roman" w:hAnsi="Times New Roman" w:cs="Times New Roman"/>
          <w:b/>
          <w:sz w:val="24"/>
          <w:szCs w:val="24"/>
          <w:lang w:val="en-US"/>
        </w:rPr>
      </w:pPr>
    </w:p>
    <w:p w14:paraId="3F24B081" w14:textId="77777777" w:rsidR="005076A2" w:rsidRDefault="005076A2">
      <w:pPr>
        <w:rPr>
          <w:rFonts w:ascii="Times New Roman" w:hAnsi="Times New Roman" w:cs="Times New Roman"/>
          <w:b/>
          <w:sz w:val="24"/>
          <w:szCs w:val="24"/>
          <w:lang w:val="en-US"/>
        </w:rPr>
      </w:pPr>
    </w:p>
    <w:p w14:paraId="446C736E" w14:textId="77777777" w:rsidR="005076A2" w:rsidRDefault="005076A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A01F6FB" w14:textId="7669659F" w:rsidR="00744849" w:rsidRDefault="00744849"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Figures</w:t>
      </w:r>
    </w:p>
    <w:p w14:paraId="5BD3153D" w14:textId="6F7FF128" w:rsidR="004E1CD8" w:rsidRDefault="004E1CD8"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Figure 1.  Map of PM</w:t>
      </w:r>
      <w:r w:rsidR="003B4F02" w:rsidRPr="003B4F02">
        <w:rPr>
          <w:rFonts w:ascii="Times New Roman" w:hAnsi="Times New Roman" w:cs="Times New Roman"/>
          <w:b/>
          <w:sz w:val="24"/>
          <w:szCs w:val="24"/>
          <w:vertAlign w:val="subscript"/>
          <w:lang w:val="en-US"/>
        </w:rPr>
        <w:softHyphen/>
        <w:t>2.5</w:t>
      </w:r>
      <w:r>
        <w:rPr>
          <w:rFonts w:ascii="Times New Roman" w:hAnsi="Times New Roman" w:cs="Times New Roman"/>
          <w:b/>
          <w:sz w:val="24"/>
          <w:szCs w:val="24"/>
          <w:lang w:val="en-US"/>
        </w:rPr>
        <w:t xml:space="preserve"> </w:t>
      </w:r>
      <w:r w:rsidR="00F55CA6">
        <w:rPr>
          <w:rFonts w:ascii="Times New Roman" w:hAnsi="Times New Roman" w:cs="Times New Roman"/>
          <w:b/>
          <w:sz w:val="24"/>
          <w:szCs w:val="24"/>
          <w:lang w:val="en-US"/>
        </w:rPr>
        <w:t xml:space="preserve">total and </w:t>
      </w:r>
      <w:r>
        <w:rPr>
          <w:rFonts w:ascii="Times New Roman" w:hAnsi="Times New Roman" w:cs="Times New Roman"/>
          <w:b/>
          <w:sz w:val="24"/>
          <w:szCs w:val="24"/>
          <w:lang w:val="en-US"/>
        </w:rPr>
        <w:t>component monitors</w:t>
      </w:r>
      <w:r w:rsidR="00335BB2">
        <w:rPr>
          <w:rFonts w:ascii="Times New Roman" w:hAnsi="Times New Roman" w:cs="Times New Roman"/>
          <w:b/>
          <w:sz w:val="24"/>
          <w:szCs w:val="24"/>
          <w:lang w:val="en-US"/>
        </w:rPr>
        <w:t xml:space="preserve"> (for urban tracts with &lt; 100 </w:t>
      </w:r>
      <w:proofErr w:type="gramStart"/>
      <w:r w:rsidR="00335BB2">
        <w:rPr>
          <w:rFonts w:ascii="Times New Roman" w:hAnsi="Times New Roman" w:cs="Times New Roman"/>
          <w:b/>
          <w:sz w:val="24"/>
          <w:szCs w:val="24"/>
          <w:lang w:val="en-US"/>
        </w:rPr>
        <w:t xml:space="preserve">people </w:t>
      </w:r>
      <w:r>
        <w:rPr>
          <w:rFonts w:ascii="Times New Roman" w:hAnsi="Times New Roman" w:cs="Times New Roman"/>
          <w:b/>
          <w:sz w:val="24"/>
          <w:szCs w:val="24"/>
          <w:lang w:val="en-US"/>
        </w:rPr>
        <w:t>.</w:t>
      </w:r>
      <w:proofErr w:type="gramEnd"/>
    </w:p>
    <w:p w14:paraId="78523C3B" w14:textId="3074CD0E" w:rsidR="00196FE2" w:rsidRDefault="003B4F02" w:rsidP="00CE20FC">
      <w:pPr>
        <w:spacing w:line="240" w:lineRule="auto"/>
        <w:rPr>
          <w:rFonts w:ascii="Times New Roman" w:hAnsi="Times New Roman" w:cs="Times New Roman"/>
          <w:b/>
          <w:sz w:val="24"/>
          <w:szCs w:val="24"/>
          <w:lang w:val="en-US"/>
        </w:rPr>
      </w:pPr>
      <w:r>
        <w:rPr>
          <w:noProof/>
        </w:rPr>
        <w:drawing>
          <wp:inline distT="0" distB="0" distL="0" distR="0" wp14:anchorId="769452EB" wp14:editId="3C404986">
            <wp:extent cx="7971790" cy="5064390"/>
            <wp:effectExtent l="6032"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025309" cy="5098390"/>
                    </a:xfrm>
                    <a:prstGeom prst="rect">
                      <a:avLst/>
                    </a:prstGeom>
                  </pic:spPr>
                </pic:pic>
              </a:graphicData>
            </a:graphic>
          </wp:inline>
        </w:drawing>
      </w:r>
    </w:p>
    <w:p w14:paraId="37E77593" w14:textId="77777777" w:rsidR="007B313E" w:rsidRDefault="007B313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E4DDC3" w14:textId="5795557E" w:rsidR="001A2F55" w:rsidRDefault="001A2F55" w:rsidP="001A2F55">
      <w:pPr>
        <w:spacing w:line="240" w:lineRule="auto"/>
        <w:rPr>
          <w:rFonts w:ascii="Times New Roman" w:hAnsi="Times New Roman" w:cs="Times New Roman"/>
          <w:b/>
          <w:sz w:val="24"/>
          <w:szCs w:val="24"/>
          <w:lang w:val="en-US"/>
        </w:rPr>
      </w:pPr>
      <w:r w:rsidRPr="00424452">
        <w:rPr>
          <w:rFonts w:ascii="Times New Roman" w:hAnsi="Times New Roman" w:cs="Times New Roman"/>
          <w:b/>
          <w:sz w:val="24"/>
          <w:szCs w:val="24"/>
          <w:lang w:val="en-US"/>
        </w:rPr>
        <w:lastRenderedPageBreak/>
        <w:t xml:space="preserve">Figure </w:t>
      </w:r>
      <w:r>
        <w:rPr>
          <w:rFonts w:ascii="Times New Roman" w:hAnsi="Times New Roman" w:cs="Times New Roman"/>
          <w:b/>
          <w:sz w:val="24"/>
          <w:szCs w:val="24"/>
          <w:lang w:val="en-US"/>
        </w:rPr>
        <w:t>2</w:t>
      </w:r>
      <w:r w:rsidRPr="0042445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Percent of observations below the </w:t>
      </w:r>
      <w:r w:rsidR="00E91703">
        <w:rPr>
          <w:rFonts w:ascii="Times New Roman" w:hAnsi="Times New Roman" w:cs="Times New Roman"/>
          <w:b/>
          <w:sz w:val="24"/>
          <w:szCs w:val="24"/>
          <w:lang w:val="en-US"/>
        </w:rPr>
        <w:t xml:space="preserve">method </w:t>
      </w:r>
      <w:r>
        <w:rPr>
          <w:rFonts w:ascii="Times New Roman" w:hAnsi="Times New Roman" w:cs="Times New Roman"/>
          <w:b/>
          <w:sz w:val="24"/>
          <w:szCs w:val="24"/>
          <w:lang w:val="en-US"/>
        </w:rPr>
        <w:t xml:space="preserve">detection limit (MDL) by </w:t>
      </w:r>
      <w:r w:rsidR="00E91703">
        <w:rPr>
          <w:rFonts w:ascii="Times New Roman" w:hAnsi="Times New Roman" w:cs="Times New Roman"/>
          <w:b/>
          <w:sz w:val="24"/>
          <w:szCs w:val="24"/>
          <w:lang w:val="en-US"/>
        </w:rPr>
        <w:t>PM</w:t>
      </w:r>
      <w:r w:rsidR="00E91703" w:rsidRPr="00E91703">
        <w:rPr>
          <w:rFonts w:ascii="Times New Roman" w:hAnsi="Times New Roman" w:cs="Times New Roman"/>
          <w:b/>
          <w:sz w:val="24"/>
          <w:szCs w:val="24"/>
          <w:vertAlign w:val="subscript"/>
          <w:lang w:val="en-US"/>
        </w:rPr>
        <w:t>2.5</w:t>
      </w:r>
      <w:r w:rsidR="00E91703">
        <w:rPr>
          <w:rFonts w:ascii="Times New Roman" w:hAnsi="Times New Roman" w:cs="Times New Roman"/>
          <w:b/>
          <w:sz w:val="24"/>
          <w:szCs w:val="24"/>
          <w:lang w:val="en-US"/>
        </w:rPr>
        <w:t xml:space="preserve"> </w:t>
      </w:r>
      <w:r>
        <w:rPr>
          <w:rFonts w:ascii="Times New Roman" w:hAnsi="Times New Roman" w:cs="Times New Roman"/>
          <w:b/>
          <w:sz w:val="24"/>
          <w:szCs w:val="24"/>
          <w:lang w:val="en-US"/>
        </w:rPr>
        <w:t>component.</w:t>
      </w:r>
    </w:p>
    <w:p w14:paraId="421C4CEB" w14:textId="77777777" w:rsidR="001A2F55" w:rsidRDefault="001A2F55" w:rsidP="001A2F55">
      <w:pPr>
        <w:spacing w:line="240" w:lineRule="auto"/>
        <w:jc w:val="center"/>
        <w:rPr>
          <w:rFonts w:ascii="Times New Roman" w:hAnsi="Times New Roman" w:cs="Times New Roman"/>
          <w:b/>
          <w:sz w:val="24"/>
          <w:szCs w:val="24"/>
          <w:lang w:val="en-US"/>
        </w:rPr>
      </w:pPr>
      <w:r>
        <w:rPr>
          <w:noProof/>
        </w:rPr>
        <w:drawing>
          <wp:inline distT="0" distB="0" distL="0" distR="0" wp14:anchorId="52BFAD5C" wp14:editId="1E6A8208">
            <wp:extent cx="431482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3600450"/>
                    </a:xfrm>
                    <a:prstGeom prst="rect">
                      <a:avLst/>
                    </a:prstGeom>
                    <a:noFill/>
                    <a:ln>
                      <a:noFill/>
                    </a:ln>
                  </pic:spPr>
                </pic:pic>
              </a:graphicData>
            </a:graphic>
          </wp:inline>
        </w:drawing>
      </w:r>
    </w:p>
    <w:p w14:paraId="561FAAB6" w14:textId="77777777" w:rsidR="001A2F55" w:rsidRDefault="001A2F5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F326020" w14:textId="3D893D8D" w:rsidR="00196FE2" w:rsidRDefault="00196FE2"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Figure </w:t>
      </w:r>
      <w:r w:rsidR="001A2F55">
        <w:rPr>
          <w:rFonts w:ascii="Times New Roman" w:hAnsi="Times New Roman" w:cs="Times New Roman"/>
          <w:b/>
          <w:sz w:val="24"/>
          <w:szCs w:val="24"/>
          <w:lang w:val="en-US"/>
        </w:rPr>
        <w:t>3</w:t>
      </w:r>
      <w:r>
        <w:rPr>
          <w:rFonts w:ascii="Times New Roman" w:hAnsi="Times New Roman" w:cs="Times New Roman"/>
          <w:b/>
          <w:sz w:val="24"/>
          <w:szCs w:val="24"/>
          <w:lang w:val="en-US"/>
        </w:rPr>
        <w:t>.  Racial isolation index.</w:t>
      </w:r>
    </w:p>
    <w:p w14:paraId="61DB8B29" w14:textId="699947A6" w:rsidR="00EE31F7" w:rsidRDefault="00E04673" w:rsidP="00CE20FC">
      <w:pPr>
        <w:spacing w:line="240" w:lineRule="auto"/>
        <w:rPr>
          <w:rFonts w:ascii="Times New Roman" w:hAnsi="Times New Roman" w:cs="Times New Roman"/>
          <w:b/>
          <w:sz w:val="24"/>
          <w:szCs w:val="24"/>
          <w:lang w:val="en-US"/>
        </w:rPr>
      </w:pPr>
      <w:r>
        <w:rPr>
          <w:noProof/>
        </w:rPr>
        <w:drawing>
          <wp:inline distT="0" distB="0" distL="0" distR="0" wp14:anchorId="385EA67D" wp14:editId="36CA984B">
            <wp:extent cx="5631815" cy="23469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815" cy="2346960"/>
                    </a:xfrm>
                    <a:prstGeom prst="rect">
                      <a:avLst/>
                    </a:prstGeom>
                  </pic:spPr>
                </pic:pic>
              </a:graphicData>
            </a:graphic>
          </wp:inline>
        </w:drawing>
      </w:r>
    </w:p>
    <w:p w14:paraId="1D0C9D17" w14:textId="2B0E2481" w:rsidR="007B313E" w:rsidRDefault="007B313E" w:rsidP="00CE20FC">
      <w:pPr>
        <w:spacing w:line="240" w:lineRule="auto"/>
        <w:rPr>
          <w:rFonts w:ascii="Times New Roman" w:hAnsi="Times New Roman" w:cs="Times New Roman"/>
          <w:b/>
          <w:sz w:val="24"/>
          <w:szCs w:val="24"/>
          <w:lang w:val="en-US"/>
        </w:rPr>
      </w:pPr>
      <w:r w:rsidRPr="007B313E">
        <w:rPr>
          <w:rFonts w:ascii="Times New Roman" w:hAnsi="Times New Roman" w:cs="Times New Roman"/>
          <w:b/>
          <w:noProof/>
          <w:sz w:val="24"/>
          <w:szCs w:val="24"/>
        </w:rPr>
        <w:drawing>
          <wp:inline distT="0" distB="0" distL="0" distR="0" wp14:anchorId="459222E9" wp14:editId="5451DC9D">
            <wp:extent cx="5631815" cy="3386455"/>
            <wp:effectExtent l="0" t="0" r="6985" b="4445"/>
            <wp:docPr id="2" name="Picture 1">
              <a:extLst xmlns:a="http://schemas.openxmlformats.org/drawingml/2006/main">
                <a:ext uri="{FF2B5EF4-FFF2-40B4-BE49-F238E27FC236}">
                  <a16:creationId xmlns:a16="http://schemas.microsoft.com/office/drawing/2014/main" id="{EBD62641-68DF-4772-9F84-8BEAB99B6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BD62641-68DF-4772-9F84-8BEAB99B6EBC}"/>
                        </a:ext>
                      </a:extLst>
                    </pic:cNvPr>
                    <pic:cNvPicPr>
                      <a:picLocks noChangeAspect="1"/>
                    </pic:cNvPicPr>
                  </pic:nvPicPr>
                  <pic:blipFill>
                    <a:blip r:embed="rId12"/>
                    <a:stretch>
                      <a:fillRect/>
                    </a:stretch>
                  </pic:blipFill>
                  <pic:spPr>
                    <a:xfrm>
                      <a:off x="0" y="0"/>
                      <a:ext cx="5631815" cy="3386455"/>
                    </a:xfrm>
                    <a:prstGeom prst="rect">
                      <a:avLst/>
                    </a:prstGeom>
                  </pic:spPr>
                </pic:pic>
              </a:graphicData>
            </a:graphic>
          </wp:inline>
        </w:drawing>
      </w:r>
    </w:p>
    <w:p w14:paraId="589B39B6" w14:textId="5601D495" w:rsidR="00424452" w:rsidRDefault="00424452" w:rsidP="00CE20FC">
      <w:pPr>
        <w:spacing w:line="240" w:lineRule="auto"/>
        <w:rPr>
          <w:rFonts w:ascii="Times New Roman" w:hAnsi="Times New Roman" w:cs="Times New Roman"/>
          <w:b/>
          <w:sz w:val="24"/>
          <w:szCs w:val="24"/>
          <w:lang w:val="en-US"/>
        </w:rPr>
      </w:pPr>
    </w:p>
    <w:p w14:paraId="4FE062D9" w14:textId="77777777" w:rsidR="00D151B6" w:rsidRDefault="00D151B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3E9393C" w14:textId="5449A280" w:rsidR="00B31672" w:rsidRDefault="0042445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4.</w:t>
      </w:r>
      <w:r w:rsidR="00EE31F7">
        <w:rPr>
          <w:rFonts w:ascii="Times New Roman" w:hAnsi="Times New Roman" w:cs="Times New Roman"/>
          <w:b/>
          <w:sz w:val="24"/>
          <w:szCs w:val="24"/>
          <w:lang w:val="en-US"/>
        </w:rPr>
        <w:t xml:space="preserve">  </w:t>
      </w:r>
      <w:r w:rsidR="00EE31F7" w:rsidRPr="00EE31F7">
        <w:rPr>
          <w:rFonts w:ascii="Times New Roman" w:hAnsi="Times New Roman" w:cs="Times New Roman"/>
          <w:b/>
          <w:sz w:val="24"/>
          <w:szCs w:val="24"/>
          <w:lang w:val="en-US"/>
        </w:rPr>
        <w:t>Means and 95% confidence intervals for PM</w:t>
      </w:r>
      <w:r w:rsidR="00EE31F7" w:rsidRPr="00EE31F7">
        <w:rPr>
          <w:rFonts w:ascii="Times New Roman" w:hAnsi="Times New Roman" w:cs="Times New Roman"/>
          <w:b/>
          <w:sz w:val="24"/>
          <w:szCs w:val="24"/>
          <w:vertAlign w:val="subscript"/>
          <w:lang w:val="en-US"/>
        </w:rPr>
        <w:t>2.5</w:t>
      </w:r>
      <w:r w:rsidR="00EE31F7" w:rsidRPr="00EE31F7">
        <w:rPr>
          <w:rFonts w:ascii="Times New Roman" w:hAnsi="Times New Roman" w:cs="Times New Roman"/>
          <w:b/>
          <w:sz w:val="24"/>
          <w:szCs w:val="24"/>
          <w:lang w:val="en-US"/>
        </w:rPr>
        <w:t xml:space="preserve"> by quintile of racial isolation.</w:t>
      </w:r>
    </w:p>
    <w:p w14:paraId="27EBF72C" w14:textId="12C4FC3C" w:rsidR="00E81056" w:rsidRDefault="005F4D24">
      <w:pPr>
        <w:rPr>
          <w:rFonts w:ascii="Times New Roman" w:hAnsi="Times New Roman" w:cs="Times New Roman"/>
          <w:b/>
          <w:sz w:val="24"/>
          <w:szCs w:val="24"/>
          <w:lang w:val="en-US"/>
        </w:rPr>
      </w:pPr>
      <w:r>
        <w:rPr>
          <w:noProof/>
        </w:rPr>
        <w:drawing>
          <wp:inline distT="0" distB="0" distL="0" distR="0" wp14:anchorId="77442A07" wp14:editId="28EC7804">
            <wp:extent cx="5743575" cy="574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5743575"/>
                    </a:xfrm>
                    <a:prstGeom prst="rect">
                      <a:avLst/>
                    </a:prstGeom>
                    <a:noFill/>
                    <a:ln>
                      <a:noFill/>
                    </a:ln>
                  </pic:spPr>
                </pic:pic>
              </a:graphicData>
            </a:graphic>
          </wp:inline>
        </w:drawing>
      </w:r>
    </w:p>
    <w:p w14:paraId="66B29786" w14:textId="6B427ECF" w:rsidR="00424452" w:rsidRDefault="00424452">
      <w:pPr>
        <w:rPr>
          <w:rFonts w:ascii="Times New Roman" w:hAnsi="Times New Roman" w:cs="Times New Roman"/>
          <w:b/>
          <w:sz w:val="24"/>
          <w:szCs w:val="24"/>
          <w:lang w:val="en-US"/>
        </w:rPr>
      </w:pPr>
    </w:p>
    <w:p w14:paraId="528346A1" w14:textId="77777777" w:rsidR="00356744" w:rsidRDefault="0035674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57A372" w14:textId="7107C7A7" w:rsidR="004E1CD8" w:rsidRDefault="004E1CD8" w:rsidP="00CE20FC">
      <w:pPr>
        <w:spacing w:line="240" w:lineRule="auto"/>
        <w:rPr>
          <w:rFonts w:ascii="Times New Roman" w:hAnsi="Times New Roman" w:cs="Times New Roman"/>
          <w:b/>
          <w:sz w:val="24"/>
          <w:szCs w:val="24"/>
          <w:lang w:val="en-US"/>
        </w:rPr>
      </w:pPr>
      <w:commentRangeStart w:id="28"/>
      <w:r>
        <w:rPr>
          <w:rFonts w:ascii="Times New Roman" w:hAnsi="Times New Roman" w:cs="Times New Roman"/>
          <w:b/>
          <w:sz w:val="24"/>
          <w:szCs w:val="24"/>
          <w:lang w:val="en-US"/>
        </w:rPr>
        <w:lastRenderedPageBreak/>
        <w:t xml:space="preserve">Figure </w:t>
      </w:r>
      <w:r w:rsidR="00424452">
        <w:rPr>
          <w:rFonts w:ascii="Times New Roman" w:hAnsi="Times New Roman" w:cs="Times New Roman"/>
          <w:b/>
          <w:sz w:val="24"/>
          <w:szCs w:val="24"/>
          <w:lang w:val="en-US"/>
        </w:rPr>
        <w:t>5</w:t>
      </w:r>
      <w:r>
        <w:rPr>
          <w:rFonts w:ascii="Times New Roman" w:hAnsi="Times New Roman" w:cs="Times New Roman"/>
          <w:b/>
          <w:sz w:val="24"/>
          <w:szCs w:val="24"/>
          <w:lang w:val="en-US"/>
        </w:rPr>
        <w:t xml:space="preserve">.  </w:t>
      </w:r>
      <w:r w:rsidR="00E27960">
        <w:rPr>
          <w:rFonts w:ascii="Times New Roman" w:hAnsi="Times New Roman" w:cs="Times New Roman"/>
          <w:b/>
          <w:sz w:val="24"/>
          <w:szCs w:val="24"/>
          <w:lang w:val="en-US"/>
        </w:rPr>
        <w:t xml:space="preserve">Means and </w:t>
      </w:r>
      <w:r w:rsidR="006376A1">
        <w:rPr>
          <w:rFonts w:ascii="Times New Roman" w:hAnsi="Times New Roman" w:cs="Times New Roman"/>
          <w:b/>
          <w:sz w:val="24"/>
          <w:szCs w:val="24"/>
          <w:lang w:val="en-US"/>
        </w:rPr>
        <w:t>95% confidence intervals</w:t>
      </w:r>
      <w:r>
        <w:rPr>
          <w:rFonts w:ascii="Times New Roman" w:hAnsi="Times New Roman" w:cs="Times New Roman"/>
          <w:b/>
          <w:sz w:val="24"/>
          <w:szCs w:val="24"/>
          <w:lang w:val="en-US"/>
        </w:rPr>
        <w:t xml:space="preserve"> for PM</w:t>
      </w:r>
      <w:r w:rsidRPr="00EE31F7">
        <w:rPr>
          <w:rFonts w:ascii="Times New Roman" w:hAnsi="Times New Roman" w:cs="Times New Roman"/>
          <w:b/>
          <w:sz w:val="24"/>
          <w:szCs w:val="24"/>
          <w:vertAlign w:val="subscript"/>
          <w:lang w:val="en-US"/>
        </w:rPr>
        <w:t>2.5</w:t>
      </w:r>
      <w:r>
        <w:rPr>
          <w:rFonts w:ascii="Times New Roman" w:hAnsi="Times New Roman" w:cs="Times New Roman"/>
          <w:b/>
          <w:sz w:val="24"/>
          <w:szCs w:val="24"/>
          <w:lang w:val="en-US"/>
        </w:rPr>
        <w:t xml:space="preserve"> components</w:t>
      </w:r>
      <w:r w:rsidR="006376A1">
        <w:rPr>
          <w:rFonts w:ascii="Times New Roman" w:hAnsi="Times New Roman" w:cs="Times New Roman"/>
          <w:b/>
          <w:sz w:val="24"/>
          <w:szCs w:val="24"/>
          <w:lang w:val="en-US"/>
        </w:rPr>
        <w:t xml:space="preserve"> by quintile of racial isolation</w:t>
      </w:r>
      <w:r>
        <w:rPr>
          <w:rFonts w:ascii="Times New Roman" w:hAnsi="Times New Roman" w:cs="Times New Roman"/>
          <w:b/>
          <w:sz w:val="24"/>
          <w:szCs w:val="24"/>
          <w:lang w:val="en-US"/>
        </w:rPr>
        <w:t>.</w:t>
      </w:r>
      <w:commentRangeEnd w:id="28"/>
      <w:r w:rsidR="002671CD">
        <w:rPr>
          <w:rStyle w:val="CommentReference"/>
        </w:rPr>
        <w:commentReference w:id="28"/>
      </w:r>
    </w:p>
    <w:p w14:paraId="6639CB62" w14:textId="6DA6AFB3" w:rsidR="00885AD7" w:rsidRDefault="00314C15" w:rsidP="00CE20FC">
      <w:pPr>
        <w:spacing w:line="240" w:lineRule="auto"/>
        <w:rPr>
          <w:rFonts w:ascii="Times New Roman" w:hAnsi="Times New Roman" w:cs="Times New Roman"/>
          <w:b/>
          <w:sz w:val="24"/>
          <w:szCs w:val="24"/>
          <w:lang w:val="en-US"/>
        </w:rPr>
      </w:pPr>
      <w:r w:rsidRPr="00314C15">
        <w:rPr>
          <w:rFonts w:ascii="Times New Roman" w:hAnsi="Times New Roman" w:cs="Times New Roman"/>
          <w:b/>
          <w:noProof/>
          <w:sz w:val="24"/>
          <w:szCs w:val="24"/>
        </w:rPr>
        <w:drawing>
          <wp:inline distT="0" distB="0" distL="0" distR="0" wp14:anchorId="2EAF6A6D" wp14:editId="22BAEAF1">
            <wp:extent cx="247650" cy="1809750"/>
            <wp:effectExtent l="0" t="0" r="0" b="0"/>
            <wp:docPr id="13" name="Picture 12">
              <a:extLst xmlns:a="http://schemas.openxmlformats.org/drawingml/2006/main">
                <a:ext uri="{FF2B5EF4-FFF2-40B4-BE49-F238E27FC236}">
                  <a16:creationId xmlns:a16="http://schemas.microsoft.com/office/drawing/2014/main" id="{EC2AB38A-ADEA-4834-9B7D-6894E95176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C2AB38A-ADEA-4834-9B7D-6894E9517617}"/>
                        </a:ext>
                      </a:extLst>
                    </pic:cNvPr>
                    <pic:cNvPicPr>
                      <a:picLocks noChangeAspect="1"/>
                    </pic:cNvPicPr>
                  </pic:nvPicPr>
                  <pic:blipFill>
                    <a:blip r:embed="rId14"/>
                    <a:stretch>
                      <a:fillRect/>
                    </a:stretch>
                  </pic:blipFill>
                  <pic:spPr>
                    <a:xfrm>
                      <a:off x="0" y="0"/>
                      <a:ext cx="247650" cy="1809750"/>
                    </a:xfrm>
                    <a:prstGeom prst="rect">
                      <a:avLst/>
                    </a:prstGeom>
                  </pic:spPr>
                </pic:pic>
              </a:graphicData>
            </a:graphic>
          </wp:inline>
        </w:drawing>
      </w:r>
      <w:r w:rsidR="00885AD7">
        <w:rPr>
          <w:rFonts w:ascii="Times New Roman" w:hAnsi="Times New Roman" w:cs="Times New Roman"/>
          <w:b/>
          <w:noProof/>
          <w:sz w:val="24"/>
          <w:szCs w:val="24"/>
          <w:lang w:val="en-US"/>
        </w:rPr>
        <w:drawing>
          <wp:inline distT="0" distB="0" distL="0" distR="0" wp14:anchorId="7DB97467" wp14:editId="10E76C79">
            <wp:extent cx="546735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5629275"/>
                    </a:xfrm>
                    <a:prstGeom prst="rect">
                      <a:avLst/>
                    </a:prstGeom>
                    <a:noFill/>
                    <a:ln>
                      <a:noFill/>
                    </a:ln>
                  </pic:spPr>
                </pic:pic>
              </a:graphicData>
            </a:graphic>
          </wp:inline>
        </w:drawing>
      </w:r>
    </w:p>
    <w:p w14:paraId="175D8E28" w14:textId="1CCC71B8" w:rsidR="00314C15" w:rsidRDefault="00314C15" w:rsidP="00314C15">
      <w:pPr>
        <w:spacing w:line="240" w:lineRule="auto"/>
        <w:jc w:val="center"/>
        <w:rPr>
          <w:rFonts w:ascii="Times New Roman" w:hAnsi="Times New Roman" w:cs="Times New Roman"/>
          <w:b/>
          <w:sz w:val="24"/>
          <w:szCs w:val="24"/>
          <w:lang w:val="en-US"/>
        </w:rPr>
      </w:pPr>
      <w:r w:rsidRPr="00314C15">
        <w:rPr>
          <w:rFonts w:ascii="Times New Roman" w:hAnsi="Times New Roman" w:cs="Times New Roman"/>
          <w:b/>
          <w:noProof/>
          <w:sz w:val="24"/>
          <w:szCs w:val="24"/>
        </w:rPr>
        <w:drawing>
          <wp:inline distT="0" distB="0" distL="0" distR="0" wp14:anchorId="6A335F28" wp14:editId="27E9FE07">
            <wp:extent cx="1396481" cy="227965"/>
            <wp:effectExtent l="0" t="0" r="0" b="635"/>
            <wp:docPr id="11" name="Picture 10">
              <a:extLst xmlns:a="http://schemas.openxmlformats.org/drawingml/2006/main">
                <a:ext uri="{FF2B5EF4-FFF2-40B4-BE49-F238E27FC236}">
                  <a16:creationId xmlns:a16="http://schemas.microsoft.com/office/drawing/2014/main" id="{762E14FE-8DB0-4423-9F18-5C23AF903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62E14FE-8DB0-4423-9F18-5C23AF903FE2}"/>
                        </a:ext>
                      </a:extLst>
                    </pic:cNvPr>
                    <pic:cNvPicPr>
                      <a:picLocks noChangeAspect="1"/>
                    </pic:cNvPicPr>
                  </pic:nvPicPr>
                  <pic:blipFill>
                    <a:blip r:embed="rId16"/>
                    <a:stretch>
                      <a:fillRect/>
                    </a:stretch>
                  </pic:blipFill>
                  <pic:spPr>
                    <a:xfrm>
                      <a:off x="0" y="0"/>
                      <a:ext cx="1728830" cy="282218"/>
                    </a:xfrm>
                    <a:prstGeom prst="rect">
                      <a:avLst/>
                    </a:prstGeom>
                  </pic:spPr>
                </pic:pic>
              </a:graphicData>
            </a:graphic>
          </wp:inline>
        </w:drawing>
      </w:r>
    </w:p>
    <w:p w14:paraId="5086D37D" w14:textId="5F6C52E0" w:rsidR="00211805" w:rsidRDefault="00211805" w:rsidP="00CE20FC">
      <w:pPr>
        <w:spacing w:line="240" w:lineRule="auto"/>
        <w:rPr>
          <w:rFonts w:ascii="Times New Roman" w:hAnsi="Times New Roman" w:cs="Times New Roman"/>
          <w:b/>
          <w:sz w:val="24"/>
          <w:szCs w:val="24"/>
          <w:lang w:val="en-US"/>
        </w:rPr>
      </w:pPr>
    </w:p>
    <w:p w14:paraId="3A2E3335" w14:textId="77777777" w:rsidR="004E1CD8" w:rsidRDefault="004E1CD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C6349CE" w14:textId="2FED359A" w:rsidR="00935AFE" w:rsidRDefault="00B850A6" w:rsidP="00CE20FC">
      <w:pPr>
        <w:spacing w:line="240" w:lineRule="auto"/>
        <w:rPr>
          <w:rFonts w:ascii="Times New Roman" w:hAnsi="Times New Roman" w:cs="Times New Roman"/>
          <w:b/>
          <w:sz w:val="24"/>
          <w:szCs w:val="24"/>
          <w:lang w:val="en-US"/>
        </w:rPr>
      </w:pPr>
      <w:r w:rsidRPr="00B850A6">
        <w:rPr>
          <w:rFonts w:ascii="Times New Roman" w:hAnsi="Times New Roman" w:cs="Times New Roman"/>
          <w:b/>
          <w:sz w:val="24"/>
          <w:szCs w:val="24"/>
          <w:lang w:val="en-US"/>
        </w:rPr>
        <w:lastRenderedPageBreak/>
        <w:t>Appendices</w:t>
      </w:r>
    </w:p>
    <w:p w14:paraId="3B40994E" w14:textId="24F796B7" w:rsidR="009A745D" w:rsidRDefault="00555A70"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A1.  </w:t>
      </w:r>
      <w:r w:rsidR="009A745D">
        <w:rPr>
          <w:rFonts w:ascii="Times New Roman" w:hAnsi="Times New Roman" w:cs="Times New Roman"/>
          <w:b/>
          <w:sz w:val="24"/>
          <w:szCs w:val="24"/>
          <w:lang w:val="en-US"/>
        </w:rPr>
        <w:t xml:space="preserve">Primary </w:t>
      </w:r>
      <w:r>
        <w:rPr>
          <w:rFonts w:ascii="Times New Roman" w:hAnsi="Times New Roman" w:cs="Times New Roman"/>
          <w:b/>
          <w:sz w:val="24"/>
          <w:szCs w:val="24"/>
          <w:lang w:val="en-US"/>
        </w:rPr>
        <w:t xml:space="preserve">and secondary </w:t>
      </w:r>
      <w:r w:rsidR="009A745D">
        <w:rPr>
          <w:rFonts w:ascii="Times New Roman" w:hAnsi="Times New Roman" w:cs="Times New Roman"/>
          <w:b/>
          <w:sz w:val="24"/>
          <w:szCs w:val="24"/>
          <w:lang w:val="en-US"/>
        </w:rPr>
        <w:t>RUCA codes</w:t>
      </w:r>
      <w:r w:rsidR="00CE20FC">
        <w:rPr>
          <w:rFonts w:ascii="Times New Roman" w:hAnsi="Times New Roman" w:cs="Times New Roman"/>
          <w:b/>
          <w:sz w:val="24"/>
          <w:szCs w:val="24"/>
          <w:lang w:val="en-US"/>
        </w:rPr>
        <w:t>, 2010</w:t>
      </w:r>
      <w:r w:rsidR="00335BB2">
        <w:rPr>
          <w:rFonts w:ascii="Times New Roman" w:hAnsi="Times New Roman" w:cs="Times New Roman"/>
          <w:b/>
          <w:sz w:val="24"/>
          <w:szCs w:val="24"/>
          <w:lang w:val="en-US"/>
        </w:rPr>
        <w:t>.  Tracts were considered urban if they had a primary code of 1, 2, or 3 or a secondary code of 1.</w:t>
      </w:r>
    </w:p>
    <w:tbl>
      <w:tblPr>
        <w:tblStyle w:val="TableGrid"/>
        <w:tblW w:w="10620" w:type="dxa"/>
        <w:tblInd w:w="-995" w:type="dxa"/>
        <w:tblLook w:val="04A0" w:firstRow="1" w:lastRow="0" w:firstColumn="1" w:lastColumn="0" w:noHBand="0" w:noVBand="1"/>
      </w:tblPr>
      <w:tblGrid>
        <w:gridCol w:w="1011"/>
        <w:gridCol w:w="1239"/>
        <w:gridCol w:w="8370"/>
      </w:tblGrid>
      <w:tr w:rsidR="001F0AE1" w14:paraId="5B994D6D" w14:textId="77777777" w:rsidTr="00D62A71">
        <w:tc>
          <w:tcPr>
            <w:tcW w:w="1011" w:type="dxa"/>
          </w:tcPr>
          <w:p w14:paraId="3427B8DD" w14:textId="0DA45C48" w:rsidR="00CF4305" w:rsidRPr="00D62A71" w:rsidRDefault="00555A70" w:rsidP="00A9294C">
            <w:pPr>
              <w:rPr>
                <w:rFonts w:ascii="Times New Roman" w:hAnsi="Times New Roman" w:cs="Times New Roman"/>
                <w:b/>
              </w:rPr>
            </w:pPr>
            <w:r w:rsidRPr="00D62A71">
              <w:rPr>
                <w:rFonts w:ascii="Times New Roman" w:hAnsi="Times New Roman" w:cs="Times New Roman"/>
                <w:b/>
              </w:rPr>
              <w:t>Primary c</w:t>
            </w:r>
            <w:r w:rsidR="00CF4305" w:rsidRPr="00D62A71">
              <w:rPr>
                <w:rFonts w:ascii="Times New Roman" w:hAnsi="Times New Roman" w:cs="Times New Roman"/>
                <w:b/>
              </w:rPr>
              <w:t>ode</w:t>
            </w:r>
          </w:p>
        </w:tc>
        <w:tc>
          <w:tcPr>
            <w:tcW w:w="1239" w:type="dxa"/>
          </w:tcPr>
          <w:p w14:paraId="564ACC27" w14:textId="681F692E" w:rsidR="00CF4305" w:rsidRPr="00D62A71" w:rsidRDefault="00555A70" w:rsidP="00A9294C">
            <w:pPr>
              <w:rPr>
                <w:rFonts w:ascii="Times New Roman" w:hAnsi="Times New Roman" w:cs="Times New Roman"/>
                <w:b/>
              </w:rPr>
            </w:pPr>
            <w:r w:rsidRPr="00D62A71">
              <w:rPr>
                <w:rFonts w:ascii="Times New Roman" w:hAnsi="Times New Roman" w:cs="Times New Roman"/>
                <w:b/>
              </w:rPr>
              <w:t>Secondary code</w:t>
            </w:r>
          </w:p>
        </w:tc>
        <w:tc>
          <w:tcPr>
            <w:tcW w:w="8370" w:type="dxa"/>
          </w:tcPr>
          <w:p w14:paraId="72EBD00C" w14:textId="581FC80F" w:rsidR="00CF4305" w:rsidRPr="00D62A71" w:rsidRDefault="00CF4305" w:rsidP="00A9294C">
            <w:pPr>
              <w:rPr>
                <w:rFonts w:ascii="Times New Roman" w:hAnsi="Times New Roman" w:cs="Times New Roman"/>
                <w:b/>
                <w:lang w:val="en-US"/>
              </w:rPr>
            </w:pPr>
            <w:r w:rsidRPr="00D62A71">
              <w:rPr>
                <w:rFonts w:ascii="Times New Roman" w:hAnsi="Times New Roman" w:cs="Times New Roman"/>
                <w:b/>
              </w:rPr>
              <w:t>Classification description</w:t>
            </w:r>
          </w:p>
        </w:tc>
      </w:tr>
      <w:tr w:rsidR="00D62A71" w:rsidRPr="00E91703" w14:paraId="4F3BAB58" w14:textId="77777777" w:rsidTr="00D62A71">
        <w:tc>
          <w:tcPr>
            <w:tcW w:w="2250" w:type="dxa"/>
            <w:gridSpan w:val="2"/>
          </w:tcPr>
          <w:p w14:paraId="6551EC1F" w14:textId="1A3FF3CB" w:rsidR="00D62A71" w:rsidRPr="00555A70" w:rsidRDefault="00D62A71" w:rsidP="00A9294C">
            <w:pPr>
              <w:rPr>
                <w:rFonts w:ascii="Times New Roman" w:hAnsi="Times New Roman" w:cs="Times New Roman"/>
                <w:lang w:val="en-US"/>
              </w:rPr>
            </w:pPr>
            <w:r w:rsidRPr="00555A70">
              <w:rPr>
                <w:rFonts w:ascii="Times New Roman" w:hAnsi="Times New Roman" w:cs="Times New Roman"/>
              </w:rPr>
              <w:t>1</w:t>
            </w:r>
          </w:p>
        </w:tc>
        <w:tc>
          <w:tcPr>
            <w:tcW w:w="8370" w:type="dxa"/>
          </w:tcPr>
          <w:p w14:paraId="5677DBE4" w14:textId="0E86D2CE"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core: primary flow within an urbanized area (UA)</w:t>
            </w:r>
          </w:p>
        </w:tc>
      </w:tr>
      <w:tr w:rsidR="001F0AE1" w14:paraId="18DC6FAB" w14:textId="77777777" w:rsidTr="00D62A71">
        <w:tc>
          <w:tcPr>
            <w:tcW w:w="1011" w:type="dxa"/>
          </w:tcPr>
          <w:p w14:paraId="4E93CF06" w14:textId="77777777" w:rsidR="00555A70" w:rsidRPr="00555A70" w:rsidRDefault="00555A70" w:rsidP="00555A70">
            <w:pPr>
              <w:rPr>
                <w:rFonts w:ascii="Times New Roman" w:hAnsi="Times New Roman" w:cs="Times New Roman"/>
                <w:lang w:val="en-US"/>
              </w:rPr>
            </w:pPr>
          </w:p>
        </w:tc>
        <w:tc>
          <w:tcPr>
            <w:tcW w:w="1239" w:type="dxa"/>
          </w:tcPr>
          <w:p w14:paraId="177A0022" w14:textId="5C80B264"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w:t>
            </w:r>
          </w:p>
        </w:tc>
        <w:tc>
          <w:tcPr>
            <w:tcW w:w="8370" w:type="dxa"/>
            <w:vAlign w:val="center"/>
          </w:tcPr>
          <w:p w14:paraId="3E63E1DB" w14:textId="500AA094"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1F0AE1" w:rsidRPr="00E91703" w14:paraId="622F9D2F" w14:textId="77777777" w:rsidTr="00D62A71">
        <w:tc>
          <w:tcPr>
            <w:tcW w:w="1011" w:type="dxa"/>
          </w:tcPr>
          <w:p w14:paraId="6CF82EC3" w14:textId="77777777" w:rsidR="00555A70" w:rsidRPr="00555A70" w:rsidRDefault="00555A70" w:rsidP="00555A70">
            <w:pPr>
              <w:rPr>
                <w:rFonts w:ascii="Times New Roman" w:hAnsi="Times New Roman" w:cs="Times New Roman"/>
              </w:rPr>
            </w:pPr>
          </w:p>
        </w:tc>
        <w:tc>
          <w:tcPr>
            <w:tcW w:w="1239" w:type="dxa"/>
          </w:tcPr>
          <w:p w14:paraId="0826DD5D" w14:textId="32936696"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1.1</w:t>
            </w:r>
          </w:p>
        </w:tc>
        <w:tc>
          <w:tcPr>
            <w:tcW w:w="8370" w:type="dxa"/>
            <w:vAlign w:val="center"/>
          </w:tcPr>
          <w:p w14:paraId="5606E943" w14:textId="42BF3E62"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larger UA</w:t>
            </w:r>
          </w:p>
        </w:tc>
      </w:tr>
      <w:tr w:rsidR="00D62A71" w:rsidRPr="00E91703" w14:paraId="39D8B604" w14:textId="77777777" w:rsidTr="00D62A71">
        <w:tc>
          <w:tcPr>
            <w:tcW w:w="2250" w:type="dxa"/>
            <w:gridSpan w:val="2"/>
          </w:tcPr>
          <w:p w14:paraId="267ADE9E" w14:textId="31BD0CF4" w:rsidR="00D62A71" w:rsidRPr="00555A70" w:rsidRDefault="00D62A71" w:rsidP="00A9294C">
            <w:pPr>
              <w:rPr>
                <w:rFonts w:ascii="Times New Roman" w:hAnsi="Times New Roman" w:cs="Times New Roman"/>
                <w:lang w:val="en-US"/>
              </w:rPr>
            </w:pPr>
            <w:r w:rsidRPr="00555A70">
              <w:rPr>
                <w:rFonts w:ascii="Times New Roman" w:hAnsi="Times New Roman" w:cs="Times New Roman"/>
              </w:rPr>
              <w:t>2</w:t>
            </w:r>
          </w:p>
        </w:tc>
        <w:tc>
          <w:tcPr>
            <w:tcW w:w="8370" w:type="dxa"/>
          </w:tcPr>
          <w:p w14:paraId="2A207296" w14:textId="12DC3F73"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high commuting: primary flow 30% or more to a UA</w:t>
            </w:r>
          </w:p>
        </w:tc>
      </w:tr>
      <w:tr w:rsidR="00D62A71" w14:paraId="6A8E48B0" w14:textId="77777777" w:rsidTr="00D62A71">
        <w:tc>
          <w:tcPr>
            <w:tcW w:w="1011" w:type="dxa"/>
          </w:tcPr>
          <w:p w14:paraId="5066A84F" w14:textId="77777777" w:rsidR="00555A70" w:rsidRPr="00555A70" w:rsidRDefault="00555A70" w:rsidP="00555A70">
            <w:pPr>
              <w:rPr>
                <w:rFonts w:ascii="Times New Roman" w:hAnsi="Times New Roman" w:cs="Times New Roman"/>
                <w:lang w:val="en-US"/>
              </w:rPr>
            </w:pPr>
          </w:p>
        </w:tc>
        <w:tc>
          <w:tcPr>
            <w:tcW w:w="1239" w:type="dxa"/>
          </w:tcPr>
          <w:p w14:paraId="0D53CC19" w14:textId="557ABF66"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2.0</w:t>
            </w:r>
          </w:p>
        </w:tc>
        <w:tc>
          <w:tcPr>
            <w:tcW w:w="8370" w:type="dxa"/>
            <w:vAlign w:val="center"/>
          </w:tcPr>
          <w:p w14:paraId="62C9960C" w14:textId="3C3AC546"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E91703" w14:paraId="60A3ABEC" w14:textId="77777777" w:rsidTr="00D62A71">
        <w:tc>
          <w:tcPr>
            <w:tcW w:w="1011" w:type="dxa"/>
          </w:tcPr>
          <w:p w14:paraId="52CA1609" w14:textId="77777777" w:rsidR="00555A70" w:rsidRPr="00555A70" w:rsidRDefault="00555A70" w:rsidP="00555A70">
            <w:pPr>
              <w:rPr>
                <w:rFonts w:ascii="Times New Roman" w:hAnsi="Times New Roman" w:cs="Times New Roman"/>
              </w:rPr>
            </w:pPr>
          </w:p>
        </w:tc>
        <w:tc>
          <w:tcPr>
            <w:tcW w:w="1239" w:type="dxa"/>
          </w:tcPr>
          <w:p w14:paraId="2DBC33CF" w14:textId="3100FD8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2.1</w:t>
            </w:r>
          </w:p>
        </w:tc>
        <w:tc>
          <w:tcPr>
            <w:tcW w:w="8370" w:type="dxa"/>
            <w:vAlign w:val="center"/>
          </w:tcPr>
          <w:p w14:paraId="281C4C31" w14:textId="35AEE5B9"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larger UA</w:t>
            </w:r>
          </w:p>
        </w:tc>
      </w:tr>
      <w:tr w:rsidR="00D62A71" w:rsidRPr="00E91703" w14:paraId="3A1394C1" w14:textId="77777777" w:rsidTr="00D62A71">
        <w:tc>
          <w:tcPr>
            <w:tcW w:w="2250" w:type="dxa"/>
            <w:gridSpan w:val="2"/>
          </w:tcPr>
          <w:p w14:paraId="705EDEDE" w14:textId="18010F33" w:rsidR="00D62A71" w:rsidRPr="00555A70" w:rsidRDefault="00D62A71" w:rsidP="00A9294C">
            <w:pPr>
              <w:rPr>
                <w:rFonts w:ascii="Times New Roman" w:hAnsi="Times New Roman" w:cs="Times New Roman"/>
                <w:lang w:val="en-US"/>
              </w:rPr>
            </w:pPr>
            <w:r w:rsidRPr="00555A70">
              <w:rPr>
                <w:rFonts w:ascii="Times New Roman" w:hAnsi="Times New Roman" w:cs="Times New Roman"/>
              </w:rPr>
              <w:t>3</w:t>
            </w:r>
          </w:p>
        </w:tc>
        <w:tc>
          <w:tcPr>
            <w:tcW w:w="8370" w:type="dxa"/>
          </w:tcPr>
          <w:p w14:paraId="1F69D4C0" w14:textId="52BB23F2"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low commuting: primary flow 10% to 30% to a UA</w:t>
            </w:r>
          </w:p>
        </w:tc>
      </w:tr>
      <w:tr w:rsidR="00D62A71" w14:paraId="70182EE9" w14:textId="77777777" w:rsidTr="00D62A71">
        <w:tc>
          <w:tcPr>
            <w:tcW w:w="1011" w:type="dxa"/>
          </w:tcPr>
          <w:p w14:paraId="2D91B09F" w14:textId="77777777" w:rsidR="00555A70" w:rsidRPr="00555A70" w:rsidRDefault="00555A70" w:rsidP="00A9294C">
            <w:pPr>
              <w:rPr>
                <w:rFonts w:ascii="Times New Roman" w:hAnsi="Times New Roman" w:cs="Times New Roman"/>
                <w:lang w:val="en-US"/>
              </w:rPr>
            </w:pPr>
          </w:p>
        </w:tc>
        <w:tc>
          <w:tcPr>
            <w:tcW w:w="1239" w:type="dxa"/>
          </w:tcPr>
          <w:p w14:paraId="4931821A" w14:textId="71784A70"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3.0</w:t>
            </w:r>
          </w:p>
        </w:tc>
        <w:tc>
          <w:tcPr>
            <w:tcW w:w="8370" w:type="dxa"/>
          </w:tcPr>
          <w:p w14:paraId="0B58FE15" w14:textId="237F656D"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E91703" w14:paraId="2CCC5D67" w14:textId="77777777" w:rsidTr="00D62A71">
        <w:tc>
          <w:tcPr>
            <w:tcW w:w="2250" w:type="dxa"/>
            <w:gridSpan w:val="2"/>
          </w:tcPr>
          <w:p w14:paraId="3B7CECB9" w14:textId="518E3DCF" w:rsidR="00D62A71" w:rsidRPr="00555A70" w:rsidRDefault="00D62A71" w:rsidP="00A9294C">
            <w:pPr>
              <w:rPr>
                <w:rFonts w:ascii="Times New Roman" w:hAnsi="Times New Roman" w:cs="Times New Roman"/>
                <w:lang w:val="en-US"/>
              </w:rPr>
            </w:pPr>
            <w:r w:rsidRPr="00555A70">
              <w:rPr>
                <w:rFonts w:ascii="Times New Roman" w:hAnsi="Times New Roman" w:cs="Times New Roman"/>
              </w:rPr>
              <w:t>4</w:t>
            </w:r>
          </w:p>
        </w:tc>
        <w:tc>
          <w:tcPr>
            <w:tcW w:w="8370" w:type="dxa"/>
          </w:tcPr>
          <w:p w14:paraId="25399315" w14:textId="0298D055"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Micropolitan area core: primary flow within an urban cluster of 10,000 to 49,999 (large UC)</w:t>
            </w:r>
          </w:p>
        </w:tc>
      </w:tr>
      <w:tr w:rsidR="00D62A71" w14:paraId="0AF6B0D3" w14:textId="77777777" w:rsidTr="00D62A71">
        <w:tc>
          <w:tcPr>
            <w:tcW w:w="1011" w:type="dxa"/>
          </w:tcPr>
          <w:p w14:paraId="36445D5C" w14:textId="77777777" w:rsidR="00555A70" w:rsidRPr="00555A70" w:rsidRDefault="00555A70" w:rsidP="00A9294C">
            <w:pPr>
              <w:rPr>
                <w:rFonts w:ascii="Times New Roman" w:hAnsi="Times New Roman" w:cs="Times New Roman"/>
                <w:lang w:val="en-US"/>
              </w:rPr>
            </w:pPr>
          </w:p>
        </w:tc>
        <w:tc>
          <w:tcPr>
            <w:tcW w:w="1239" w:type="dxa"/>
          </w:tcPr>
          <w:p w14:paraId="77BE745A" w14:textId="2EB5BA93"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3.0</w:t>
            </w:r>
          </w:p>
        </w:tc>
        <w:tc>
          <w:tcPr>
            <w:tcW w:w="8370" w:type="dxa"/>
          </w:tcPr>
          <w:p w14:paraId="60828A0B" w14:textId="630B06DA"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E91703" w14:paraId="315B9695" w14:textId="77777777" w:rsidTr="00D62A71">
        <w:tc>
          <w:tcPr>
            <w:tcW w:w="1011" w:type="dxa"/>
          </w:tcPr>
          <w:p w14:paraId="3233CA36" w14:textId="77777777" w:rsidR="00555A70" w:rsidRPr="00555A70" w:rsidRDefault="00555A70" w:rsidP="00555A70">
            <w:pPr>
              <w:rPr>
                <w:rFonts w:ascii="Times New Roman" w:hAnsi="Times New Roman" w:cs="Times New Roman"/>
              </w:rPr>
            </w:pPr>
          </w:p>
        </w:tc>
        <w:tc>
          <w:tcPr>
            <w:tcW w:w="1239" w:type="dxa"/>
          </w:tcPr>
          <w:p w14:paraId="07E1356A" w14:textId="7AE7C559"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3.1</w:t>
            </w:r>
          </w:p>
        </w:tc>
        <w:tc>
          <w:tcPr>
            <w:tcW w:w="8370" w:type="dxa"/>
            <w:vAlign w:val="center"/>
          </w:tcPr>
          <w:p w14:paraId="65CAD509" w14:textId="2623D0D5"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E91703" w14:paraId="6C0F1368" w14:textId="77777777" w:rsidTr="00D62A71">
        <w:tc>
          <w:tcPr>
            <w:tcW w:w="2250" w:type="dxa"/>
            <w:gridSpan w:val="2"/>
          </w:tcPr>
          <w:p w14:paraId="0311BAFA" w14:textId="4DB363FA" w:rsidR="00D62A71" w:rsidRPr="00555A70" w:rsidRDefault="00D62A71" w:rsidP="00555A70">
            <w:pPr>
              <w:rPr>
                <w:rFonts w:ascii="Times New Roman" w:hAnsi="Times New Roman" w:cs="Times New Roman"/>
                <w:lang w:val="en-US"/>
              </w:rPr>
            </w:pPr>
            <w:r w:rsidRPr="00555A70">
              <w:rPr>
                <w:rFonts w:ascii="Times New Roman" w:hAnsi="Times New Roman" w:cs="Times New Roman"/>
              </w:rPr>
              <w:t>5</w:t>
            </w:r>
          </w:p>
        </w:tc>
        <w:tc>
          <w:tcPr>
            <w:tcW w:w="8370" w:type="dxa"/>
          </w:tcPr>
          <w:p w14:paraId="16378C53" w14:textId="4292569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Micropolitan high commuting: primary flow 30% or more to a large UC</w:t>
            </w:r>
          </w:p>
        </w:tc>
      </w:tr>
      <w:tr w:rsidR="00D62A71" w14:paraId="63799271" w14:textId="77777777" w:rsidTr="00D62A71">
        <w:tc>
          <w:tcPr>
            <w:tcW w:w="1011" w:type="dxa"/>
          </w:tcPr>
          <w:p w14:paraId="50EB40CF" w14:textId="77777777" w:rsidR="00555A70" w:rsidRPr="00555A70" w:rsidRDefault="00555A70" w:rsidP="00555A70">
            <w:pPr>
              <w:rPr>
                <w:rFonts w:ascii="Times New Roman" w:hAnsi="Times New Roman" w:cs="Times New Roman"/>
                <w:lang w:val="en-US"/>
              </w:rPr>
            </w:pPr>
          </w:p>
        </w:tc>
        <w:tc>
          <w:tcPr>
            <w:tcW w:w="1239" w:type="dxa"/>
          </w:tcPr>
          <w:p w14:paraId="6C2222B5" w14:textId="3E1B517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5.0</w:t>
            </w:r>
          </w:p>
        </w:tc>
        <w:tc>
          <w:tcPr>
            <w:tcW w:w="8370" w:type="dxa"/>
          </w:tcPr>
          <w:p w14:paraId="749A6DF7" w14:textId="3DB5EA4C"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E91703" w14:paraId="3759FCEF" w14:textId="77777777" w:rsidTr="00D62A71">
        <w:tc>
          <w:tcPr>
            <w:tcW w:w="1011" w:type="dxa"/>
          </w:tcPr>
          <w:p w14:paraId="25781F5D" w14:textId="77777777" w:rsidR="00555A70" w:rsidRPr="00555A70" w:rsidRDefault="00555A70" w:rsidP="00555A70">
            <w:pPr>
              <w:rPr>
                <w:rFonts w:ascii="Times New Roman" w:hAnsi="Times New Roman" w:cs="Times New Roman"/>
              </w:rPr>
            </w:pPr>
          </w:p>
        </w:tc>
        <w:tc>
          <w:tcPr>
            <w:tcW w:w="1239" w:type="dxa"/>
          </w:tcPr>
          <w:p w14:paraId="0C5802BD" w14:textId="11FD30BB"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5.1</w:t>
            </w:r>
          </w:p>
        </w:tc>
        <w:tc>
          <w:tcPr>
            <w:tcW w:w="8370" w:type="dxa"/>
            <w:vAlign w:val="center"/>
          </w:tcPr>
          <w:p w14:paraId="276DB8DF" w14:textId="170D6AFC"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E91703" w14:paraId="4E997704" w14:textId="77777777" w:rsidTr="00D62A71">
        <w:tc>
          <w:tcPr>
            <w:tcW w:w="2250" w:type="dxa"/>
            <w:gridSpan w:val="2"/>
          </w:tcPr>
          <w:p w14:paraId="333AC7C0" w14:textId="2C420CA3" w:rsidR="00D62A71" w:rsidRPr="00555A70" w:rsidRDefault="00D62A71" w:rsidP="00555A70">
            <w:pPr>
              <w:rPr>
                <w:rFonts w:ascii="Times New Roman" w:hAnsi="Times New Roman" w:cs="Times New Roman"/>
                <w:lang w:val="en-US"/>
              </w:rPr>
            </w:pPr>
            <w:r w:rsidRPr="00555A70">
              <w:rPr>
                <w:rFonts w:ascii="Times New Roman" w:hAnsi="Times New Roman" w:cs="Times New Roman"/>
              </w:rPr>
              <w:t>6</w:t>
            </w:r>
          </w:p>
        </w:tc>
        <w:tc>
          <w:tcPr>
            <w:tcW w:w="8370" w:type="dxa"/>
          </w:tcPr>
          <w:p w14:paraId="57115291" w14:textId="5A3EB88C"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Micropolitan low commuting: primary flow 10% to 30% to a large UC</w:t>
            </w:r>
          </w:p>
        </w:tc>
      </w:tr>
      <w:tr w:rsidR="00D62A71" w14:paraId="2226270D" w14:textId="77777777" w:rsidTr="00D62A71">
        <w:tc>
          <w:tcPr>
            <w:tcW w:w="1011" w:type="dxa"/>
          </w:tcPr>
          <w:p w14:paraId="031B2F7C" w14:textId="77777777" w:rsidR="00555A70" w:rsidRPr="00555A70" w:rsidRDefault="00555A70" w:rsidP="00555A70">
            <w:pPr>
              <w:rPr>
                <w:rFonts w:ascii="Times New Roman" w:hAnsi="Times New Roman" w:cs="Times New Roman"/>
                <w:lang w:val="en-US"/>
              </w:rPr>
            </w:pPr>
          </w:p>
        </w:tc>
        <w:tc>
          <w:tcPr>
            <w:tcW w:w="1239" w:type="dxa"/>
          </w:tcPr>
          <w:p w14:paraId="44F96CAE" w14:textId="458DC75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6.0</w:t>
            </w:r>
          </w:p>
        </w:tc>
        <w:tc>
          <w:tcPr>
            <w:tcW w:w="8370" w:type="dxa"/>
          </w:tcPr>
          <w:p w14:paraId="2FCB37BD" w14:textId="031CB5FD"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E91703" w14:paraId="7E49A67B" w14:textId="77777777" w:rsidTr="00D62A71">
        <w:tc>
          <w:tcPr>
            <w:tcW w:w="2250" w:type="dxa"/>
            <w:gridSpan w:val="2"/>
          </w:tcPr>
          <w:p w14:paraId="3DB1173E" w14:textId="6B50EE75" w:rsidR="00D62A71" w:rsidRPr="00555A70" w:rsidRDefault="00D62A71" w:rsidP="00555A70">
            <w:pPr>
              <w:rPr>
                <w:rFonts w:ascii="Times New Roman" w:hAnsi="Times New Roman" w:cs="Times New Roman"/>
                <w:lang w:val="en-US"/>
              </w:rPr>
            </w:pPr>
            <w:r w:rsidRPr="00555A70">
              <w:rPr>
                <w:rFonts w:ascii="Times New Roman" w:hAnsi="Times New Roman" w:cs="Times New Roman"/>
              </w:rPr>
              <w:t>7</w:t>
            </w:r>
          </w:p>
        </w:tc>
        <w:tc>
          <w:tcPr>
            <w:tcW w:w="8370" w:type="dxa"/>
          </w:tcPr>
          <w:p w14:paraId="3B7478C3" w14:textId="710DE903"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core: primary flow within an urban cluster of 2,500 to 9,999 (small UC)</w:t>
            </w:r>
          </w:p>
        </w:tc>
      </w:tr>
      <w:tr w:rsidR="00D62A71" w14:paraId="6AE3DD5D" w14:textId="77777777" w:rsidTr="00D62A71">
        <w:tc>
          <w:tcPr>
            <w:tcW w:w="1011" w:type="dxa"/>
          </w:tcPr>
          <w:p w14:paraId="639A01FB" w14:textId="77777777" w:rsidR="00555A70" w:rsidRPr="00555A70" w:rsidRDefault="00555A70" w:rsidP="00555A70">
            <w:pPr>
              <w:rPr>
                <w:rFonts w:ascii="Times New Roman" w:hAnsi="Times New Roman" w:cs="Times New Roman"/>
                <w:lang w:val="en-US"/>
              </w:rPr>
            </w:pPr>
          </w:p>
        </w:tc>
        <w:tc>
          <w:tcPr>
            <w:tcW w:w="1239" w:type="dxa"/>
          </w:tcPr>
          <w:p w14:paraId="264AF511" w14:textId="26797B6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7.0</w:t>
            </w:r>
          </w:p>
        </w:tc>
        <w:tc>
          <w:tcPr>
            <w:tcW w:w="8370" w:type="dxa"/>
            <w:vAlign w:val="center"/>
          </w:tcPr>
          <w:p w14:paraId="24A862D2" w14:textId="688E5144"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E91703" w14:paraId="5356EC2B" w14:textId="77777777" w:rsidTr="00D62A71">
        <w:tc>
          <w:tcPr>
            <w:tcW w:w="1011" w:type="dxa"/>
          </w:tcPr>
          <w:p w14:paraId="198A0AD7" w14:textId="77777777" w:rsidR="00555A70" w:rsidRPr="00555A70" w:rsidRDefault="00555A70" w:rsidP="00555A70">
            <w:pPr>
              <w:rPr>
                <w:rFonts w:ascii="Times New Roman" w:hAnsi="Times New Roman" w:cs="Times New Roman"/>
              </w:rPr>
            </w:pPr>
          </w:p>
        </w:tc>
        <w:tc>
          <w:tcPr>
            <w:tcW w:w="1239" w:type="dxa"/>
          </w:tcPr>
          <w:p w14:paraId="5FCE9F30" w14:textId="2EA96700"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7.1</w:t>
            </w:r>
          </w:p>
        </w:tc>
        <w:tc>
          <w:tcPr>
            <w:tcW w:w="8370" w:type="dxa"/>
            <w:vAlign w:val="center"/>
          </w:tcPr>
          <w:p w14:paraId="14BDE06A" w14:textId="36D07A8A"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E91703" w14:paraId="7A41F25A" w14:textId="77777777" w:rsidTr="00D62A71">
        <w:tc>
          <w:tcPr>
            <w:tcW w:w="1011" w:type="dxa"/>
          </w:tcPr>
          <w:p w14:paraId="207D502C" w14:textId="77777777" w:rsidR="00555A70" w:rsidRPr="00555A70" w:rsidRDefault="00555A70" w:rsidP="00555A70">
            <w:pPr>
              <w:rPr>
                <w:rFonts w:ascii="Times New Roman" w:hAnsi="Times New Roman" w:cs="Times New Roman"/>
                <w:lang w:val="en-US"/>
              </w:rPr>
            </w:pPr>
          </w:p>
        </w:tc>
        <w:tc>
          <w:tcPr>
            <w:tcW w:w="1239" w:type="dxa"/>
          </w:tcPr>
          <w:p w14:paraId="0279626F" w14:textId="1EBEC0F9"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7.2</w:t>
            </w:r>
          </w:p>
        </w:tc>
        <w:tc>
          <w:tcPr>
            <w:tcW w:w="8370" w:type="dxa"/>
            <w:vAlign w:val="center"/>
          </w:tcPr>
          <w:p w14:paraId="05C1E384" w14:textId="76F9DBF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E91703" w14:paraId="77B3B562" w14:textId="77777777" w:rsidTr="00D62A71">
        <w:tc>
          <w:tcPr>
            <w:tcW w:w="2250" w:type="dxa"/>
            <w:gridSpan w:val="2"/>
          </w:tcPr>
          <w:p w14:paraId="13EE142A" w14:textId="69AC0D2F" w:rsidR="00D62A71" w:rsidRPr="00555A70" w:rsidRDefault="00D62A71" w:rsidP="00555A70">
            <w:pPr>
              <w:rPr>
                <w:rFonts w:ascii="Times New Roman" w:hAnsi="Times New Roman" w:cs="Times New Roman"/>
                <w:lang w:val="en-US"/>
              </w:rPr>
            </w:pPr>
            <w:r w:rsidRPr="00555A70">
              <w:rPr>
                <w:rFonts w:ascii="Times New Roman" w:hAnsi="Times New Roman" w:cs="Times New Roman"/>
              </w:rPr>
              <w:t>8</w:t>
            </w:r>
          </w:p>
        </w:tc>
        <w:tc>
          <w:tcPr>
            <w:tcW w:w="8370" w:type="dxa"/>
          </w:tcPr>
          <w:p w14:paraId="7F18DBC3" w14:textId="4DD588C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high commuting: primary flow 30% or more to a small UC</w:t>
            </w:r>
          </w:p>
        </w:tc>
      </w:tr>
      <w:tr w:rsidR="00D62A71" w14:paraId="253F59A1" w14:textId="77777777" w:rsidTr="00D62A71">
        <w:tc>
          <w:tcPr>
            <w:tcW w:w="1011" w:type="dxa"/>
          </w:tcPr>
          <w:p w14:paraId="1E21B56F" w14:textId="77777777" w:rsidR="00555A70" w:rsidRPr="00555A70" w:rsidRDefault="00555A70" w:rsidP="00555A70">
            <w:pPr>
              <w:rPr>
                <w:rFonts w:ascii="Times New Roman" w:hAnsi="Times New Roman" w:cs="Times New Roman"/>
                <w:lang w:val="en-US"/>
              </w:rPr>
            </w:pPr>
          </w:p>
        </w:tc>
        <w:tc>
          <w:tcPr>
            <w:tcW w:w="1239" w:type="dxa"/>
          </w:tcPr>
          <w:p w14:paraId="0E3A17A1" w14:textId="42331058"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8.0</w:t>
            </w:r>
          </w:p>
        </w:tc>
        <w:tc>
          <w:tcPr>
            <w:tcW w:w="8370" w:type="dxa"/>
            <w:vAlign w:val="center"/>
          </w:tcPr>
          <w:p w14:paraId="65A926B8" w14:textId="0A1CA62B"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E91703" w14:paraId="6205F800" w14:textId="77777777" w:rsidTr="00D62A71">
        <w:tc>
          <w:tcPr>
            <w:tcW w:w="1011" w:type="dxa"/>
          </w:tcPr>
          <w:p w14:paraId="406B13F7" w14:textId="77777777" w:rsidR="00555A70" w:rsidRPr="00555A70" w:rsidRDefault="00555A70" w:rsidP="00555A70">
            <w:pPr>
              <w:rPr>
                <w:rFonts w:ascii="Times New Roman" w:hAnsi="Times New Roman" w:cs="Times New Roman"/>
              </w:rPr>
            </w:pPr>
          </w:p>
        </w:tc>
        <w:tc>
          <w:tcPr>
            <w:tcW w:w="1239" w:type="dxa"/>
          </w:tcPr>
          <w:p w14:paraId="66E9BD60" w14:textId="1E794D5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8.1</w:t>
            </w:r>
          </w:p>
        </w:tc>
        <w:tc>
          <w:tcPr>
            <w:tcW w:w="8370" w:type="dxa"/>
            <w:vAlign w:val="center"/>
          </w:tcPr>
          <w:p w14:paraId="3012F321" w14:textId="081F7C3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E91703" w14:paraId="2A535267" w14:textId="77777777" w:rsidTr="00D62A71">
        <w:tc>
          <w:tcPr>
            <w:tcW w:w="1011" w:type="dxa"/>
          </w:tcPr>
          <w:p w14:paraId="786FCBAC" w14:textId="77777777" w:rsidR="00555A70" w:rsidRPr="00555A70" w:rsidRDefault="00555A70" w:rsidP="00555A70">
            <w:pPr>
              <w:rPr>
                <w:rFonts w:ascii="Times New Roman" w:hAnsi="Times New Roman" w:cs="Times New Roman"/>
                <w:lang w:val="en-US"/>
              </w:rPr>
            </w:pPr>
          </w:p>
        </w:tc>
        <w:tc>
          <w:tcPr>
            <w:tcW w:w="1239" w:type="dxa"/>
          </w:tcPr>
          <w:p w14:paraId="73E582C3" w14:textId="3DCF20D7"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8.2</w:t>
            </w:r>
          </w:p>
        </w:tc>
        <w:tc>
          <w:tcPr>
            <w:tcW w:w="8370" w:type="dxa"/>
            <w:vAlign w:val="center"/>
          </w:tcPr>
          <w:p w14:paraId="46D667A7" w14:textId="3AEE07FA"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E91703" w14:paraId="2D5F6CFB" w14:textId="77777777" w:rsidTr="00D62A71">
        <w:tc>
          <w:tcPr>
            <w:tcW w:w="2250" w:type="dxa"/>
            <w:gridSpan w:val="2"/>
          </w:tcPr>
          <w:p w14:paraId="1C0FD9F8" w14:textId="5F06EBD1" w:rsidR="00D62A71" w:rsidRPr="00555A70" w:rsidRDefault="00D62A71" w:rsidP="00555A70">
            <w:pPr>
              <w:rPr>
                <w:rFonts w:ascii="Times New Roman" w:hAnsi="Times New Roman" w:cs="Times New Roman"/>
                <w:lang w:val="en-US"/>
              </w:rPr>
            </w:pPr>
            <w:r w:rsidRPr="00555A70">
              <w:rPr>
                <w:rFonts w:ascii="Times New Roman" w:hAnsi="Times New Roman" w:cs="Times New Roman"/>
              </w:rPr>
              <w:t>9</w:t>
            </w:r>
          </w:p>
        </w:tc>
        <w:tc>
          <w:tcPr>
            <w:tcW w:w="8370" w:type="dxa"/>
          </w:tcPr>
          <w:p w14:paraId="416A7D8D" w14:textId="2F88541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low commuting: primary flow 10% to 30% to a small UC</w:t>
            </w:r>
          </w:p>
        </w:tc>
      </w:tr>
      <w:tr w:rsidR="00D62A71" w14:paraId="13BA61BD" w14:textId="77777777" w:rsidTr="00D62A71">
        <w:tc>
          <w:tcPr>
            <w:tcW w:w="1011" w:type="dxa"/>
          </w:tcPr>
          <w:p w14:paraId="74C3A7C6" w14:textId="77777777" w:rsidR="00555A70" w:rsidRPr="00555A70" w:rsidRDefault="00555A70" w:rsidP="00555A70">
            <w:pPr>
              <w:rPr>
                <w:rFonts w:ascii="Times New Roman" w:hAnsi="Times New Roman" w:cs="Times New Roman"/>
                <w:lang w:val="en-US"/>
              </w:rPr>
            </w:pPr>
          </w:p>
        </w:tc>
        <w:tc>
          <w:tcPr>
            <w:tcW w:w="1239" w:type="dxa"/>
          </w:tcPr>
          <w:p w14:paraId="11085FC0" w14:textId="60898FA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9.0</w:t>
            </w:r>
          </w:p>
        </w:tc>
        <w:tc>
          <w:tcPr>
            <w:tcW w:w="8370" w:type="dxa"/>
          </w:tcPr>
          <w:p w14:paraId="094E164E" w14:textId="74AAD59A"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E91703" w14:paraId="00DFF80C" w14:textId="77777777" w:rsidTr="00D62A71">
        <w:tc>
          <w:tcPr>
            <w:tcW w:w="2250" w:type="dxa"/>
            <w:gridSpan w:val="2"/>
          </w:tcPr>
          <w:p w14:paraId="06161851" w14:textId="44D6E035" w:rsidR="00D62A71" w:rsidRPr="00555A70" w:rsidRDefault="00D62A71" w:rsidP="00555A70">
            <w:pPr>
              <w:rPr>
                <w:rFonts w:ascii="Times New Roman" w:hAnsi="Times New Roman" w:cs="Times New Roman"/>
                <w:lang w:val="en-US"/>
              </w:rPr>
            </w:pPr>
            <w:r w:rsidRPr="00555A70">
              <w:rPr>
                <w:rFonts w:ascii="Times New Roman" w:hAnsi="Times New Roman" w:cs="Times New Roman"/>
              </w:rPr>
              <w:t>10</w:t>
            </w:r>
          </w:p>
        </w:tc>
        <w:tc>
          <w:tcPr>
            <w:tcW w:w="8370" w:type="dxa"/>
          </w:tcPr>
          <w:p w14:paraId="1D45266D" w14:textId="2729B51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Rural areas: primary flow to a tract outside a UA or UC</w:t>
            </w:r>
          </w:p>
        </w:tc>
      </w:tr>
      <w:tr w:rsidR="00D62A71" w14:paraId="6959B68B" w14:textId="77777777" w:rsidTr="00D62A71">
        <w:tc>
          <w:tcPr>
            <w:tcW w:w="1011" w:type="dxa"/>
          </w:tcPr>
          <w:p w14:paraId="54380224" w14:textId="77777777" w:rsidR="00555A70" w:rsidRPr="00A9294C" w:rsidRDefault="00555A70" w:rsidP="00555A70">
            <w:pPr>
              <w:rPr>
                <w:rFonts w:ascii="Times New Roman" w:hAnsi="Times New Roman" w:cs="Times New Roman"/>
                <w:lang w:val="en-US"/>
              </w:rPr>
            </w:pPr>
          </w:p>
        </w:tc>
        <w:tc>
          <w:tcPr>
            <w:tcW w:w="1239" w:type="dxa"/>
          </w:tcPr>
          <w:p w14:paraId="03B6FFAA" w14:textId="7C93C161"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10.0</w:t>
            </w:r>
          </w:p>
        </w:tc>
        <w:tc>
          <w:tcPr>
            <w:tcW w:w="8370" w:type="dxa"/>
            <w:vAlign w:val="center"/>
          </w:tcPr>
          <w:p w14:paraId="1E7AD568" w14:textId="7AD57DD9"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E91703" w14:paraId="6126B419" w14:textId="77777777" w:rsidTr="00D62A71">
        <w:tc>
          <w:tcPr>
            <w:tcW w:w="1011" w:type="dxa"/>
          </w:tcPr>
          <w:p w14:paraId="0E52D519" w14:textId="77777777" w:rsidR="00555A70" w:rsidRPr="00555A70" w:rsidRDefault="00555A70" w:rsidP="00555A70">
            <w:pPr>
              <w:rPr>
                <w:rFonts w:ascii="Times New Roman" w:hAnsi="Times New Roman" w:cs="Times New Roman"/>
              </w:rPr>
            </w:pPr>
          </w:p>
        </w:tc>
        <w:tc>
          <w:tcPr>
            <w:tcW w:w="1239" w:type="dxa"/>
          </w:tcPr>
          <w:p w14:paraId="1AC5E8D7" w14:textId="424EF3CB"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10.1</w:t>
            </w:r>
          </w:p>
        </w:tc>
        <w:tc>
          <w:tcPr>
            <w:tcW w:w="8370" w:type="dxa"/>
            <w:vAlign w:val="center"/>
          </w:tcPr>
          <w:p w14:paraId="358241E5" w14:textId="6B49ED6F"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E91703" w14:paraId="178F6085" w14:textId="77777777" w:rsidTr="00D62A71">
        <w:tc>
          <w:tcPr>
            <w:tcW w:w="1011" w:type="dxa"/>
          </w:tcPr>
          <w:p w14:paraId="6D590D13" w14:textId="77777777" w:rsidR="00555A70" w:rsidRPr="00555A70" w:rsidRDefault="00555A70" w:rsidP="00555A70">
            <w:pPr>
              <w:rPr>
                <w:rFonts w:ascii="Times New Roman" w:hAnsi="Times New Roman" w:cs="Times New Roman"/>
                <w:lang w:val="en-US"/>
              </w:rPr>
            </w:pPr>
          </w:p>
        </w:tc>
        <w:tc>
          <w:tcPr>
            <w:tcW w:w="1239" w:type="dxa"/>
          </w:tcPr>
          <w:p w14:paraId="0C577F4D" w14:textId="4E8C78AC"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10.2</w:t>
            </w:r>
          </w:p>
        </w:tc>
        <w:tc>
          <w:tcPr>
            <w:tcW w:w="8370" w:type="dxa"/>
            <w:vAlign w:val="center"/>
          </w:tcPr>
          <w:p w14:paraId="13BB67F2" w14:textId="0E26A20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E91703" w14:paraId="69883887" w14:textId="77777777" w:rsidTr="00D62A71">
        <w:tc>
          <w:tcPr>
            <w:tcW w:w="1011" w:type="dxa"/>
          </w:tcPr>
          <w:p w14:paraId="45C4D61D" w14:textId="77777777" w:rsidR="00555A70" w:rsidRPr="00555A70" w:rsidRDefault="00555A70" w:rsidP="00555A70">
            <w:pPr>
              <w:rPr>
                <w:rFonts w:ascii="Times New Roman" w:hAnsi="Times New Roman" w:cs="Times New Roman"/>
                <w:lang w:val="en-US"/>
              </w:rPr>
            </w:pPr>
          </w:p>
        </w:tc>
        <w:tc>
          <w:tcPr>
            <w:tcW w:w="1239" w:type="dxa"/>
          </w:tcPr>
          <w:p w14:paraId="2B56F2EC" w14:textId="15122B91"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10.3</w:t>
            </w:r>
          </w:p>
        </w:tc>
        <w:tc>
          <w:tcPr>
            <w:tcW w:w="8370" w:type="dxa"/>
            <w:vAlign w:val="center"/>
          </w:tcPr>
          <w:p w14:paraId="41B22026" w14:textId="7B23A7C2"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small UC</w:t>
            </w:r>
          </w:p>
        </w:tc>
      </w:tr>
      <w:tr w:rsidR="00D62A71" w:rsidRPr="00E91703" w14:paraId="0E662BB1" w14:textId="77777777" w:rsidTr="00D62A71">
        <w:tc>
          <w:tcPr>
            <w:tcW w:w="2250" w:type="dxa"/>
            <w:gridSpan w:val="2"/>
          </w:tcPr>
          <w:p w14:paraId="23F86F59" w14:textId="10116BFF" w:rsidR="00D62A71" w:rsidRPr="00555A70" w:rsidRDefault="00D62A71" w:rsidP="00555A70">
            <w:pPr>
              <w:rPr>
                <w:rFonts w:ascii="Times New Roman" w:hAnsi="Times New Roman" w:cs="Times New Roman"/>
                <w:lang w:val="en-US"/>
              </w:rPr>
            </w:pPr>
            <w:r w:rsidRPr="00555A70">
              <w:rPr>
                <w:rFonts w:ascii="Times New Roman" w:hAnsi="Times New Roman" w:cs="Times New Roman"/>
              </w:rPr>
              <w:t>99</w:t>
            </w:r>
          </w:p>
        </w:tc>
        <w:tc>
          <w:tcPr>
            <w:tcW w:w="8370" w:type="dxa"/>
          </w:tcPr>
          <w:p w14:paraId="269071B0" w14:textId="18AF9BCB"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Not coded: Census tract has zero population and no rural-urban identifier information</w:t>
            </w:r>
          </w:p>
        </w:tc>
      </w:tr>
    </w:tbl>
    <w:p w14:paraId="6A31B1BB" w14:textId="77777777" w:rsidR="00BD72C2" w:rsidRDefault="00BD72C2" w:rsidP="00731091">
      <w:pPr>
        <w:spacing w:line="480" w:lineRule="auto"/>
        <w:rPr>
          <w:rFonts w:ascii="Times New Roman" w:hAnsi="Times New Roman" w:cs="Times New Roman"/>
          <w:sz w:val="24"/>
          <w:szCs w:val="24"/>
          <w:lang w:val="en-US"/>
        </w:rPr>
      </w:pPr>
    </w:p>
    <w:p w14:paraId="4B1BDB1A" w14:textId="76D87C9E" w:rsidR="00BD72C2" w:rsidRDefault="00BD72C2" w:rsidP="0073109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CBSA code</w:t>
      </w:r>
    </w:p>
    <w:p w14:paraId="61D44C14" w14:textId="2527BCFB" w:rsidR="00B850A6" w:rsidRDefault="00B850A6" w:rsidP="00731091">
      <w:pPr>
        <w:spacing w:line="480" w:lineRule="auto"/>
        <w:rPr>
          <w:rFonts w:ascii="Times New Roman" w:hAnsi="Times New Roman" w:cs="Times New Roman"/>
          <w:sz w:val="24"/>
          <w:szCs w:val="24"/>
          <w:lang w:val="en-US"/>
        </w:rPr>
      </w:pPr>
      <w:r w:rsidRPr="00B850A6">
        <w:rPr>
          <w:rFonts w:ascii="Times New Roman" w:hAnsi="Times New Roman" w:cs="Times New Roman"/>
          <w:sz w:val="24"/>
          <w:szCs w:val="24"/>
          <w:lang w:val="en-US"/>
        </w:rPr>
        <w:t xml:space="preserve"># </w:t>
      </w:r>
      <w:proofErr w:type="spellStart"/>
      <w:r w:rsidRPr="00B850A6">
        <w:rPr>
          <w:rFonts w:ascii="Times New Roman" w:hAnsi="Times New Roman" w:cs="Times New Roman"/>
          <w:sz w:val="24"/>
          <w:szCs w:val="24"/>
          <w:lang w:val="en-US"/>
        </w:rPr>
        <w:t>onlyruca</w:t>
      </w:r>
      <w:proofErr w:type="spellEnd"/>
      <w:r w:rsidRPr="00B850A6">
        <w:rPr>
          <w:rFonts w:ascii="Times New Roman" w:hAnsi="Times New Roman" w:cs="Times New Roman"/>
          <w:sz w:val="24"/>
          <w:szCs w:val="24"/>
          <w:lang w:val="en-US"/>
        </w:rPr>
        <w:t xml:space="preserve"> &lt;- within(</w:t>
      </w:r>
      <w:proofErr w:type="spellStart"/>
      <w:r w:rsidRPr="00B850A6">
        <w:rPr>
          <w:rFonts w:ascii="Times New Roman" w:hAnsi="Times New Roman" w:cs="Times New Roman"/>
          <w:sz w:val="24"/>
          <w:szCs w:val="24"/>
          <w:lang w:val="en-US"/>
        </w:rPr>
        <w:t>onlyruca</w:t>
      </w:r>
      <w:proofErr w:type="spellEnd"/>
      <w:r w:rsidRPr="00B850A6">
        <w:rPr>
          <w:rFonts w:ascii="Times New Roman" w:hAnsi="Times New Roman" w:cs="Times New Roman"/>
          <w:sz w:val="24"/>
          <w:szCs w:val="24"/>
          <w:lang w:val="en-US"/>
        </w:rPr>
        <w:t>, urban[</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2.0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2.1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3.0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3.1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4.1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5.1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6.1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7.1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8.1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9.1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10.1] &lt;- 'urban')</w:t>
      </w:r>
    </w:p>
    <w:sectPr w:rsidR="00B850A6" w:rsidSect="00285052">
      <w:pgSz w:w="11906" w:h="16838"/>
      <w:pgMar w:top="1417" w:right="1417"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 Katherine" w:date="2017-08-04T08:50:00Z" w:initials="WK">
    <w:p w14:paraId="09885F7D" w14:textId="5974BFD0" w:rsidR="000265C1" w:rsidRPr="009747C5" w:rsidRDefault="000265C1">
      <w:pPr>
        <w:pStyle w:val="CommentText"/>
        <w:rPr>
          <w:lang w:val="en-US"/>
        </w:rPr>
      </w:pPr>
      <w:r>
        <w:rPr>
          <w:rStyle w:val="CommentReference"/>
        </w:rPr>
        <w:annotationRef/>
      </w:r>
      <w:r w:rsidRPr="009747C5">
        <w:rPr>
          <w:lang w:val="en-US"/>
        </w:rPr>
        <w:t>Target journal:  Environmental Health Perspectives, ≤ 7,000 words (excluding references/tables/figure legends/acknowledgments/supplementary material)</w:t>
      </w:r>
    </w:p>
  </w:comment>
  <w:comment w:id="1" w:author="Wolf, Katherine" w:date="2017-10-31T14:36:00Z" w:initials="WK">
    <w:p w14:paraId="156B5E4F" w14:textId="35233A7A" w:rsidR="000265C1" w:rsidRPr="001F2B47" w:rsidRDefault="000265C1">
      <w:pPr>
        <w:pStyle w:val="CommentText"/>
        <w:rPr>
          <w:lang w:val="en-US"/>
        </w:rPr>
      </w:pPr>
      <w:r>
        <w:rPr>
          <w:rStyle w:val="CommentReference"/>
        </w:rPr>
        <w:annotationRef/>
      </w:r>
      <w:r>
        <w:rPr>
          <w:rStyle w:val="CommentReference"/>
        </w:rPr>
        <w:annotationRef/>
      </w:r>
      <w:r w:rsidRPr="00B35FBC">
        <w:rPr>
          <w:lang w:val="en-US"/>
        </w:rPr>
        <w:t>Not sure who should be secon</w:t>
      </w:r>
      <w:r>
        <w:rPr>
          <w:lang w:val="en-US"/>
        </w:rPr>
        <w:t>d author.</w:t>
      </w:r>
    </w:p>
  </w:comment>
  <w:comment w:id="3" w:author="Wolf, Katherine" w:date="2017-08-04T10:25:00Z" w:initials="WK">
    <w:p w14:paraId="4171A4AA" w14:textId="0C0B4262" w:rsidR="000265C1" w:rsidRPr="006D3B99" w:rsidRDefault="000265C1">
      <w:pPr>
        <w:pStyle w:val="CommentText"/>
        <w:rPr>
          <w:lang w:val="en-US"/>
        </w:rPr>
      </w:pPr>
      <w:r>
        <w:rPr>
          <w:rStyle w:val="CommentReference"/>
        </w:rPr>
        <w:annotationRef/>
      </w:r>
      <w:r w:rsidRPr="006D3B99">
        <w:rPr>
          <w:lang w:val="en-US"/>
        </w:rPr>
        <w:t>50 characters or less</w:t>
      </w:r>
    </w:p>
  </w:comment>
  <w:comment w:id="4" w:author="Wolf, Katherine" w:date="2017-08-04T11:15:00Z" w:initials="WK">
    <w:p w14:paraId="2CCFAD77" w14:textId="10F44B2A" w:rsidR="000265C1" w:rsidRPr="006D3B99" w:rsidRDefault="000265C1">
      <w:pPr>
        <w:pStyle w:val="CommentText"/>
        <w:rPr>
          <w:lang w:val="en-US"/>
        </w:rPr>
      </w:pPr>
      <w:r>
        <w:rPr>
          <w:rStyle w:val="CommentReference"/>
        </w:rPr>
        <w:annotationRef/>
      </w:r>
      <w:r w:rsidRPr="006D3B99">
        <w:rPr>
          <w:lang w:val="en-US"/>
        </w:rPr>
        <w:t>Check for other authors.</w:t>
      </w:r>
    </w:p>
  </w:comment>
  <w:comment w:id="5" w:author="Wolf, Katherine" w:date="2017-08-04T09:13:00Z" w:initials="WK">
    <w:p w14:paraId="538C0A12" w14:textId="0A6513FA" w:rsidR="000265C1" w:rsidRPr="00FF259B" w:rsidRDefault="000265C1">
      <w:pPr>
        <w:pStyle w:val="CommentText"/>
        <w:rPr>
          <w:lang w:val="en-US"/>
        </w:rPr>
      </w:pPr>
      <w:r>
        <w:rPr>
          <w:rStyle w:val="CommentReference"/>
        </w:rPr>
        <w:annotationRef/>
      </w:r>
      <w:r w:rsidRPr="00FF259B">
        <w:rPr>
          <w:rFonts w:ascii="Helvetica" w:hAnsi="Helvetica"/>
          <w:color w:val="000000"/>
          <w:sz w:val="21"/>
          <w:szCs w:val="21"/>
          <w:shd w:val="clear" w:color="auto" w:fill="FFFFFF"/>
          <w:lang w:val="en-US"/>
        </w:rPr>
        <w:t>≤ 250 words</w:t>
      </w:r>
      <w:r>
        <w:rPr>
          <w:rFonts w:ascii="Helvetica" w:hAnsi="Helvetica"/>
          <w:color w:val="000000"/>
          <w:sz w:val="21"/>
          <w:szCs w:val="21"/>
          <w:shd w:val="clear" w:color="auto" w:fill="FFFFFF"/>
          <w:lang w:val="en-US"/>
        </w:rPr>
        <w:t>.  Currently over by 70.</w:t>
      </w:r>
    </w:p>
  </w:comment>
  <w:comment w:id="6" w:author="Wolf, Katherine" w:date="2017-08-04T09:33:00Z" w:initials="WK">
    <w:p w14:paraId="6B231366" w14:textId="05906662" w:rsidR="000265C1" w:rsidRPr="00041B1C" w:rsidRDefault="000265C1">
      <w:pPr>
        <w:pStyle w:val="CommentText"/>
        <w:rPr>
          <w:lang w:val="en-US"/>
        </w:rPr>
      </w:pPr>
      <w:r>
        <w:rPr>
          <w:rStyle w:val="CommentReference"/>
        </w:rPr>
        <w:annotationRef/>
      </w:r>
      <w:r w:rsidRPr="00041B1C">
        <w:rPr>
          <w:lang w:val="en-US"/>
        </w:rPr>
        <w:t>really only true for African A</w:t>
      </w:r>
      <w:r>
        <w:rPr>
          <w:lang w:val="en-US"/>
        </w:rPr>
        <w:t>merican RRS</w:t>
      </w:r>
    </w:p>
  </w:comment>
  <w:comment w:id="7" w:author="Wolf, Katherine" w:date="2017-10-31T13:53:00Z" w:initials="WK">
    <w:p w14:paraId="450F15E4" w14:textId="7ACCB291" w:rsidR="000265C1" w:rsidRPr="008453AF" w:rsidRDefault="000265C1">
      <w:pPr>
        <w:pStyle w:val="CommentText"/>
        <w:rPr>
          <w:lang w:val="en-US"/>
        </w:rPr>
      </w:pPr>
      <w:r>
        <w:rPr>
          <w:rStyle w:val="CommentReference"/>
        </w:rPr>
        <w:annotationRef/>
      </w:r>
      <w:r w:rsidRPr="008453AF">
        <w:rPr>
          <w:lang w:val="en-US"/>
        </w:rPr>
        <w:t>Break out health impacts b</w:t>
      </w:r>
      <w:r>
        <w:rPr>
          <w:lang w:val="en-US"/>
        </w:rPr>
        <w:t>y component?</w:t>
      </w:r>
    </w:p>
  </w:comment>
  <w:comment w:id="8" w:author="Katherine Wolf" w:date="2019-05-12T03:12:00Z" w:initials="KW">
    <w:p w14:paraId="48683037" w14:textId="2CC85BB4" w:rsidR="000265C1" w:rsidRPr="00B00CB6" w:rsidRDefault="000265C1">
      <w:pPr>
        <w:pStyle w:val="CommentText"/>
        <w:rPr>
          <w:lang w:val="en-US"/>
        </w:rPr>
      </w:pPr>
      <w:r>
        <w:rPr>
          <w:rStyle w:val="CommentReference"/>
        </w:rPr>
        <w:annotationRef/>
      </w:r>
      <w:r w:rsidRPr="00B00CB6">
        <w:rPr>
          <w:lang w:val="en-US"/>
        </w:rPr>
        <w:t>I suggested doing a complete-cases sensitivity analysis in lab (i.e.,</w:t>
      </w:r>
      <w:r>
        <w:rPr>
          <w:lang w:val="en-US"/>
        </w:rPr>
        <w:t xml:space="preserve"> only using monitors with all components available for the study period)</w:t>
      </w:r>
      <w:r w:rsidR="00CD36FC">
        <w:rPr>
          <w:lang w:val="en-US"/>
        </w:rPr>
        <w:t>.  They thought that</w:t>
      </w:r>
      <w:r>
        <w:rPr>
          <w:lang w:val="en-US"/>
        </w:rPr>
        <w:t xml:space="preserve"> that would be biased as well, but with even less data.</w:t>
      </w:r>
    </w:p>
  </w:comment>
  <w:comment w:id="9" w:author="Katherine Wolf" w:date="2019-05-12T02:24:00Z" w:initials="KW">
    <w:p w14:paraId="6B4B8311" w14:textId="58332793" w:rsidR="000265C1" w:rsidRPr="001A2F55" w:rsidRDefault="000265C1">
      <w:pPr>
        <w:pStyle w:val="CommentText"/>
        <w:rPr>
          <w:lang w:val="en-US"/>
        </w:rPr>
      </w:pPr>
      <w:r>
        <w:rPr>
          <w:rStyle w:val="CommentReference"/>
        </w:rPr>
        <w:annotationRef/>
      </w:r>
      <w:r w:rsidRPr="001A2F55">
        <w:rPr>
          <w:lang w:val="en-US"/>
        </w:rPr>
        <w:t xml:space="preserve">and then </w:t>
      </w:r>
      <w:r>
        <w:rPr>
          <w:lang w:val="en-US"/>
        </w:rPr>
        <w:t>i</w:t>
      </w:r>
      <w:r w:rsidRPr="001A2F55">
        <w:rPr>
          <w:lang w:val="en-US"/>
        </w:rPr>
        <w:t>gnored them</w:t>
      </w:r>
      <w:r>
        <w:rPr>
          <w:lang w:val="en-US"/>
        </w:rPr>
        <w:t xml:space="preserve"> and made inference with reckless abandon.  We did make a cute graph first, though (Figure 2).  Just kidding.  More seriously, Schwartz dropped components with &lt; 25% detection (up to 75% could be undetected!) and then used data as is: </w:t>
      </w:r>
      <w:r w:rsidR="006D0FD5">
        <w:fldChar w:fldCharType="begin"/>
      </w:r>
      <w:r w:rsidR="006D0FD5" w:rsidRPr="006D0FD5">
        <w:rPr>
          <w:lang w:val="en-US"/>
        </w:rPr>
        <w:instrText xml:space="preserve"> H</w:instrText>
      </w:r>
      <w:r w:rsidR="006D0FD5" w:rsidRPr="006D0FD5">
        <w:rPr>
          <w:lang w:val="en-US"/>
        </w:rPr>
        <w:instrText xml:space="preserve">YPERLINK "https://www.ncbi.nlm.nih.gov/pmc/articles/PMC3755878/" </w:instrText>
      </w:r>
      <w:r w:rsidR="006D0FD5">
        <w:fldChar w:fldCharType="separate"/>
      </w:r>
      <w:r w:rsidRPr="0088251A">
        <w:rPr>
          <w:rStyle w:val="Hyperlink"/>
          <w:lang w:val="en-US"/>
        </w:rPr>
        <w:t>https://www.ncbi.nlm.nih.gov/pmc/articles/PMC3755878/</w:t>
      </w:r>
      <w:r w:rsidR="006D0FD5">
        <w:rPr>
          <w:rStyle w:val="Hyperlink"/>
          <w:lang w:val="en-US"/>
        </w:rPr>
        <w:fldChar w:fldCharType="end"/>
      </w:r>
      <w:r>
        <w:rPr>
          <w:lang w:val="en-US"/>
        </w:rPr>
        <w:t>.  The lab here did not like that idea, though.  I couldn’t figure out what you did in Bell and Ebisu 201</w:t>
      </w:r>
      <w:r w:rsidR="00CD36FC">
        <w:rPr>
          <w:lang w:val="en-US"/>
        </w:rPr>
        <w:t>2</w:t>
      </w:r>
      <w:r>
        <w:rPr>
          <w:lang w:val="en-US"/>
        </w:rPr>
        <w:t>, actually.  Rachel suggested 50% as a minimum percentage of detections and another lab member, Jessica Trowbridge, recommended maximum likelihood estimation to handle the non-detects in the remaining 50%.  They aren’t as intimately familiar with speciation air data, though.  Not sure what to do.  At any rate, the reported means throughout this paper for components with low detection are very likely biased due to values below the MDL reported as zeroes and used as zeroes in the analysis.</w:t>
      </w:r>
    </w:p>
  </w:comment>
  <w:comment w:id="10" w:author="Wolf, Katherine" w:date="2017-08-04T11:11:00Z" w:initials="WK">
    <w:p w14:paraId="5289242D" w14:textId="731EE775" w:rsidR="000265C1" w:rsidRPr="00467E05" w:rsidRDefault="000265C1">
      <w:pPr>
        <w:pStyle w:val="CommentText"/>
        <w:rPr>
          <w:lang w:val="en-US"/>
        </w:rPr>
      </w:pPr>
      <w:r>
        <w:rPr>
          <w:rStyle w:val="CommentReference"/>
        </w:rPr>
        <w:annotationRef/>
      </w:r>
      <w:r w:rsidRPr="00467E05">
        <w:rPr>
          <w:lang w:val="en-US"/>
        </w:rPr>
        <w:t xml:space="preserve">Add reason for </w:t>
      </w:r>
      <w:r>
        <w:rPr>
          <w:lang w:val="en-US"/>
        </w:rPr>
        <w:t>urban only (not enough monitors in suburban or rural areas).</w:t>
      </w:r>
    </w:p>
  </w:comment>
  <w:comment w:id="11" w:author="Katherine Wolf" w:date="2019-05-12T03:03:00Z" w:initials="KW">
    <w:p w14:paraId="579DB524" w14:textId="028655A2" w:rsidR="000265C1" w:rsidRPr="00084BCE" w:rsidRDefault="000265C1">
      <w:pPr>
        <w:pStyle w:val="CommentText"/>
        <w:rPr>
          <w:lang w:val="en-US"/>
        </w:rPr>
      </w:pPr>
      <w:r>
        <w:rPr>
          <w:rStyle w:val="CommentReference"/>
        </w:rPr>
        <w:annotationRef/>
      </w:r>
      <w:r w:rsidRPr="00084BCE">
        <w:rPr>
          <w:lang w:val="en-US"/>
        </w:rPr>
        <w:t xml:space="preserve">Rachel and Joan questioned some of these choices and started to draw a </w:t>
      </w:r>
      <w:r>
        <w:rPr>
          <w:lang w:val="en-US"/>
        </w:rPr>
        <w:t>directed acyclic graph</w:t>
      </w:r>
      <w:r w:rsidRPr="00084BCE">
        <w:rPr>
          <w:lang w:val="en-US"/>
        </w:rPr>
        <w:t xml:space="preserve"> on the board to figure out </w:t>
      </w:r>
      <w:r>
        <w:rPr>
          <w:lang w:val="en-US"/>
        </w:rPr>
        <w:t>what they thought the causal process might be</w:t>
      </w:r>
      <w:r w:rsidRPr="00084BCE">
        <w:rPr>
          <w:lang w:val="en-US"/>
        </w:rPr>
        <w:t>.</w:t>
      </w:r>
      <w:r w:rsidR="00CD36FC">
        <w:rPr>
          <w:lang w:val="en-US"/>
        </w:rPr>
        <w:t xml:space="preserve">  They wanted population density at least.</w:t>
      </w:r>
    </w:p>
  </w:comment>
  <w:comment w:id="12" w:author="Wolf, Katherine" w:date="2017-10-18T13:06:00Z" w:initials="WK">
    <w:p w14:paraId="23C2AC19" w14:textId="0057309B" w:rsidR="000265C1" w:rsidRDefault="000265C1">
      <w:pPr>
        <w:pStyle w:val="CommentText"/>
        <w:rPr>
          <w:lang w:val="en-US"/>
        </w:rPr>
      </w:pPr>
      <w:r>
        <w:rPr>
          <w:rStyle w:val="CommentReference"/>
        </w:rPr>
        <w:annotationRef/>
      </w:r>
      <w:r w:rsidRPr="004A2A47">
        <w:rPr>
          <w:lang w:val="en-US"/>
        </w:rPr>
        <w:t>Add (Case</w:t>
      </w:r>
      <w:r>
        <w:rPr>
          <w:lang w:val="en-US"/>
        </w:rPr>
        <w:t>y 2017):</w:t>
      </w:r>
    </w:p>
    <w:p w14:paraId="7758F033" w14:textId="718CF59C" w:rsidR="000265C1" w:rsidRPr="004A2A47" w:rsidRDefault="000265C1" w:rsidP="004A2A47">
      <w:pPr>
        <w:pStyle w:val="CommentText"/>
        <w:numPr>
          <w:ilvl w:val="0"/>
          <w:numId w:val="4"/>
        </w:numPr>
        <w:rPr>
          <w:rFonts w:cstheme="minorHAnsi"/>
          <w:color w:val="000000" w:themeColor="text1"/>
          <w:lang w:val="en-US"/>
        </w:rPr>
      </w:pPr>
      <w:r w:rsidRPr="004A2A47">
        <w:rPr>
          <w:rFonts w:cstheme="minorHAnsi"/>
          <w:color w:val="000000" w:themeColor="text1"/>
          <w:lang w:val="en-US"/>
        </w:rPr>
        <w:t>Population density (people per square kilometer)</w:t>
      </w:r>
    </w:p>
    <w:p w14:paraId="5B80D53B" w14:textId="77777777" w:rsidR="000265C1" w:rsidRPr="004A2A47" w:rsidRDefault="000265C1" w:rsidP="004A2A47">
      <w:pPr>
        <w:pStyle w:val="CommentText"/>
        <w:numPr>
          <w:ilvl w:val="0"/>
          <w:numId w:val="4"/>
        </w:numPr>
        <w:rPr>
          <w:rFonts w:cstheme="minorHAnsi"/>
          <w:color w:val="000000" w:themeColor="text1"/>
          <w:lang w:val="en-US"/>
        </w:rPr>
      </w:pPr>
      <w:r w:rsidRPr="004A2A47">
        <w:rPr>
          <w:rFonts w:cstheme="minorHAnsi"/>
          <w:color w:val="000000" w:themeColor="text1"/>
          <w:sz w:val="21"/>
          <w:szCs w:val="21"/>
          <w:shd w:val="clear" w:color="auto" w:fill="FFFFFF"/>
          <w:lang w:val="en-US"/>
        </w:rPr>
        <w:t>housing tenure (defined as percent of households comprised of renters or owners)</w:t>
      </w:r>
    </w:p>
    <w:p w14:paraId="23560832" w14:textId="51F1E545" w:rsidR="000265C1" w:rsidRPr="004A2A47" w:rsidRDefault="000265C1" w:rsidP="004A2A47">
      <w:pPr>
        <w:pStyle w:val="CommentText"/>
        <w:numPr>
          <w:ilvl w:val="0"/>
          <w:numId w:val="4"/>
        </w:numPr>
        <w:rPr>
          <w:lang w:val="en-US"/>
        </w:rPr>
      </w:pPr>
      <w:r w:rsidRPr="004A2A47">
        <w:rPr>
          <w:rFonts w:cstheme="minorHAnsi"/>
          <w:color w:val="000000" w:themeColor="text1"/>
          <w:sz w:val="21"/>
          <w:szCs w:val="21"/>
          <w:shd w:val="clear" w:color="auto" w:fill="FFFFFF"/>
          <w:lang w:val="en-US"/>
        </w:rPr>
        <w:t>linguistic isolation (defined as percent of households where no one &gt;14 y speaks English “very well”)</w:t>
      </w:r>
    </w:p>
  </w:comment>
  <w:comment w:id="13" w:author="Wolf, Katherine" w:date="2017-10-18T13:42:00Z" w:initials="WK">
    <w:p w14:paraId="4112EB96" w14:textId="77777777" w:rsidR="000265C1" w:rsidRPr="00243B80" w:rsidRDefault="000265C1" w:rsidP="007D326F">
      <w:pPr>
        <w:pStyle w:val="CommentText"/>
        <w:rPr>
          <w:lang w:val="en-US"/>
        </w:rPr>
      </w:pPr>
      <w:r>
        <w:rPr>
          <w:rStyle w:val="CommentReference"/>
        </w:rPr>
        <w:annotationRef/>
      </w:r>
      <w:r w:rsidRPr="002C6FE9">
        <w:rPr>
          <w:lang w:val="en-US"/>
        </w:rPr>
        <w:t>Consid</w:t>
      </w:r>
      <w:r>
        <w:rPr>
          <w:lang w:val="en-US"/>
        </w:rPr>
        <w:t>er sensitivity analysis with multigroup dissimilarity index on CBSAs.</w:t>
      </w:r>
    </w:p>
  </w:comment>
  <w:comment w:id="14" w:author="Katherine Wolf" w:date="2019-05-12T03:14:00Z" w:initials="KW">
    <w:p w14:paraId="5CC708B5" w14:textId="07E17C00" w:rsidR="000265C1" w:rsidRPr="00AC225C" w:rsidRDefault="000265C1">
      <w:pPr>
        <w:pStyle w:val="CommentText"/>
        <w:rPr>
          <w:lang w:val="en-US"/>
        </w:rPr>
      </w:pPr>
      <w:r>
        <w:rPr>
          <w:rStyle w:val="CommentReference"/>
        </w:rPr>
        <w:annotationRef/>
      </w:r>
      <w:r w:rsidRPr="00AC225C">
        <w:rPr>
          <w:lang w:val="en-US"/>
        </w:rPr>
        <w:t xml:space="preserve">Lab said nope!  </w:t>
      </w:r>
      <w:r>
        <w:rPr>
          <w:lang w:val="en-US"/>
        </w:rPr>
        <w:t>Stick with one!  Not worth the time!</w:t>
      </w:r>
    </w:p>
  </w:comment>
  <w:comment w:id="15" w:author="Wolf, Katherine" w:date="2017-10-18T13:42:00Z" w:initials="WK">
    <w:p w14:paraId="0DE4A5B3" w14:textId="77777777" w:rsidR="000265C1" w:rsidRPr="00A36930" w:rsidRDefault="000265C1" w:rsidP="007D326F">
      <w:pPr>
        <w:pStyle w:val="CommentText"/>
        <w:rPr>
          <w:lang w:val="en-US"/>
        </w:rPr>
      </w:pPr>
      <w:r>
        <w:rPr>
          <w:rStyle w:val="CommentReference"/>
        </w:rPr>
        <w:annotationRef/>
      </w:r>
      <w:r w:rsidRPr="00A36930">
        <w:rPr>
          <w:lang w:val="en-US"/>
        </w:rPr>
        <w:t>Make into figure?</w:t>
      </w:r>
    </w:p>
  </w:comment>
  <w:comment w:id="16" w:author="Katherine Wolf" w:date="2019-05-12T03:02:00Z" w:initials="KW">
    <w:p w14:paraId="757D6F4F" w14:textId="4E2D9162" w:rsidR="000265C1" w:rsidRPr="00084BCE" w:rsidRDefault="000265C1">
      <w:pPr>
        <w:pStyle w:val="CommentText"/>
        <w:rPr>
          <w:lang w:val="en-US"/>
        </w:rPr>
      </w:pPr>
      <w:r>
        <w:rPr>
          <w:rStyle w:val="CommentReference"/>
        </w:rPr>
        <w:annotationRef/>
      </w:r>
      <w:r w:rsidRPr="00084BCE">
        <w:rPr>
          <w:lang w:val="en-US"/>
        </w:rPr>
        <w:t>Rachel did not like this, pointing out that some cities might have zero monitors</w:t>
      </w:r>
      <w:r>
        <w:rPr>
          <w:lang w:val="en-US"/>
        </w:rPr>
        <w:t xml:space="preserve"> and very different population distributions than monitored cities</w:t>
      </w:r>
      <w:r w:rsidRPr="00084BCE">
        <w:rPr>
          <w:lang w:val="en-US"/>
        </w:rPr>
        <w:t xml:space="preserve"> but still be include</w:t>
      </w:r>
      <w:r>
        <w:rPr>
          <w:lang w:val="en-US"/>
        </w:rPr>
        <w:t xml:space="preserve">d in the quintiles.  She suggested quintiles among only tracts in the analysis, or absolute values of the index, or limiting the quintiles to cities with at least one monitor.  Bravo et al. 2016 </w:t>
      </w:r>
      <w:proofErr w:type="spellStart"/>
      <w:r>
        <w:rPr>
          <w:lang w:val="en-US"/>
        </w:rPr>
        <w:t>quintiled</w:t>
      </w:r>
      <w:proofErr w:type="spellEnd"/>
      <w:r>
        <w:rPr>
          <w:lang w:val="en-US"/>
        </w:rPr>
        <w:t xml:space="preserve"> all urban tracts in the country, but they had air data on all tracts in the country since they modeled it.</w:t>
      </w:r>
    </w:p>
  </w:comment>
  <w:comment w:id="17" w:author="Katherine Wolf" w:date="2019-05-12T03:20:00Z" w:initials="KW">
    <w:p w14:paraId="7F94DF0C" w14:textId="4338FD5D" w:rsidR="000265C1" w:rsidRPr="00E46A4E" w:rsidRDefault="000265C1">
      <w:pPr>
        <w:pStyle w:val="CommentText"/>
        <w:rPr>
          <w:lang w:val="en-US"/>
        </w:rPr>
      </w:pPr>
      <w:r>
        <w:rPr>
          <w:rStyle w:val="CommentReference"/>
        </w:rPr>
        <w:annotationRef/>
      </w:r>
      <w:r w:rsidRPr="00E46A4E">
        <w:rPr>
          <w:lang w:val="en-US"/>
        </w:rPr>
        <w:t xml:space="preserve">People in lab were also curious about patterns of monitors turning off, </w:t>
      </w:r>
      <w:r>
        <w:rPr>
          <w:lang w:val="en-US"/>
        </w:rPr>
        <w:t>particularly if cessation of monitoring is associated with declining air pollution in that tract, and proposed considering some kind of sensitivity analysis looking at patterns of monitors turning off or doing MLE estimation for the time after the monitor turns off.  They also recommended putting the number of months of observations in the models at the very least.</w:t>
      </w:r>
    </w:p>
  </w:comment>
  <w:comment w:id="19" w:author="Wolf, Katherine" w:date="2017-10-31T14:57:00Z" w:initials="WK">
    <w:p w14:paraId="114971A6" w14:textId="08D697EC" w:rsidR="000265C1" w:rsidRPr="005B3BFF" w:rsidRDefault="000265C1">
      <w:pPr>
        <w:pStyle w:val="CommentText"/>
        <w:rPr>
          <w:lang w:val="en-US"/>
        </w:rPr>
      </w:pPr>
      <w:r>
        <w:rPr>
          <w:rStyle w:val="CommentReference"/>
        </w:rPr>
        <w:annotationRef/>
      </w:r>
      <w:r>
        <w:rPr>
          <w:lang w:val="en-US"/>
        </w:rPr>
        <w:t>Perhaps also run a sensitivity analysis with traditional US Census Core Based Statistical Areas?</w:t>
      </w:r>
    </w:p>
  </w:comment>
  <w:comment w:id="18" w:author="Katherine Wolf" w:date="2019-05-12T03:02:00Z" w:initials="KW">
    <w:p w14:paraId="65F6F6B5" w14:textId="339D7421" w:rsidR="000265C1" w:rsidRPr="00084BCE" w:rsidRDefault="000265C1">
      <w:pPr>
        <w:pStyle w:val="CommentText"/>
        <w:rPr>
          <w:lang w:val="en-US"/>
        </w:rPr>
      </w:pPr>
      <w:r>
        <w:rPr>
          <w:rStyle w:val="CommentReference"/>
        </w:rPr>
        <w:annotationRef/>
      </w:r>
      <w:r>
        <w:rPr>
          <w:lang w:val="en-US"/>
        </w:rPr>
        <w:t>Folks suggested some kind of analysis of whether sociodemographic factors predict monitor location or non-location?</w:t>
      </w:r>
    </w:p>
  </w:comment>
  <w:comment w:id="20" w:author="Katherine Wolf" w:date="2019-05-12T02:50:00Z" w:initials="KW">
    <w:p w14:paraId="79ED8886" w14:textId="71F29F3E" w:rsidR="000265C1" w:rsidRPr="00C13D6B" w:rsidRDefault="000265C1">
      <w:pPr>
        <w:pStyle w:val="CommentText"/>
        <w:rPr>
          <w:lang w:val="en-US"/>
        </w:rPr>
      </w:pPr>
      <w:r>
        <w:rPr>
          <w:rStyle w:val="CommentReference"/>
        </w:rPr>
        <w:annotationRef/>
      </w:r>
      <w:r>
        <w:rPr>
          <w:lang w:val="en-US"/>
        </w:rPr>
        <w:t>I KNOW, I still need to do the buffer analysis.  That was also the very strong feedback from Rachel’s lab and is first in the pipeline for after finals.</w:t>
      </w:r>
    </w:p>
  </w:comment>
  <w:comment w:id="21" w:author="Katherine Wolf" w:date="2019-05-12T02:52:00Z" w:initials="KW">
    <w:p w14:paraId="1642DA0C" w14:textId="40C92DC1" w:rsidR="000265C1" w:rsidRPr="000528B5" w:rsidRDefault="000265C1">
      <w:pPr>
        <w:pStyle w:val="CommentText"/>
        <w:rPr>
          <w:lang w:val="en-US"/>
        </w:rPr>
      </w:pPr>
      <w:r>
        <w:rPr>
          <w:rStyle w:val="CommentReference"/>
        </w:rPr>
        <w:annotationRef/>
      </w:r>
      <w:r w:rsidRPr="000528B5">
        <w:rPr>
          <w:lang w:val="en-US"/>
        </w:rPr>
        <w:t>Cite pa</w:t>
      </w:r>
      <w:r>
        <w:rPr>
          <w:lang w:val="en-US"/>
        </w:rPr>
        <w:t>ckages in later edition.</w:t>
      </w:r>
    </w:p>
  </w:comment>
  <w:comment w:id="22" w:author="Katherine Wolf" w:date="2019-05-12T03:54:00Z" w:initials="KW">
    <w:p w14:paraId="6AE96B9B" w14:textId="1489B6EB" w:rsidR="000265C1" w:rsidRPr="003E7BF0" w:rsidRDefault="000265C1">
      <w:pPr>
        <w:pStyle w:val="CommentText"/>
        <w:rPr>
          <w:lang w:val="en-US"/>
        </w:rPr>
      </w:pPr>
      <w:r>
        <w:rPr>
          <w:rStyle w:val="CommentReference"/>
        </w:rPr>
        <w:annotationRef/>
      </w:r>
      <w:r w:rsidRPr="003E7BF0">
        <w:rPr>
          <w:lang w:val="en-US"/>
        </w:rPr>
        <w:t xml:space="preserve">Remember when I raised my hand after Julian Marshall’s </w:t>
      </w:r>
      <w:r>
        <w:rPr>
          <w:lang w:val="en-US"/>
        </w:rPr>
        <w:t xml:space="preserve">presentation at ISEE two years ago and pointed out that real EJ would mean that people were exposed according to how much pollution they produced?  </w:t>
      </w:r>
      <w:proofErr w:type="gramStart"/>
      <w:r>
        <w:rPr>
          <w:lang w:val="en-US"/>
        </w:rPr>
        <w:t>Apparently</w:t>
      </w:r>
      <w:proofErr w:type="gramEnd"/>
      <w:r>
        <w:rPr>
          <w:lang w:val="en-US"/>
        </w:rPr>
        <w:t xml:space="preserve"> they listened!  And </w:t>
      </w:r>
      <w:proofErr w:type="gramStart"/>
      <w:r>
        <w:rPr>
          <w:lang w:val="en-US"/>
        </w:rPr>
        <w:t>apparently</w:t>
      </w:r>
      <w:proofErr w:type="gramEnd"/>
      <w:r>
        <w:rPr>
          <w:lang w:val="en-US"/>
        </w:rPr>
        <w:t xml:space="preserve"> I should keep my mouth shut and do more studies.</w:t>
      </w:r>
    </w:p>
  </w:comment>
  <w:comment w:id="23" w:author="Katherine Wolf" w:date="2019-05-12T03:38:00Z" w:initials="KW">
    <w:p w14:paraId="040CFB48" w14:textId="106174D5" w:rsidR="000265C1" w:rsidRPr="003013D8" w:rsidRDefault="000265C1">
      <w:pPr>
        <w:pStyle w:val="CommentText"/>
        <w:rPr>
          <w:lang w:val="en-US"/>
        </w:rPr>
      </w:pPr>
      <w:r>
        <w:rPr>
          <w:rStyle w:val="CommentReference"/>
        </w:rPr>
        <w:annotationRef/>
      </w:r>
      <w:r w:rsidRPr="003013D8">
        <w:rPr>
          <w:lang w:val="en-US"/>
        </w:rPr>
        <w:t>There was going to be a table of mean PM2.5 and component concentration exposure for each sociodemograph</w:t>
      </w:r>
      <w:r>
        <w:rPr>
          <w:lang w:val="en-US"/>
        </w:rPr>
        <w:t>ic variable, but I ran out of time to make it.</w:t>
      </w:r>
    </w:p>
  </w:comment>
  <w:comment w:id="25" w:author="Wolf, Katherine" w:date="2017-10-18T14:30:00Z" w:initials="WK">
    <w:p w14:paraId="366262E6" w14:textId="4E2A21A6" w:rsidR="000265C1" w:rsidRPr="0011544F" w:rsidRDefault="000265C1" w:rsidP="006D3219">
      <w:pPr>
        <w:pStyle w:val="CommentText"/>
        <w:rPr>
          <w:lang w:val="en-US"/>
        </w:rPr>
      </w:pPr>
      <w:r>
        <w:rPr>
          <w:rStyle w:val="CommentReference"/>
        </w:rPr>
        <w:annotationRef/>
      </w:r>
      <w:r>
        <w:rPr>
          <w:lang w:val="en-US"/>
        </w:rPr>
        <w:t xml:space="preserve"> Break by region.</w:t>
      </w:r>
    </w:p>
  </w:comment>
  <w:comment w:id="27" w:author="Katherine Wolf" w:date="2019-05-11T16:17:00Z" w:initials="KW">
    <w:p w14:paraId="5C133E76" w14:textId="38222B55" w:rsidR="000265C1" w:rsidRPr="00063D2B" w:rsidRDefault="000265C1">
      <w:pPr>
        <w:pStyle w:val="CommentText"/>
        <w:rPr>
          <w:lang w:val="en-US"/>
        </w:rPr>
      </w:pPr>
      <w:r>
        <w:rPr>
          <w:rStyle w:val="CommentReference"/>
        </w:rPr>
        <w:annotationRef/>
      </w:r>
      <w:r w:rsidRPr="00063D2B">
        <w:rPr>
          <w:lang w:val="en-US"/>
        </w:rPr>
        <w:t>add no-Welch?</w:t>
      </w:r>
    </w:p>
  </w:comment>
  <w:comment w:id="28" w:author="Katherine Wolf" w:date="2019-05-10T16:47:00Z" w:initials="KW">
    <w:p w14:paraId="19EBE5CB" w14:textId="1A9B153D" w:rsidR="000265C1" w:rsidRPr="00B13875" w:rsidRDefault="000265C1">
      <w:pPr>
        <w:pStyle w:val="CommentText"/>
        <w:rPr>
          <w:lang w:val="en-US"/>
        </w:rPr>
      </w:pPr>
      <w:r>
        <w:rPr>
          <w:rStyle w:val="CommentReference"/>
        </w:rPr>
        <w:annotationRef/>
      </w:r>
      <w:r>
        <w:rPr>
          <w:lang w:val="en-US"/>
        </w:rPr>
        <w:t>impute</w:t>
      </w:r>
      <w:r w:rsidRPr="00B13875">
        <w:rPr>
          <w:lang w:val="en-US"/>
        </w:rPr>
        <w:t xml:space="preserve"> MDLs (</w:t>
      </w:r>
      <w:r>
        <w:rPr>
          <w:lang w:val="en-US"/>
        </w:rPr>
        <w:t>these use</w:t>
      </w:r>
      <w:r w:rsidRPr="00B13875">
        <w:rPr>
          <w:lang w:val="en-US"/>
        </w:rPr>
        <w:t xml:space="preserve"> the raw data as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85F7D" w15:done="0"/>
  <w15:commentEx w15:paraId="156B5E4F" w15:done="0"/>
  <w15:commentEx w15:paraId="4171A4AA" w15:done="0"/>
  <w15:commentEx w15:paraId="2CCFAD77" w15:done="0"/>
  <w15:commentEx w15:paraId="538C0A12" w15:done="0"/>
  <w15:commentEx w15:paraId="6B231366" w15:done="0"/>
  <w15:commentEx w15:paraId="450F15E4" w15:done="0"/>
  <w15:commentEx w15:paraId="48683037" w15:done="0"/>
  <w15:commentEx w15:paraId="6B4B8311" w15:done="0"/>
  <w15:commentEx w15:paraId="5289242D" w15:done="0"/>
  <w15:commentEx w15:paraId="579DB524" w15:done="0"/>
  <w15:commentEx w15:paraId="23560832" w15:done="0"/>
  <w15:commentEx w15:paraId="4112EB96" w15:done="0"/>
  <w15:commentEx w15:paraId="5CC708B5" w15:paraIdParent="4112EB96" w15:done="0"/>
  <w15:commentEx w15:paraId="0DE4A5B3" w15:done="0"/>
  <w15:commentEx w15:paraId="757D6F4F" w15:done="0"/>
  <w15:commentEx w15:paraId="7F94DF0C" w15:done="0"/>
  <w15:commentEx w15:paraId="114971A6" w15:done="0"/>
  <w15:commentEx w15:paraId="65F6F6B5" w15:done="0"/>
  <w15:commentEx w15:paraId="79ED8886" w15:done="0"/>
  <w15:commentEx w15:paraId="1642DA0C" w15:done="0"/>
  <w15:commentEx w15:paraId="6AE96B9B" w15:done="0"/>
  <w15:commentEx w15:paraId="040CFB48" w15:done="0"/>
  <w15:commentEx w15:paraId="366262E6" w15:done="0"/>
  <w15:commentEx w15:paraId="5C133E76" w15:done="0"/>
  <w15:commentEx w15:paraId="19EBE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85F7D" w16cid:durableId="1D2EB3E6"/>
  <w16cid:commentId w16cid:paraId="156B5E4F" w16cid:durableId="1DA308D8"/>
  <w16cid:commentId w16cid:paraId="4171A4AA" w16cid:durableId="1D2ECA20"/>
  <w16cid:commentId w16cid:paraId="2CCFAD77" w16cid:durableId="1D2ED5E6"/>
  <w16cid:commentId w16cid:paraId="538C0A12" w16cid:durableId="1D2EB92E"/>
  <w16cid:commentId w16cid:paraId="6B231366" w16cid:durableId="1D2EBDCE"/>
  <w16cid:commentId w16cid:paraId="450F15E4" w16cid:durableId="1DA2FEF2"/>
  <w16cid:commentId w16cid:paraId="48683037" w16cid:durableId="20820DAA"/>
  <w16cid:commentId w16cid:paraId="6B4B8311" w16cid:durableId="20820271"/>
  <w16cid:commentId w16cid:paraId="5289242D" w16cid:durableId="1D2ED4D1"/>
  <w16cid:commentId w16cid:paraId="579DB524" w16cid:durableId="20820B72"/>
  <w16cid:commentId w16cid:paraId="23560832" w16cid:durableId="1D91D054"/>
  <w16cid:commentId w16cid:paraId="4112EB96" w16cid:durableId="1D91D8B9"/>
  <w16cid:commentId w16cid:paraId="5CC708B5" w16cid:durableId="20820E25"/>
  <w16cid:commentId w16cid:paraId="0DE4A5B3" w16cid:durableId="1D91D8CD"/>
  <w16cid:commentId w16cid:paraId="757D6F4F" w16cid:durableId="20820B30"/>
  <w16cid:commentId w16cid:paraId="7F94DF0C" w16cid:durableId="20820F79"/>
  <w16cid:commentId w16cid:paraId="114971A6" w16cid:durableId="1DA30DEC"/>
  <w16cid:commentId w16cid:paraId="65F6F6B5" w16cid:durableId="20820B52"/>
  <w16cid:commentId w16cid:paraId="79ED8886" w16cid:durableId="2082086C"/>
  <w16cid:commentId w16cid:paraId="1642DA0C" w16cid:durableId="208208EA"/>
  <w16cid:commentId w16cid:paraId="6AE96B9B" w16cid:durableId="20821787"/>
  <w16cid:commentId w16cid:paraId="040CFB48" w16cid:durableId="208213CA"/>
  <w16cid:commentId w16cid:paraId="366262E6" w16cid:durableId="1D91E414"/>
  <w16cid:commentId w16cid:paraId="5C133E76" w16cid:durableId="20817421"/>
  <w16cid:commentId w16cid:paraId="19EBE5CB" w16cid:durableId="20802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AB6"/>
    <w:multiLevelType w:val="hybridMultilevel"/>
    <w:tmpl w:val="19D440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F5708BB"/>
    <w:multiLevelType w:val="hybridMultilevel"/>
    <w:tmpl w:val="37181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E723F2"/>
    <w:multiLevelType w:val="hybridMultilevel"/>
    <w:tmpl w:val="5C5252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2C3114AC"/>
    <w:multiLevelType w:val="hybridMultilevel"/>
    <w:tmpl w:val="14F8CF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6F2C7076">
      <w:start w:val="4"/>
      <w:numFmt w:val="bullet"/>
      <w:lvlText w:val="—"/>
      <w:lvlJc w:val="left"/>
      <w:pPr>
        <w:ind w:left="2880" w:hanging="360"/>
      </w:pPr>
      <w:rPr>
        <w:rFonts w:ascii="Times New Roman" w:eastAsiaTheme="minorHAnsi" w:hAnsi="Times New Roman"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743273"/>
    <w:multiLevelType w:val="hybridMultilevel"/>
    <w:tmpl w:val="6116E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1119FB"/>
    <w:multiLevelType w:val="hybridMultilevel"/>
    <w:tmpl w:val="E5F20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E758C9"/>
    <w:multiLevelType w:val="hybridMultilevel"/>
    <w:tmpl w:val="9F228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67038C"/>
    <w:multiLevelType w:val="hybridMultilevel"/>
    <w:tmpl w:val="8D86F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D52616"/>
    <w:multiLevelType w:val="hybridMultilevel"/>
    <w:tmpl w:val="970AF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f, Katherine">
    <w15:presenceInfo w15:providerId="AD" w15:userId="S-1-5-21-2545764172-1816029652-1654707566-1001"/>
  </w15:person>
  <w15:person w15:author="Katherine Wolf">
    <w15:presenceInfo w15:providerId="Windows Live" w15:userId="52dcedf383f38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78B52DA-25DB-4D82-A5D2-866791EC776D}"/>
    <w:docVar w:name="dgnword-eventsink" w:val="2037404803344"/>
  </w:docVars>
  <w:rsids>
    <w:rsidRoot w:val="00C66525"/>
    <w:rsid w:val="000011EF"/>
    <w:rsid w:val="0000551C"/>
    <w:rsid w:val="00017013"/>
    <w:rsid w:val="00021D8B"/>
    <w:rsid w:val="0002564D"/>
    <w:rsid w:val="000265C1"/>
    <w:rsid w:val="00027848"/>
    <w:rsid w:val="00036A20"/>
    <w:rsid w:val="00037419"/>
    <w:rsid w:val="00041285"/>
    <w:rsid w:val="00041B1C"/>
    <w:rsid w:val="000528B5"/>
    <w:rsid w:val="00053616"/>
    <w:rsid w:val="00061C1F"/>
    <w:rsid w:val="000631FC"/>
    <w:rsid w:val="00063D2B"/>
    <w:rsid w:val="00063DFE"/>
    <w:rsid w:val="00066A5F"/>
    <w:rsid w:val="00075F71"/>
    <w:rsid w:val="000761AF"/>
    <w:rsid w:val="00077DB5"/>
    <w:rsid w:val="00083197"/>
    <w:rsid w:val="00084BCE"/>
    <w:rsid w:val="00085095"/>
    <w:rsid w:val="00095B0F"/>
    <w:rsid w:val="000A7E8B"/>
    <w:rsid w:val="000B1CA3"/>
    <w:rsid w:val="000B7885"/>
    <w:rsid w:val="000C098B"/>
    <w:rsid w:val="000C3D26"/>
    <w:rsid w:val="000C4DCC"/>
    <w:rsid w:val="000C7879"/>
    <w:rsid w:val="000C7BEF"/>
    <w:rsid w:val="000D45A4"/>
    <w:rsid w:val="000E0831"/>
    <w:rsid w:val="000E47A3"/>
    <w:rsid w:val="000F0D3B"/>
    <w:rsid w:val="000F3D9E"/>
    <w:rsid w:val="000F403A"/>
    <w:rsid w:val="000F414E"/>
    <w:rsid w:val="000F5104"/>
    <w:rsid w:val="000F5C93"/>
    <w:rsid w:val="0011160D"/>
    <w:rsid w:val="0011196F"/>
    <w:rsid w:val="0011544F"/>
    <w:rsid w:val="00120349"/>
    <w:rsid w:val="00126ADE"/>
    <w:rsid w:val="001307C2"/>
    <w:rsid w:val="001406B5"/>
    <w:rsid w:val="00155E4E"/>
    <w:rsid w:val="00156B48"/>
    <w:rsid w:val="00171683"/>
    <w:rsid w:val="00181991"/>
    <w:rsid w:val="001824E5"/>
    <w:rsid w:val="00185956"/>
    <w:rsid w:val="00187DBB"/>
    <w:rsid w:val="00192976"/>
    <w:rsid w:val="0019506C"/>
    <w:rsid w:val="00196FE2"/>
    <w:rsid w:val="001A2F55"/>
    <w:rsid w:val="001C0F11"/>
    <w:rsid w:val="001C53DD"/>
    <w:rsid w:val="001D74AF"/>
    <w:rsid w:val="001E50DF"/>
    <w:rsid w:val="001F0AE1"/>
    <w:rsid w:val="001F11E3"/>
    <w:rsid w:val="001F2B47"/>
    <w:rsid w:val="001F5588"/>
    <w:rsid w:val="00202A73"/>
    <w:rsid w:val="0020374D"/>
    <w:rsid w:val="00211805"/>
    <w:rsid w:val="00211E39"/>
    <w:rsid w:val="00220A34"/>
    <w:rsid w:val="00220DD1"/>
    <w:rsid w:val="00223D4F"/>
    <w:rsid w:val="002314CB"/>
    <w:rsid w:val="002334F9"/>
    <w:rsid w:val="00236A23"/>
    <w:rsid w:val="002375B5"/>
    <w:rsid w:val="00243012"/>
    <w:rsid w:val="00243B80"/>
    <w:rsid w:val="00244280"/>
    <w:rsid w:val="00255D41"/>
    <w:rsid w:val="0026215C"/>
    <w:rsid w:val="002627D3"/>
    <w:rsid w:val="00266752"/>
    <w:rsid w:val="002671CD"/>
    <w:rsid w:val="00272C99"/>
    <w:rsid w:val="00276122"/>
    <w:rsid w:val="002800A8"/>
    <w:rsid w:val="002825EE"/>
    <w:rsid w:val="00285052"/>
    <w:rsid w:val="002A1C71"/>
    <w:rsid w:val="002A5B70"/>
    <w:rsid w:val="002B191F"/>
    <w:rsid w:val="002C6FE9"/>
    <w:rsid w:val="002C7E17"/>
    <w:rsid w:val="002D3D8C"/>
    <w:rsid w:val="002F7666"/>
    <w:rsid w:val="002F7C16"/>
    <w:rsid w:val="003013D8"/>
    <w:rsid w:val="00304ADB"/>
    <w:rsid w:val="00307761"/>
    <w:rsid w:val="00307A02"/>
    <w:rsid w:val="00313B9E"/>
    <w:rsid w:val="003142F3"/>
    <w:rsid w:val="00314C15"/>
    <w:rsid w:val="0032024D"/>
    <w:rsid w:val="003337B0"/>
    <w:rsid w:val="00335BB2"/>
    <w:rsid w:val="00336F6A"/>
    <w:rsid w:val="003445FB"/>
    <w:rsid w:val="0034474D"/>
    <w:rsid w:val="00346502"/>
    <w:rsid w:val="0035335B"/>
    <w:rsid w:val="00353DA9"/>
    <w:rsid w:val="003558F1"/>
    <w:rsid w:val="00356744"/>
    <w:rsid w:val="00356CC7"/>
    <w:rsid w:val="00367017"/>
    <w:rsid w:val="003672AF"/>
    <w:rsid w:val="003810DD"/>
    <w:rsid w:val="003846F7"/>
    <w:rsid w:val="0039082F"/>
    <w:rsid w:val="003A5427"/>
    <w:rsid w:val="003A68E1"/>
    <w:rsid w:val="003A6CF0"/>
    <w:rsid w:val="003B170F"/>
    <w:rsid w:val="003B4B7A"/>
    <w:rsid w:val="003B4F02"/>
    <w:rsid w:val="003C0075"/>
    <w:rsid w:val="003C286E"/>
    <w:rsid w:val="003C5B74"/>
    <w:rsid w:val="003D1209"/>
    <w:rsid w:val="003D2BA3"/>
    <w:rsid w:val="003E0CB4"/>
    <w:rsid w:val="003E7BF0"/>
    <w:rsid w:val="003F02A4"/>
    <w:rsid w:val="003F249F"/>
    <w:rsid w:val="003F2D40"/>
    <w:rsid w:val="003F3A38"/>
    <w:rsid w:val="00406A10"/>
    <w:rsid w:val="00411B7C"/>
    <w:rsid w:val="00413BFC"/>
    <w:rsid w:val="00415BA6"/>
    <w:rsid w:val="00421155"/>
    <w:rsid w:val="00424452"/>
    <w:rsid w:val="00424EEC"/>
    <w:rsid w:val="004265F2"/>
    <w:rsid w:val="0043468F"/>
    <w:rsid w:val="00443802"/>
    <w:rsid w:val="00452157"/>
    <w:rsid w:val="004549A1"/>
    <w:rsid w:val="00467E05"/>
    <w:rsid w:val="004776F9"/>
    <w:rsid w:val="00481868"/>
    <w:rsid w:val="00492CE7"/>
    <w:rsid w:val="00493BA5"/>
    <w:rsid w:val="00494F10"/>
    <w:rsid w:val="004A0A23"/>
    <w:rsid w:val="004A1020"/>
    <w:rsid w:val="004A2515"/>
    <w:rsid w:val="004A2A47"/>
    <w:rsid w:val="004A34A2"/>
    <w:rsid w:val="004B1B99"/>
    <w:rsid w:val="004B7AA0"/>
    <w:rsid w:val="004D5C29"/>
    <w:rsid w:val="004E1CD8"/>
    <w:rsid w:val="004E7127"/>
    <w:rsid w:val="004F0955"/>
    <w:rsid w:val="004F4AD0"/>
    <w:rsid w:val="0050247D"/>
    <w:rsid w:val="00503559"/>
    <w:rsid w:val="005073C8"/>
    <w:rsid w:val="005076A2"/>
    <w:rsid w:val="00512239"/>
    <w:rsid w:val="00512BBA"/>
    <w:rsid w:val="0051513B"/>
    <w:rsid w:val="00517FCE"/>
    <w:rsid w:val="005271BF"/>
    <w:rsid w:val="005451C1"/>
    <w:rsid w:val="005462EA"/>
    <w:rsid w:val="00555A70"/>
    <w:rsid w:val="00556818"/>
    <w:rsid w:val="00556B6C"/>
    <w:rsid w:val="00557395"/>
    <w:rsid w:val="0055771C"/>
    <w:rsid w:val="00572FFF"/>
    <w:rsid w:val="005766FD"/>
    <w:rsid w:val="00581B63"/>
    <w:rsid w:val="00586539"/>
    <w:rsid w:val="00586AAF"/>
    <w:rsid w:val="00587AA4"/>
    <w:rsid w:val="005950D1"/>
    <w:rsid w:val="00595E45"/>
    <w:rsid w:val="00595EEA"/>
    <w:rsid w:val="005A242A"/>
    <w:rsid w:val="005A40AD"/>
    <w:rsid w:val="005A7208"/>
    <w:rsid w:val="005A792C"/>
    <w:rsid w:val="005B04C7"/>
    <w:rsid w:val="005B3BFF"/>
    <w:rsid w:val="005B3CB8"/>
    <w:rsid w:val="005B57F7"/>
    <w:rsid w:val="005B6CB1"/>
    <w:rsid w:val="005C3FDA"/>
    <w:rsid w:val="005D0997"/>
    <w:rsid w:val="005D1609"/>
    <w:rsid w:val="005D74CC"/>
    <w:rsid w:val="005E01B8"/>
    <w:rsid w:val="005F31E8"/>
    <w:rsid w:val="005F4715"/>
    <w:rsid w:val="005F4D24"/>
    <w:rsid w:val="005F61F7"/>
    <w:rsid w:val="0060107F"/>
    <w:rsid w:val="00601896"/>
    <w:rsid w:val="00612A77"/>
    <w:rsid w:val="00631D47"/>
    <w:rsid w:val="00632F01"/>
    <w:rsid w:val="0063400F"/>
    <w:rsid w:val="00635242"/>
    <w:rsid w:val="006376A1"/>
    <w:rsid w:val="006434BE"/>
    <w:rsid w:val="00643F3A"/>
    <w:rsid w:val="006511B6"/>
    <w:rsid w:val="00663CAA"/>
    <w:rsid w:val="00667FBB"/>
    <w:rsid w:val="006711E2"/>
    <w:rsid w:val="00677BB7"/>
    <w:rsid w:val="006853A2"/>
    <w:rsid w:val="006927FC"/>
    <w:rsid w:val="00692E70"/>
    <w:rsid w:val="006B2D76"/>
    <w:rsid w:val="006C3AA9"/>
    <w:rsid w:val="006D0255"/>
    <w:rsid w:val="006D0FD5"/>
    <w:rsid w:val="006D3219"/>
    <w:rsid w:val="006D38B8"/>
    <w:rsid w:val="006D3B99"/>
    <w:rsid w:val="006D67E5"/>
    <w:rsid w:val="006E0A06"/>
    <w:rsid w:val="006E2EFE"/>
    <w:rsid w:val="006E5A35"/>
    <w:rsid w:val="006F3591"/>
    <w:rsid w:val="00704901"/>
    <w:rsid w:val="00706922"/>
    <w:rsid w:val="00706A80"/>
    <w:rsid w:val="0070716D"/>
    <w:rsid w:val="0071103D"/>
    <w:rsid w:val="007206E5"/>
    <w:rsid w:val="007233F1"/>
    <w:rsid w:val="00731091"/>
    <w:rsid w:val="00735A33"/>
    <w:rsid w:val="00741DDC"/>
    <w:rsid w:val="00742599"/>
    <w:rsid w:val="00744849"/>
    <w:rsid w:val="00756E5A"/>
    <w:rsid w:val="00764C38"/>
    <w:rsid w:val="00765F5B"/>
    <w:rsid w:val="00771246"/>
    <w:rsid w:val="00777669"/>
    <w:rsid w:val="0078032E"/>
    <w:rsid w:val="00781688"/>
    <w:rsid w:val="00781B38"/>
    <w:rsid w:val="00783DDC"/>
    <w:rsid w:val="007841CD"/>
    <w:rsid w:val="00793230"/>
    <w:rsid w:val="007A0E19"/>
    <w:rsid w:val="007A0F6A"/>
    <w:rsid w:val="007A3A01"/>
    <w:rsid w:val="007B313E"/>
    <w:rsid w:val="007B33CE"/>
    <w:rsid w:val="007B501C"/>
    <w:rsid w:val="007B7842"/>
    <w:rsid w:val="007D321A"/>
    <w:rsid w:val="007D326F"/>
    <w:rsid w:val="007E3AC2"/>
    <w:rsid w:val="007E4F8D"/>
    <w:rsid w:val="008169D6"/>
    <w:rsid w:val="008216F7"/>
    <w:rsid w:val="008321E1"/>
    <w:rsid w:val="008335B5"/>
    <w:rsid w:val="00834CE1"/>
    <w:rsid w:val="008453AF"/>
    <w:rsid w:val="00854C65"/>
    <w:rsid w:val="00857063"/>
    <w:rsid w:val="00857781"/>
    <w:rsid w:val="008719DF"/>
    <w:rsid w:val="0087516D"/>
    <w:rsid w:val="008764FA"/>
    <w:rsid w:val="00883C35"/>
    <w:rsid w:val="008843FD"/>
    <w:rsid w:val="00885AD7"/>
    <w:rsid w:val="008910D3"/>
    <w:rsid w:val="0089751E"/>
    <w:rsid w:val="008A0609"/>
    <w:rsid w:val="008A67E2"/>
    <w:rsid w:val="008B5B69"/>
    <w:rsid w:val="008B5CDC"/>
    <w:rsid w:val="008C34FB"/>
    <w:rsid w:val="008C73C6"/>
    <w:rsid w:val="008C7910"/>
    <w:rsid w:val="008D2DDA"/>
    <w:rsid w:val="008D4339"/>
    <w:rsid w:val="008E1EC4"/>
    <w:rsid w:val="008E7C4A"/>
    <w:rsid w:val="008F0560"/>
    <w:rsid w:val="008F4A75"/>
    <w:rsid w:val="008F5D9D"/>
    <w:rsid w:val="00901505"/>
    <w:rsid w:val="00906AF3"/>
    <w:rsid w:val="00914745"/>
    <w:rsid w:val="00926D94"/>
    <w:rsid w:val="00935AFE"/>
    <w:rsid w:val="00943163"/>
    <w:rsid w:val="00947401"/>
    <w:rsid w:val="00950C5A"/>
    <w:rsid w:val="009551B2"/>
    <w:rsid w:val="0095669C"/>
    <w:rsid w:val="009629BC"/>
    <w:rsid w:val="00973E63"/>
    <w:rsid w:val="009747C5"/>
    <w:rsid w:val="00975CBA"/>
    <w:rsid w:val="0097762F"/>
    <w:rsid w:val="00981273"/>
    <w:rsid w:val="009828B5"/>
    <w:rsid w:val="00983BFC"/>
    <w:rsid w:val="009A136E"/>
    <w:rsid w:val="009A233A"/>
    <w:rsid w:val="009A745D"/>
    <w:rsid w:val="009B0939"/>
    <w:rsid w:val="009B3908"/>
    <w:rsid w:val="009B5F0A"/>
    <w:rsid w:val="009D0AC7"/>
    <w:rsid w:val="009D6531"/>
    <w:rsid w:val="009F0698"/>
    <w:rsid w:val="009F242B"/>
    <w:rsid w:val="009F4529"/>
    <w:rsid w:val="009F53A7"/>
    <w:rsid w:val="009F702B"/>
    <w:rsid w:val="00A00A63"/>
    <w:rsid w:val="00A00C37"/>
    <w:rsid w:val="00A026E8"/>
    <w:rsid w:val="00A04FBC"/>
    <w:rsid w:val="00A06627"/>
    <w:rsid w:val="00A1210B"/>
    <w:rsid w:val="00A1289A"/>
    <w:rsid w:val="00A157D6"/>
    <w:rsid w:val="00A2545F"/>
    <w:rsid w:val="00A25B52"/>
    <w:rsid w:val="00A30C23"/>
    <w:rsid w:val="00A33740"/>
    <w:rsid w:val="00A33B00"/>
    <w:rsid w:val="00A36930"/>
    <w:rsid w:val="00A372B5"/>
    <w:rsid w:val="00A46C04"/>
    <w:rsid w:val="00A5041B"/>
    <w:rsid w:val="00A56AF0"/>
    <w:rsid w:val="00A63F36"/>
    <w:rsid w:val="00A658AE"/>
    <w:rsid w:val="00A83E3E"/>
    <w:rsid w:val="00A83FA2"/>
    <w:rsid w:val="00A9294C"/>
    <w:rsid w:val="00A97C10"/>
    <w:rsid w:val="00A97E80"/>
    <w:rsid w:val="00AB305C"/>
    <w:rsid w:val="00AB4EE6"/>
    <w:rsid w:val="00AB7BD9"/>
    <w:rsid w:val="00AC225C"/>
    <w:rsid w:val="00AD3094"/>
    <w:rsid w:val="00AD5310"/>
    <w:rsid w:val="00AD716B"/>
    <w:rsid w:val="00AE2778"/>
    <w:rsid w:val="00AE4805"/>
    <w:rsid w:val="00B00CB6"/>
    <w:rsid w:val="00B11A62"/>
    <w:rsid w:val="00B1216D"/>
    <w:rsid w:val="00B13875"/>
    <w:rsid w:val="00B212D8"/>
    <w:rsid w:val="00B24C9A"/>
    <w:rsid w:val="00B26BB1"/>
    <w:rsid w:val="00B31672"/>
    <w:rsid w:val="00B35C26"/>
    <w:rsid w:val="00B35FBC"/>
    <w:rsid w:val="00B44E34"/>
    <w:rsid w:val="00B520F1"/>
    <w:rsid w:val="00B5408E"/>
    <w:rsid w:val="00B564C7"/>
    <w:rsid w:val="00B5764F"/>
    <w:rsid w:val="00B619B9"/>
    <w:rsid w:val="00B62EEE"/>
    <w:rsid w:val="00B660F0"/>
    <w:rsid w:val="00B66BF7"/>
    <w:rsid w:val="00B66D06"/>
    <w:rsid w:val="00B66F30"/>
    <w:rsid w:val="00B83334"/>
    <w:rsid w:val="00B850A6"/>
    <w:rsid w:val="00B90F73"/>
    <w:rsid w:val="00B94E0E"/>
    <w:rsid w:val="00B9537E"/>
    <w:rsid w:val="00B97102"/>
    <w:rsid w:val="00B97D45"/>
    <w:rsid w:val="00BA1609"/>
    <w:rsid w:val="00BB1DD1"/>
    <w:rsid w:val="00BB42B9"/>
    <w:rsid w:val="00BB641E"/>
    <w:rsid w:val="00BD0A1A"/>
    <w:rsid w:val="00BD2827"/>
    <w:rsid w:val="00BD3E90"/>
    <w:rsid w:val="00BD72C2"/>
    <w:rsid w:val="00BD762D"/>
    <w:rsid w:val="00BE317B"/>
    <w:rsid w:val="00BE7BA5"/>
    <w:rsid w:val="00BF2B91"/>
    <w:rsid w:val="00BF4CE0"/>
    <w:rsid w:val="00C0367C"/>
    <w:rsid w:val="00C05A14"/>
    <w:rsid w:val="00C13D6B"/>
    <w:rsid w:val="00C166D3"/>
    <w:rsid w:val="00C20F09"/>
    <w:rsid w:val="00C26DC1"/>
    <w:rsid w:val="00C31349"/>
    <w:rsid w:val="00C533E6"/>
    <w:rsid w:val="00C63EEC"/>
    <w:rsid w:val="00C6556F"/>
    <w:rsid w:val="00C66525"/>
    <w:rsid w:val="00C7052B"/>
    <w:rsid w:val="00C73B5C"/>
    <w:rsid w:val="00C81C65"/>
    <w:rsid w:val="00C824C4"/>
    <w:rsid w:val="00C8264F"/>
    <w:rsid w:val="00C85EE3"/>
    <w:rsid w:val="00C910D0"/>
    <w:rsid w:val="00CA2314"/>
    <w:rsid w:val="00CA4750"/>
    <w:rsid w:val="00CC4DD1"/>
    <w:rsid w:val="00CD0D99"/>
    <w:rsid w:val="00CD36FC"/>
    <w:rsid w:val="00CD50FC"/>
    <w:rsid w:val="00CD7DDD"/>
    <w:rsid w:val="00CE20FC"/>
    <w:rsid w:val="00CE46DC"/>
    <w:rsid w:val="00CE4D08"/>
    <w:rsid w:val="00CE4D0E"/>
    <w:rsid w:val="00CF4305"/>
    <w:rsid w:val="00CF5A3E"/>
    <w:rsid w:val="00D02A24"/>
    <w:rsid w:val="00D02F59"/>
    <w:rsid w:val="00D10AE2"/>
    <w:rsid w:val="00D113C3"/>
    <w:rsid w:val="00D151B6"/>
    <w:rsid w:val="00D2285B"/>
    <w:rsid w:val="00D25D6A"/>
    <w:rsid w:val="00D3379F"/>
    <w:rsid w:val="00D4175F"/>
    <w:rsid w:val="00D51600"/>
    <w:rsid w:val="00D62A71"/>
    <w:rsid w:val="00D71327"/>
    <w:rsid w:val="00D7784E"/>
    <w:rsid w:val="00D82B46"/>
    <w:rsid w:val="00D8341D"/>
    <w:rsid w:val="00DA2B51"/>
    <w:rsid w:val="00DA69C5"/>
    <w:rsid w:val="00DB187B"/>
    <w:rsid w:val="00DB251D"/>
    <w:rsid w:val="00DB3F8A"/>
    <w:rsid w:val="00DC4BC8"/>
    <w:rsid w:val="00DC6291"/>
    <w:rsid w:val="00DD1CE6"/>
    <w:rsid w:val="00DD4683"/>
    <w:rsid w:val="00DD474B"/>
    <w:rsid w:val="00DD559F"/>
    <w:rsid w:val="00E0210B"/>
    <w:rsid w:val="00E04673"/>
    <w:rsid w:val="00E07C86"/>
    <w:rsid w:val="00E158E7"/>
    <w:rsid w:val="00E27960"/>
    <w:rsid w:val="00E3095F"/>
    <w:rsid w:val="00E31689"/>
    <w:rsid w:val="00E45E0C"/>
    <w:rsid w:val="00E46A4E"/>
    <w:rsid w:val="00E5564A"/>
    <w:rsid w:val="00E568CD"/>
    <w:rsid w:val="00E72416"/>
    <w:rsid w:val="00E73BE6"/>
    <w:rsid w:val="00E74211"/>
    <w:rsid w:val="00E746FE"/>
    <w:rsid w:val="00E77E51"/>
    <w:rsid w:val="00E81056"/>
    <w:rsid w:val="00E8465D"/>
    <w:rsid w:val="00E91703"/>
    <w:rsid w:val="00E92160"/>
    <w:rsid w:val="00E96F90"/>
    <w:rsid w:val="00EA542E"/>
    <w:rsid w:val="00EB048F"/>
    <w:rsid w:val="00EB6688"/>
    <w:rsid w:val="00EC75DF"/>
    <w:rsid w:val="00ED1280"/>
    <w:rsid w:val="00ED58F4"/>
    <w:rsid w:val="00ED7496"/>
    <w:rsid w:val="00EE31F7"/>
    <w:rsid w:val="00EE6489"/>
    <w:rsid w:val="00EF04D1"/>
    <w:rsid w:val="00F00BC1"/>
    <w:rsid w:val="00F0119A"/>
    <w:rsid w:val="00F0218B"/>
    <w:rsid w:val="00F02ED9"/>
    <w:rsid w:val="00F2550F"/>
    <w:rsid w:val="00F33C9B"/>
    <w:rsid w:val="00F36083"/>
    <w:rsid w:val="00F41749"/>
    <w:rsid w:val="00F50825"/>
    <w:rsid w:val="00F50E98"/>
    <w:rsid w:val="00F55CA6"/>
    <w:rsid w:val="00F72634"/>
    <w:rsid w:val="00F779D2"/>
    <w:rsid w:val="00F77B2D"/>
    <w:rsid w:val="00F835CC"/>
    <w:rsid w:val="00F935B7"/>
    <w:rsid w:val="00FA5C43"/>
    <w:rsid w:val="00FB23CF"/>
    <w:rsid w:val="00FB564E"/>
    <w:rsid w:val="00FC32B1"/>
    <w:rsid w:val="00FC36F2"/>
    <w:rsid w:val="00FD713F"/>
    <w:rsid w:val="00FE06A6"/>
    <w:rsid w:val="00FE0701"/>
    <w:rsid w:val="00FF259B"/>
    <w:rsid w:val="00FF6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6BBC"/>
  <w15:chartTrackingRefBased/>
  <w15:docId w15:val="{581427CE-21C7-44ED-A377-FD13BB7F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6525"/>
    <w:rPr>
      <w:sz w:val="16"/>
      <w:szCs w:val="16"/>
    </w:rPr>
  </w:style>
  <w:style w:type="paragraph" w:styleId="CommentText">
    <w:name w:val="annotation text"/>
    <w:basedOn w:val="Normal"/>
    <w:link w:val="CommentTextChar"/>
    <w:uiPriority w:val="99"/>
    <w:semiHidden/>
    <w:unhideWhenUsed/>
    <w:rsid w:val="00C66525"/>
    <w:pPr>
      <w:spacing w:line="240" w:lineRule="auto"/>
    </w:pPr>
    <w:rPr>
      <w:sz w:val="20"/>
      <w:szCs w:val="20"/>
    </w:rPr>
  </w:style>
  <w:style w:type="character" w:customStyle="1" w:styleId="CommentTextChar">
    <w:name w:val="Comment Text Char"/>
    <w:basedOn w:val="DefaultParagraphFont"/>
    <w:link w:val="CommentText"/>
    <w:uiPriority w:val="99"/>
    <w:semiHidden/>
    <w:rsid w:val="00C66525"/>
    <w:rPr>
      <w:sz w:val="20"/>
      <w:szCs w:val="20"/>
    </w:rPr>
  </w:style>
  <w:style w:type="paragraph" w:styleId="CommentSubject">
    <w:name w:val="annotation subject"/>
    <w:basedOn w:val="CommentText"/>
    <w:next w:val="CommentText"/>
    <w:link w:val="CommentSubjectChar"/>
    <w:uiPriority w:val="99"/>
    <w:semiHidden/>
    <w:unhideWhenUsed/>
    <w:rsid w:val="00C66525"/>
    <w:rPr>
      <w:b/>
      <w:bCs/>
    </w:rPr>
  </w:style>
  <w:style w:type="character" w:customStyle="1" w:styleId="CommentSubjectChar">
    <w:name w:val="Comment Subject Char"/>
    <w:basedOn w:val="CommentTextChar"/>
    <w:link w:val="CommentSubject"/>
    <w:uiPriority w:val="99"/>
    <w:semiHidden/>
    <w:rsid w:val="00C66525"/>
    <w:rPr>
      <w:b/>
      <w:bCs/>
      <w:sz w:val="20"/>
      <w:szCs w:val="20"/>
    </w:rPr>
  </w:style>
  <w:style w:type="paragraph" w:styleId="BalloonText">
    <w:name w:val="Balloon Text"/>
    <w:basedOn w:val="Normal"/>
    <w:link w:val="BalloonTextChar"/>
    <w:uiPriority w:val="99"/>
    <w:semiHidden/>
    <w:unhideWhenUsed/>
    <w:rsid w:val="00C66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525"/>
    <w:rPr>
      <w:rFonts w:ascii="Segoe UI" w:hAnsi="Segoe UI" w:cs="Segoe UI"/>
      <w:sz w:val="18"/>
      <w:szCs w:val="18"/>
    </w:rPr>
  </w:style>
  <w:style w:type="paragraph" w:styleId="ListParagraph">
    <w:name w:val="List Paragraph"/>
    <w:basedOn w:val="Normal"/>
    <w:uiPriority w:val="34"/>
    <w:qFormat/>
    <w:rsid w:val="00883C35"/>
    <w:pPr>
      <w:ind w:left="720"/>
      <w:contextualSpacing/>
    </w:pPr>
  </w:style>
  <w:style w:type="paragraph" w:styleId="Revision">
    <w:name w:val="Revision"/>
    <w:hidden/>
    <w:uiPriority w:val="99"/>
    <w:semiHidden/>
    <w:rsid w:val="000E0831"/>
    <w:pPr>
      <w:spacing w:after="0" w:line="240" w:lineRule="auto"/>
    </w:pPr>
  </w:style>
  <w:style w:type="paragraph" w:styleId="Bibliography">
    <w:name w:val="Bibliography"/>
    <w:basedOn w:val="Normal"/>
    <w:next w:val="Normal"/>
    <w:uiPriority w:val="37"/>
    <w:unhideWhenUsed/>
    <w:rsid w:val="00A97C10"/>
    <w:pPr>
      <w:spacing w:after="240" w:line="240" w:lineRule="auto"/>
      <w:ind w:left="720" w:hanging="720"/>
    </w:pPr>
  </w:style>
  <w:style w:type="paragraph" w:styleId="NormalWeb">
    <w:name w:val="Normal (Web)"/>
    <w:basedOn w:val="Normal"/>
    <w:uiPriority w:val="99"/>
    <w:unhideWhenUsed/>
    <w:rsid w:val="00BB1DD1"/>
    <w:pPr>
      <w:spacing w:before="100" w:beforeAutospacing="1" w:after="100" w:afterAutospacing="1" w:line="240" w:lineRule="auto"/>
    </w:pPr>
    <w:rPr>
      <w:rFonts w:ascii="Times New Roman" w:eastAsiaTheme="minorEastAsia" w:hAnsi="Times New Roman" w:cs="Times New Roman"/>
      <w:sz w:val="24"/>
      <w:szCs w:val="24"/>
      <w:lang w:eastAsia="de-DE"/>
    </w:rPr>
  </w:style>
  <w:style w:type="table" w:styleId="TableGrid">
    <w:name w:val="Table Grid"/>
    <w:basedOn w:val="TableNormal"/>
    <w:uiPriority w:val="39"/>
    <w:rsid w:val="005B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72C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4805"/>
    <w:rPr>
      <w:b/>
      <w:bCs/>
    </w:rPr>
  </w:style>
  <w:style w:type="character" w:styleId="PlaceholderText">
    <w:name w:val="Placeholder Text"/>
    <w:basedOn w:val="DefaultParagraphFont"/>
    <w:uiPriority w:val="99"/>
    <w:semiHidden/>
    <w:rsid w:val="00756E5A"/>
    <w:rPr>
      <w:color w:val="808080"/>
    </w:rPr>
  </w:style>
  <w:style w:type="character" w:styleId="Hyperlink">
    <w:name w:val="Hyperlink"/>
    <w:basedOn w:val="DefaultParagraphFont"/>
    <w:uiPriority w:val="99"/>
    <w:unhideWhenUsed/>
    <w:rsid w:val="00ED7496"/>
    <w:rPr>
      <w:color w:val="0563C1" w:themeColor="hyperlink"/>
      <w:u w:val="single"/>
    </w:rPr>
  </w:style>
  <w:style w:type="character" w:styleId="UnresolvedMention">
    <w:name w:val="Unresolved Mention"/>
    <w:basedOn w:val="DefaultParagraphFont"/>
    <w:uiPriority w:val="99"/>
    <w:semiHidden/>
    <w:unhideWhenUsed/>
    <w:rsid w:val="00ED7496"/>
    <w:rPr>
      <w:color w:val="605E5C"/>
      <w:shd w:val="clear" w:color="auto" w:fill="E1DFDD"/>
    </w:rPr>
  </w:style>
  <w:style w:type="paragraph" w:customStyle="1" w:styleId="Default">
    <w:name w:val="Default"/>
    <w:rsid w:val="00901505"/>
    <w:pPr>
      <w:autoSpaceDE w:val="0"/>
      <w:autoSpaceDN w:val="0"/>
      <w:adjustRightInd w:val="0"/>
      <w:spacing w:after="0" w:line="240" w:lineRule="auto"/>
    </w:pPr>
    <w:rPr>
      <w:rFonts w:ascii="Arial" w:hAnsi="Arial" w:cs="Arial"/>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9362">
      <w:bodyDiv w:val="1"/>
      <w:marLeft w:val="0"/>
      <w:marRight w:val="0"/>
      <w:marTop w:val="0"/>
      <w:marBottom w:val="0"/>
      <w:divBdr>
        <w:top w:val="none" w:sz="0" w:space="0" w:color="auto"/>
        <w:left w:val="none" w:sz="0" w:space="0" w:color="auto"/>
        <w:bottom w:val="none" w:sz="0" w:space="0" w:color="auto"/>
        <w:right w:val="none" w:sz="0" w:space="0" w:color="auto"/>
      </w:divBdr>
    </w:div>
    <w:div w:id="40786103">
      <w:bodyDiv w:val="1"/>
      <w:marLeft w:val="0"/>
      <w:marRight w:val="0"/>
      <w:marTop w:val="0"/>
      <w:marBottom w:val="0"/>
      <w:divBdr>
        <w:top w:val="none" w:sz="0" w:space="0" w:color="auto"/>
        <w:left w:val="none" w:sz="0" w:space="0" w:color="auto"/>
        <w:bottom w:val="none" w:sz="0" w:space="0" w:color="auto"/>
        <w:right w:val="none" w:sz="0" w:space="0" w:color="auto"/>
      </w:divBdr>
    </w:div>
    <w:div w:id="82384259">
      <w:bodyDiv w:val="1"/>
      <w:marLeft w:val="0"/>
      <w:marRight w:val="0"/>
      <w:marTop w:val="0"/>
      <w:marBottom w:val="0"/>
      <w:divBdr>
        <w:top w:val="none" w:sz="0" w:space="0" w:color="auto"/>
        <w:left w:val="none" w:sz="0" w:space="0" w:color="auto"/>
        <w:bottom w:val="none" w:sz="0" w:space="0" w:color="auto"/>
        <w:right w:val="none" w:sz="0" w:space="0" w:color="auto"/>
      </w:divBdr>
    </w:div>
    <w:div w:id="144861005">
      <w:bodyDiv w:val="1"/>
      <w:marLeft w:val="0"/>
      <w:marRight w:val="0"/>
      <w:marTop w:val="0"/>
      <w:marBottom w:val="0"/>
      <w:divBdr>
        <w:top w:val="none" w:sz="0" w:space="0" w:color="auto"/>
        <w:left w:val="none" w:sz="0" w:space="0" w:color="auto"/>
        <w:bottom w:val="none" w:sz="0" w:space="0" w:color="auto"/>
        <w:right w:val="none" w:sz="0" w:space="0" w:color="auto"/>
      </w:divBdr>
    </w:div>
    <w:div w:id="265308214">
      <w:bodyDiv w:val="1"/>
      <w:marLeft w:val="0"/>
      <w:marRight w:val="0"/>
      <w:marTop w:val="0"/>
      <w:marBottom w:val="0"/>
      <w:divBdr>
        <w:top w:val="none" w:sz="0" w:space="0" w:color="auto"/>
        <w:left w:val="none" w:sz="0" w:space="0" w:color="auto"/>
        <w:bottom w:val="none" w:sz="0" w:space="0" w:color="auto"/>
        <w:right w:val="none" w:sz="0" w:space="0" w:color="auto"/>
      </w:divBdr>
    </w:div>
    <w:div w:id="324822829">
      <w:bodyDiv w:val="1"/>
      <w:marLeft w:val="0"/>
      <w:marRight w:val="0"/>
      <w:marTop w:val="0"/>
      <w:marBottom w:val="0"/>
      <w:divBdr>
        <w:top w:val="none" w:sz="0" w:space="0" w:color="auto"/>
        <w:left w:val="none" w:sz="0" w:space="0" w:color="auto"/>
        <w:bottom w:val="none" w:sz="0" w:space="0" w:color="auto"/>
        <w:right w:val="none" w:sz="0" w:space="0" w:color="auto"/>
      </w:divBdr>
    </w:div>
    <w:div w:id="463154437">
      <w:bodyDiv w:val="1"/>
      <w:marLeft w:val="0"/>
      <w:marRight w:val="0"/>
      <w:marTop w:val="0"/>
      <w:marBottom w:val="0"/>
      <w:divBdr>
        <w:top w:val="none" w:sz="0" w:space="0" w:color="auto"/>
        <w:left w:val="none" w:sz="0" w:space="0" w:color="auto"/>
        <w:bottom w:val="none" w:sz="0" w:space="0" w:color="auto"/>
        <w:right w:val="none" w:sz="0" w:space="0" w:color="auto"/>
      </w:divBdr>
    </w:div>
    <w:div w:id="560678251">
      <w:bodyDiv w:val="1"/>
      <w:marLeft w:val="0"/>
      <w:marRight w:val="0"/>
      <w:marTop w:val="0"/>
      <w:marBottom w:val="0"/>
      <w:divBdr>
        <w:top w:val="none" w:sz="0" w:space="0" w:color="auto"/>
        <w:left w:val="none" w:sz="0" w:space="0" w:color="auto"/>
        <w:bottom w:val="none" w:sz="0" w:space="0" w:color="auto"/>
        <w:right w:val="none" w:sz="0" w:space="0" w:color="auto"/>
      </w:divBdr>
    </w:div>
    <w:div w:id="572157923">
      <w:bodyDiv w:val="1"/>
      <w:marLeft w:val="0"/>
      <w:marRight w:val="0"/>
      <w:marTop w:val="0"/>
      <w:marBottom w:val="0"/>
      <w:divBdr>
        <w:top w:val="none" w:sz="0" w:space="0" w:color="auto"/>
        <w:left w:val="none" w:sz="0" w:space="0" w:color="auto"/>
        <w:bottom w:val="none" w:sz="0" w:space="0" w:color="auto"/>
        <w:right w:val="none" w:sz="0" w:space="0" w:color="auto"/>
      </w:divBdr>
    </w:div>
    <w:div w:id="585268572">
      <w:bodyDiv w:val="1"/>
      <w:marLeft w:val="0"/>
      <w:marRight w:val="0"/>
      <w:marTop w:val="0"/>
      <w:marBottom w:val="0"/>
      <w:divBdr>
        <w:top w:val="none" w:sz="0" w:space="0" w:color="auto"/>
        <w:left w:val="none" w:sz="0" w:space="0" w:color="auto"/>
        <w:bottom w:val="none" w:sz="0" w:space="0" w:color="auto"/>
        <w:right w:val="none" w:sz="0" w:space="0" w:color="auto"/>
      </w:divBdr>
    </w:div>
    <w:div w:id="604506390">
      <w:bodyDiv w:val="1"/>
      <w:marLeft w:val="0"/>
      <w:marRight w:val="0"/>
      <w:marTop w:val="0"/>
      <w:marBottom w:val="0"/>
      <w:divBdr>
        <w:top w:val="none" w:sz="0" w:space="0" w:color="auto"/>
        <w:left w:val="none" w:sz="0" w:space="0" w:color="auto"/>
        <w:bottom w:val="none" w:sz="0" w:space="0" w:color="auto"/>
        <w:right w:val="none" w:sz="0" w:space="0" w:color="auto"/>
      </w:divBdr>
    </w:div>
    <w:div w:id="802163432">
      <w:bodyDiv w:val="1"/>
      <w:marLeft w:val="0"/>
      <w:marRight w:val="0"/>
      <w:marTop w:val="0"/>
      <w:marBottom w:val="0"/>
      <w:divBdr>
        <w:top w:val="none" w:sz="0" w:space="0" w:color="auto"/>
        <w:left w:val="none" w:sz="0" w:space="0" w:color="auto"/>
        <w:bottom w:val="none" w:sz="0" w:space="0" w:color="auto"/>
        <w:right w:val="none" w:sz="0" w:space="0" w:color="auto"/>
      </w:divBdr>
    </w:div>
    <w:div w:id="864438084">
      <w:bodyDiv w:val="1"/>
      <w:marLeft w:val="0"/>
      <w:marRight w:val="0"/>
      <w:marTop w:val="0"/>
      <w:marBottom w:val="0"/>
      <w:divBdr>
        <w:top w:val="none" w:sz="0" w:space="0" w:color="auto"/>
        <w:left w:val="none" w:sz="0" w:space="0" w:color="auto"/>
        <w:bottom w:val="none" w:sz="0" w:space="0" w:color="auto"/>
        <w:right w:val="none" w:sz="0" w:space="0" w:color="auto"/>
      </w:divBdr>
    </w:div>
    <w:div w:id="865757293">
      <w:bodyDiv w:val="1"/>
      <w:marLeft w:val="0"/>
      <w:marRight w:val="0"/>
      <w:marTop w:val="0"/>
      <w:marBottom w:val="0"/>
      <w:divBdr>
        <w:top w:val="none" w:sz="0" w:space="0" w:color="auto"/>
        <w:left w:val="none" w:sz="0" w:space="0" w:color="auto"/>
        <w:bottom w:val="none" w:sz="0" w:space="0" w:color="auto"/>
        <w:right w:val="none" w:sz="0" w:space="0" w:color="auto"/>
      </w:divBdr>
    </w:div>
    <w:div w:id="867721274">
      <w:bodyDiv w:val="1"/>
      <w:marLeft w:val="0"/>
      <w:marRight w:val="0"/>
      <w:marTop w:val="0"/>
      <w:marBottom w:val="0"/>
      <w:divBdr>
        <w:top w:val="none" w:sz="0" w:space="0" w:color="auto"/>
        <w:left w:val="none" w:sz="0" w:space="0" w:color="auto"/>
        <w:bottom w:val="none" w:sz="0" w:space="0" w:color="auto"/>
        <w:right w:val="none" w:sz="0" w:space="0" w:color="auto"/>
      </w:divBdr>
    </w:div>
    <w:div w:id="871192305">
      <w:bodyDiv w:val="1"/>
      <w:marLeft w:val="0"/>
      <w:marRight w:val="0"/>
      <w:marTop w:val="0"/>
      <w:marBottom w:val="0"/>
      <w:divBdr>
        <w:top w:val="none" w:sz="0" w:space="0" w:color="auto"/>
        <w:left w:val="none" w:sz="0" w:space="0" w:color="auto"/>
        <w:bottom w:val="none" w:sz="0" w:space="0" w:color="auto"/>
        <w:right w:val="none" w:sz="0" w:space="0" w:color="auto"/>
      </w:divBdr>
    </w:div>
    <w:div w:id="919366721">
      <w:bodyDiv w:val="1"/>
      <w:marLeft w:val="0"/>
      <w:marRight w:val="0"/>
      <w:marTop w:val="0"/>
      <w:marBottom w:val="0"/>
      <w:divBdr>
        <w:top w:val="none" w:sz="0" w:space="0" w:color="auto"/>
        <w:left w:val="none" w:sz="0" w:space="0" w:color="auto"/>
        <w:bottom w:val="none" w:sz="0" w:space="0" w:color="auto"/>
        <w:right w:val="none" w:sz="0" w:space="0" w:color="auto"/>
      </w:divBdr>
    </w:div>
    <w:div w:id="921141139">
      <w:bodyDiv w:val="1"/>
      <w:marLeft w:val="0"/>
      <w:marRight w:val="0"/>
      <w:marTop w:val="0"/>
      <w:marBottom w:val="0"/>
      <w:divBdr>
        <w:top w:val="none" w:sz="0" w:space="0" w:color="auto"/>
        <w:left w:val="none" w:sz="0" w:space="0" w:color="auto"/>
        <w:bottom w:val="none" w:sz="0" w:space="0" w:color="auto"/>
        <w:right w:val="none" w:sz="0" w:space="0" w:color="auto"/>
      </w:divBdr>
    </w:div>
    <w:div w:id="960766623">
      <w:bodyDiv w:val="1"/>
      <w:marLeft w:val="0"/>
      <w:marRight w:val="0"/>
      <w:marTop w:val="0"/>
      <w:marBottom w:val="0"/>
      <w:divBdr>
        <w:top w:val="none" w:sz="0" w:space="0" w:color="auto"/>
        <w:left w:val="none" w:sz="0" w:space="0" w:color="auto"/>
        <w:bottom w:val="none" w:sz="0" w:space="0" w:color="auto"/>
        <w:right w:val="none" w:sz="0" w:space="0" w:color="auto"/>
      </w:divBdr>
    </w:div>
    <w:div w:id="1017539450">
      <w:bodyDiv w:val="1"/>
      <w:marLeft w:val="0"/>
      <w:marRight w:val="0"/>
      <w:marTop w:val="0"/>
      <w:marBottom w:val="0"/>
      <w:divBdr>
        <w:top w:val="none" w:sz="0" w:space="0" w:color="auto"/>
        <w:left w:val="none" w:sz="0" w:space="0" w:color="auto"/>
        <w:bottom w:val="none" w:sz="0" w:space="0" w:color="auto"/>
        <w:right w:val="none" w:sz="0" w:space="0" w:color="auto"/>
      </w:divBdr>
    </w:div>
    <w:div w:id="1097020612">
      <w:bodyDiv w:val="1"/>
      <w:marLeft w:val="0"/>
      <w:marRight w:val="0"/>
      <w:marTop w:val="0"/>
      <w:marBottom w:val="0"/>
      <w:divBdr>
        <w:top w:val="none" w:sz="0" w:space="0" w:color="auto"/>
        <w:left w:val="none" w:sz="0" w:space="0" w:color="auto"/>
        <w:bottom w:val="none" w:sz="0" w:space="0" w:color="auto"/>
        <w:right w:val="none" w:sz="0" w:space="0" w:color="auto"/>
      </w:divBdr>
    </w:div>
    <w:div w:id="1156263659">
      <w:bodyDiv w:val="1"/>
      <w:marLeft w:val="0"/>
      <w:marRight w:val="0"/>
      <w:marTop w:val="0"/>
      <w:marBottom w:val="0"/>
      <w:divBdr>
        <w:top w:val="none" w:sz="0" w:space="0" w:color="auto"/>
        <w:left w:val="none" w:sz="0" w:space="0" w:color="auto"/>
        <w:bottom w:val="none" w:sz="0" w:space="0" w:color="auto"/>
        <w:right w:val="none" w:sz="0" w:space="0" w:color="auto"/>
      </w:divBdr>
    </w:div>
    <w:div w:id="1214729713">
      <w:bodyDiv w:val="1"/>
      <w:marLeft w:val="0"/>
      <w:marRight w:val="0"/>
      <w:marTop w:val="0"/>
      <w:marBottom w:val="0"/>
      <w:divBdr>
        <w:top w:val="none" w:sz="0" w:space="0" w:color="auto"/>
        <w:left w:val="none" w:sz="0" w:space="0" w:color="auto"/>
        <w:bottom w:val="none" w:sz="0" w:space="0" w:color="auto"/>
        <w:right w:val="none" w:sz="0" w:space="0" w:color="auto"/>
      </w:divBdr>
    </w:div>
    <w:div w:id="1467316567">
      <w:bodyDiv w:val="1"/>
      <w:marLeft w:val="0"/>
      <w:marRight w:val="0"/>
      <w:marTop w:val="0"/>
      <w:marBottom w:val="0"/>
      <w:divBdr>
        <w:top w:val="none" w:sz="0" w:space="0" w:color="auto"/>
        <w:left w:val="none" w:sz="0" w:space="0" w:color="auto"/>
        <w:bottom w:val="none" w:sz="0" w:space="0" w:color="auto"/>
        <w:right w:val="none" w:sz="0" w:space="0" w:color="auto"/>
      </w:divBdr>
    </w:div>
    <w:div w:id="1518427591">
      <w:bodyDiv w:val="1"/>
      <w:marLeft w:val="0"/>
      <w:marRight w:val="0"/>
      <w:marTop w:val="0"/>
      <w:marBottom w:val="0"/>
      <w:divBdr>
        <w:top w:val="none" w:sz="0" w:space="0" w:color="auto"/>
        <w:left w:val="none" w:sz="0" w:space="0" w:color="auto"/>
        <w:bottom w:val="none" w:sz="0" w:space="0" w:color="auto"/>
        <w:right w:val="none" w:sz="0" w:space="0" w:color="auto"/>
      </w:divBdr>
    </w:div>
    <w:div w:id="1539272901">
      <w:bodyDiv w:val="1"/>
      <w:marLeft w:val="0"/>
      <w:marRight w:val="0"/>
      <w:marTop w:val="0"/>
      <w:marBottom w:val="0"/>
      <w:divBdr>
        <w:top w:val="none" w:sz="0" w:space="0" w:color="auto"/>
        <w:left w:val="none" w:sz="0" w:space="0" w:color="auto"/>
        <w:bottom w:val="none" w:sz="0" w:space="0" w:color="auto"/>
        <w:right w:val="none" w:sz="0" w:space="0" w:color="auto"/>
      </w:divBdr>
    </w:div>
    <w:div w:id="1591625056">
      <w:bodyDiv w:val="1"/>
      <w:marLeft w:val="0"/>
      <w:marRight w:val="0"/>
      <w:marTop w:val="0"/>
      <w:marBottom w:val="0"/>
      <w:divBdr>
        <w:top w:val="none" w:sz="0" w:space="0" w:color="auto"/>
        <w:left w:val="none" w:sz="0" w:space="0" w:color="auto"/>
        <w:bottom w:val="none" w:sz="0" w:space="0" w:color="auto"/>
        <w:right w:val="none" w:sz="0" w:space="0" w:color="auto"/>
      </w:divBdr>
    </w:div>
    <w:div w:id="1613855353">
      <w:bodyDiv w:val="1"/>
      <w:marLeft w:val="0"/>
      <w:marRight w:val="0"/>
      <w:marTop w:val="0"/>
      <w:marBottom w:val="0"/>
      <w:divBdr>
        <w:top w:val="none" w:sz="0" w:space="0" w:color="auto"/>
        <w:left w:val="none" w:sz="0" w:space="0" w:color="auto"/>
        <w:bottom w:val="none" w:sz="0" w:space="0" w:color="auto"/>
        <w:right w:val="none" w:sz="0" w:space="0" w:color="auto"/>
      </w:divBdr>
    </w:div>
    <w:div w:id="1668166678">
      <w:bodyDiv w:val="1"/>
      <w:marLeft w:val="0"/>
      <w:marRight w:val="0"/>
      <w:marTop w:val="0"/>
      <w:marBottom w:val="0"/>
      <w:divBdr>
        <w:top w:val="none" w:sz="0" w:space="0" w:color="auto"/>
        <w:left w:val="none" w:sz="0" w:space="0" w:color="auto"/>
        <w:bottom w:val="none" w:sz="0" w:space="0" w:color="auto"/>
        <w:right w:val="none" w:sz="0" w:space="0" w:color="auto"/>
      </w:divBdr>
    </w:div>
    <w:div w:id="1676374428">
      <w:bodyDiv w:val="1"/>
      <w:marLeft w:val="0"/>
      <w:marRight w:val="0"/>
      <w:marTop w:val="0"/>
      <w:marBottom w:val="0"/>
      <w:divBdr>
        <w:top w:val="none" w:sz="0" w:space="0" w:color="auto"/>
        <w:left w:val="none" w:sz="0" w:space="0" w:color="auto"/>
        <w:bottom w:val="none" w:sz="0" w:space="0" w:color="auto"/>
        <w:right w:val="none" w:sz="0" w:space="0" w:color="auto"/>
      </w:divBdr>
    </w:div>
    <w:div w:id="1730809242">
      <w:bodyDiv w:val="1"/>
      <w:marLeft w:val="0"/>
      <w:marRight w:val="0"/>
      <w:marTop w:val="0"/>
      <w:marBottom w:val="0"/>
      <w:divBdr>
        <w:top w:val="none" w:sz="0" w:space="0" w:color="auto"/>
        <w:left w:val="none" w:sz="0" w:space="0" w:color="auto"/>
        <w:bottom w:val="none" w:sz="0" w:space="0" w:color="auto"/>
        <w:right w:val="none" w:sz="0" w:space="0" w:color="auto"/>
      </w:divBdr>
    </w:div>
    <w:div w:id="1745761737">
      <w:bodyDiv w:val="1"/>
      <w:marLeft w:val="0"/>
      <w:marRight w:val="0"/>
      <w:marTop w:val="0"/>
      <w:marBottom w:val="0"/>
      <w:divBdr>
        <w:top w:val="none" w:sz="0" w:space="0" w:color="auto"/>
        <w:left w:val="none" w:sz="0" w:space="0" w:color="auto"/>
        <w:bottom w:val="none" w:sz="0" w:space="0" w:color="auto"/>
        <w:right w:val="none" w:sz="0" w:space="0" w:color="auto"/>
      </w:divBdr>
    </w:div>
    <w:div w:id="1767075461">
      <w:bodyDiv w:val="1"/>
      <w:marLeft w:val="0"/>
      <w:marRight w:val="0"/>
      <w:marTop w:val="0"/>
      <w:marBottom w:val="0"/>
      <w:divBdr>
        <w:top w:val="none" w:sz="0" w:space="0" w:color="auto"/>
        <w:left w:val="none" w:sz="0" w:space="0" w:color="auto"/>
        <w:bottom w:val="none" w:sz="0" w:space="0" w:color="auto"/>
        <w:right w:val="none" w:sz="0" w:space="0" w:color="auto"/>
      </w:divBdr>
    </w:div>
    <w:div w:id="1769276429">
      <w:bodyDiv w:val="1"/>
      <w:marLeft w:val="0"/>
      <w:marRight w:val="0"/>
      <w:marTop w:val="0"/>
      <w:marBottom w:val="0"/>
      <w:divBdr>
        <w:top w:val="none" w:sz="0" w:space="0" w:color="auto"/>
        <w:left w:val="none" w:sz="0" w:space="0" w:color="auto"/>
        <w:bottom w:val="none" w:sz="0" w:space="0" w:color="auto"/>
        <w:right w:val="none" w:sz="0" w:space="0" w:color="auto"/>
      </w:divBdr>
    </w:div>
    <w:div w:id="1861233311">
      <w:bodyDiv w:val="1"/>
      <w:marLeft w:val="0"/>
      <w:marRight w:val="0"/>
      <w:marTop w:val="0"/>
      <w:marBottom w:val="0"/>
      <w:divBdr>
        <w:top w:val="none" w:sz="0" w:space="0" w:color="auto"/>
        <w:left w:val="none" w:sz="0" w:space="0" w:color="auto"/>
        <w:bottom w:val="none" w:sz="0" w:space="0" w:color="auto"/>
        <w:right w:val="none" w:sz="0" w:space="0" w:color="auto"/>
      </w:divBdr>
    </w:div>
    <w:div w:id="2030259568">
      <w:bodyDiv w:val="1"/>
      <w:marLeft w:val="0"/>
      <w:marRight w:val="0"/>
      <w:marTop w:val="0"/>
      <w:marBottom w:val="0"/>
      <w:divBdr>
        <w:top w:val="none" w:sz="0" w:space="0" w:color="auto"/>
        <w:left w:val="none" w:sz="0" w:space="0" w:color="auto"/>
        <w:bottom w:val="none" w:sz="0" w:space="0" w:color="auto"/>
        <w:right w:val="none" w:sz="0" w:space="0" w:color="auto"/>
      </w:divBdr>
    </w:div>
    <w:div w:id="2105104829">
      <w:bodyDiv w:val="1"/>
      <w:marLeft w:val="0"/>
      <w:marRight w:val="0"/>
      <w:marTop w:val="0"/>
      <w:marBottom w:val="0"/>
      <w:divBdr>
        <w:top w:val="none" w:sz="0" w:space="0" w:color="auto"/>
        <w:left w:val="none" w:sz="0" w:space="0" w:color="auto"/>
        <w:bottom w:val="none" w:sz="0" w:space="0" w:color="auto"/>
        <w:right w:val="none" w:sz="0" w:space="0" w:color="auto"/>
      </w:divBdr>
    </w:div>
    <w:div w:id="21354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1C92E-AF65-4BAE-B5E0-68ACA9CC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44996</Words>
  <Characters>283475</Characters>
  <Application>Microsoft Office Word</Application>
  <DocSecurity>0</DocSecurity>
  <Lines>2362</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Katherine</dc:creator>
  <cp:keywords/>
  <dc:description/>
  <cp:lastModifiedBy>Katherine Wolf</cp:lastModifiedBy>
  <cp:revision>306</cp:revision>
  <dcterms:created xsi:type="dcterms:W3CDTF">2019-05-09T02:08:00Z</dcterms:created>
  <dcterms:modified xsi:type="dcterms:W3CDTF">2019-05-12T12:39:00Z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id="5PqMUdEP"/&gt;&lt;style id="http://www.zotero.org/styles/environmental-health-perspectives"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value="true"/&gt;&lt;/prefs&gt;&lt;/data&gt;</vt:lpwstr>
  </property>
</Properties>
</file>