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60" w:after="280"/>
        <w:jc w:val="left"/>
        <w:pBdr>
          <w:bottom w:val="nil"/>
        </w:pBdr>
      </w:pPr>
      <w:r>
        <w:rPr>
          <w:rFonts w:ascii="Aptos Display" w:hAnsi="Aptos Display"/>
          <w:b/>
          <w:color w:val="000000"/>
          <w:sz w:val="48"/>
        </w:rPr>
        <w:t>Laboratorio 3 Servicio patrón stateful en AWS</w:t>
      </w:r>
    </w:p>
    <w:p>
      <w:pPr>
        <w:spacing w:before="0" w:after="520" w:line="269" w:lineRule="auto"/>
      </w:pPr>
      <w:r>
        <w:rPr>
          <w:rFonts w:ascii="Aptos" w:hAnsi="Aptos"/>
          <w:b w:val="0"/>
          <w:i w:val="0"/>
          <w:color w:val="000000"/>
          <w:sz w:val="28"/>
        </w:rPr>
        <w:t>Adaptación del ejercicio de Compute Engine a Amazon EC2 y EBS</w:t>
      </w:r>
    </w:p>
    <w:p>
      <w:pPr>
        <w:spacing w:before="0" w:after="60" w:line="269" w:lineRule="auto"/>
      </w:pPr>
      <w:r>
        <w:rPr>
          <w:rFonts w:ascii="Aptos" w:hAnsi="Aptos"/>
          <w:b/>
          <w:i w:val="0"/>
          <w:color w:val="000000"/>
          <w:sz w:val="24"/>
        </w:rPr>
        <w:t>Katherine Aguirre</w:t>
      </w:r>
    </w:p>
    <w:p>
      <w:pPr>
        <w:spacing w:before="0" w:after="60" w:line="269" w:lineRule="auto"/>
      </w:pPr>
      <w:r>
        <w:rPr>
          <w:rFonts w:ascii="Aptos" w:hAnsi="Aptos"/>
          <w:b w:val="0"/>
          <w:i w:val="0"/>
          <w:color w:val="000000"/>
          <w:sz w:val="22"/>
        </w:rPr>
        <w:t>Infraestructura Tecnológica para Inteligencia Artificial</w:t>
      </w:r>
    </w:p>
    <w:p>
      <w:pPr>
        <w:spacing w:before="0" w:after="60" w:line="269" w:lineRule="auto"/>
      </w:pPr>
      <w:r>
        <w:rPr>
          <w:rFonts w:ascii="Aptos" w:hAnsi="Aptos"/>
          <w:b w:val="0"/>
          <w:i w:val="0"/>
          <w:color w:val="000000"/>
          <w:sz w:val="21"/>
        </w:rPr>
        <w:t>Diplomatura en Desarrollo de Soluciones de Inteligencia Artificial Generativa en la Nube</w:t>
      </w:r>
    </w:p>
    <w:p>
      <w:pPr>
        <w:spacing w:before="0" w:after="60" w:line="269" w:lineRule="auto"/>
      </w:pPr>
      <w:r>
        <w:rPr>
          <w:rFonts w:ascii="Aptos" w:hAnsi="Aptos"/>
          <w:b w:val="0"/>
          <w:i w:val="0"/>
          <w:color w:val="000000"/>
          <w:sz w:val="21"/>
        </w:rPr>
        <w:t>Universidad Nacional de Luján</w:t>
      </w:r>
    </w:p>
    <w:p>
      <w:pPr>
        <w:spacing w:before="0" w:after="480" w:line="269" w:lineRule="auto"/>
      </w:pPr>
      <w:r>
        <w:rPr>
          <w:rFonts w:ascii="Aptos" w:hAnsi="Aptos"/>
          <w:b w:val="0"/>
          <w:i w:val="0"/>
          <w:color w:val="000000"/>
          <w:sz w:val="21"/>
        </w:rPr>
        <w:t>13 de octubre de 2026</w:t>
      </w:r>
    </w:p>
    <w:p>
      <w:pPr>
        <w:pStyle w:val="Heading2"/>
        <w:keepNext/>
        <w:spacing w:before="100" w:after="120"/>
      </w:pPr>
      <w:r>
        <w:rPr>
          <w:rFonts w:ascii="Aptos" w:hAnsi="Aptos"/>
          <w:b/>
          <w:color w:val="000000"/>
          <w:sz w:val="25"/>
        </w:rPr>
        <w:t>Resultado</w:t>
      </w:r>
    </w:p>
    <w:p>
      <w:pPr>
        <w:spacing w:before="0" w:after="120" w:line="269" w:lineRule="auto"/>
      </w:pPr>
      <w:r>
        <w:rPr>
          <w:rFonts w:ascii="Aptos" w:hAnsi="Aptos"/>
          <w:b w:val="0"/>
          <w:i w:val="0"/>
          <w:color w:val="000000"/>
          <w:sz w:val="21"/>
        </w:rPr>
        <w:t>El laboratorio se implementó en AWS con infraestructura como código. La instancia EC2 ejecutó el servicio patrón y Ollama, mientras que un volumen EBS independiente conservó los datos y los pesos. Las comprobaciones se realizaron sobre recursos reales en us-east-1; los identificadores de cuenta, instancia, volumen e IP pública fueron omitidos de esta entrega.</w:t>
      </w:r>
    </w:p>
    <w:p>
      <w:pPr>
        <w:pStyle w:val="Heading2"/>
        <w:keepNext/>
        <w:spacing w:before="100" w:after="120"/>
      </w:pPr>
      <w:r>
        <w:rPr>
          <w:rFonts w:ascii="Aptos" w:hAnsi="Aptos"/>
          <w:b/>
          <w:color w:val="000000"/>
          <w:sz w:val="25"/>
        </w:rPr>
        <w:t>Equivalencias usadas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744"/>
            <w:shd w:fill="17365D"/>
            <w:tcMar>
              <w:top w:w="110" w:type="dxa"/>
              <w:start w:w="120" w:type="dxa"/>
              <w:bottom w:w="110" w:type="dxa"/>
              <w:end w:w="120" w:type="dxa"/>
            </w:tcMar>
            <w:vAlign w:val="center"/>
          </w:tcPr>
          <w:p>
            <w:pPr>
              <w:spacing w:after="0"/>
              <w:jc w:val="center"/>
            </w:pPr>
            <w:r>
              <w:rPr>
                <w:rFonts w:ascii="Aptos" w:hAnsi="Aptos"/>
                <w:b/>
                <w:color w:val="FFFFFF"/>
                <w:sz w:val="18"/>
              </w:rPr>
              <w:t>Guía original</w:t>
            </w:r>
          </w:p>
        </w:tc>
        <w:tc>
          <w:tcPr>
            <w:tcW w:type="dxa" w:w="5544"/>
            <w:shd w:fill="17365D"/>
            <w:tcMar>
              <w:top w:w="110" w:type="dxa"/>
              <w:start w:w="120" w:type="dxa"/>
              <w:bottom w:w="110" w:type="dxa"/>
              <w:end w:w="120" w:type="dxa"/>
            </w:tcMar>
            <w:vAlign w:val="center"/>
          </w:tcPr>
          <w:p>
            <w:pPr>
              <w:spacing w:after="0"/>
              <w:jc w:val="center"/>
            </w:pPr>
            <w:r>
              <w:rPr>
                <w:rFonts w:ascii="Aptos" w:hAnsi="Aptos"/>
                <w:b/>
                <w:color w:val="FFFFFF"/>
                <w:sz w:val="18"/>
              </w:rPr>
              <w:t>Implementación en AWS</w:t>
            </w:r>
          </w:p>
        </w:tc>
      </w:tr>
      <w:tr>
        <w:tc>
          <w:tcPr>
            <w:tcW w:type="dxa" w:w="3744"/>
            <w:tcMar>
              <w:top w:w="110" w:type="dxa"/>
              <w:start w:w="120" w:type="dxa"/>
              <w:bottom w:w="110" w:type="dxa"/>
              <w:end w:w="120" w:type="dxa"/>
            </w:tcMar>
            <w:vAlign w:val="center"/>
          </w:tcPr>
          <w:p>
            <w:pPr>
              <w:spacing w:after="0" w:line="252" w:lineRule="auto"/>
              <w:jc w:val="left"/>
            </w:pPr>
            <w:r>
              <w:rPr>
                <w:rFonts w:ascii="Aptos" w:hAnsi="Aptos"/>
                <w:b w:val="0"/>
                <w:color w:val="000000"/>
                <w:sz w:val="18"/>
              </w:rPr>
              <w:t>Compute Engine</w:t>
            </w:r>
          </w:p>
        </w:tc>
        <w:tc>
          <w:tcPr>
            <w:tcW w:type="dxa" w:w="5544"/>
            <w:tcMar>
              <w:top w:w="110" w:type="dxa"/>
              <w:start w:w="120" w:type="dxa"/>
              <w:bottom w:w="110" w:type="dxa"/>
              <w:end w:w="120" w:type="dxa"/>
            </w:tcMar>
            <w:vAlign w:val="center"/>
          </w:tcPr>
          <w:p>
            <w:pPr>
              <w:spacing w:after="0" w:line="252" w:lineRule="auto"/>
            </w:pPr>
            <w:r>
              <w:rPr>
                <w:rFonts w:ascii="Aptos" w:hAnsi="Aptos"/>
                <w:b w:val="0"/>
                <w:color w:val="000000"/>
                <w:sz w:val="18"/>
              </w:rPr>
              <w:t>Amazon EC2 c7i-flex.large</w:t>
            </w:r>
          </w:p>
        </w:tc>
      </w:tr>
      <w:tr>
        <w:tc>
          <w:tcPr>
            <w:tcW w:type="dxa" w:w="374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Persistent Disk</w:t>
            </w:r>
          </w:p>
        </w:tc>
        <w:tc>
          <w:tcPr>
            <w:tcW w:type="dxa" w:w="554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Amazon EBS gp3 cifrado de 10 GiB</w:t>
            </w:r>
          </w:p>
        </w:tc>
      </w:tr>
      <w:tr>
        <w:tc>
          <w:tcPr>
            <w:tcW w:type="dxa" w:w="3744"/>
            <w:tcMar>
              <w:top w:w="110" w:type="dxa"/>
              <w:start w:w="120" w:type="dxa"/>
              <w:bottom w:w="110" w:type="dxa"/>
              <w:end w:w="120" w:type="dxa"/>
            </w:tcMar>
            <w:vAlign w:val="center"/>
          </w:tcPr>
          <w:p>
            <w:pPr>
              <w:spacing w:after="0" w:line="252" w:lineRule="auto"/>
              <w:jc w:val="left"/>
            </w:pPr>
            <w:r>
              <w:rPr>
                <w:rFonts w:ascii="Aptos" w:hAnsi="Aptos"/>
                <w:b w:val="0"/>
                <w:color w:val="000000"/>
                <w:sz w:val="18"/>
              </w:rPr>
              <w:t>Regla de firewall</w:t>
            </w:r>
          </w:p>
        </w:tc>
        <w:tc>
          <w:tcPr>
            <w:tcW w:type="dxa" w:w="5544"/>
            <w:tcMar>
              <w:top w:w="110" w:type="dxa"/>
              <w:start w:w="120" w:type="dxa"/>
              <w:bottom w:w="110" w:type="dxa"/>
              <w:end w:w="120" w:type="dxa"/>
            </w:tcMar>
            <w:vAlign w:val="center"/>
          </w:tcPr>
          <w:p>
            <w:pPr>
              <w:spacing w:after="0" w:line="252" w:lineRule="auto"/>
            </w:pPr>
            <w:r>
              <w:rPr>
                <w:rFonts w:ascii="Aptos" w:hAnsi="Aptos"/>
                <w:b w:val="0"/>
                <w:color w:val="000000"/>
                <w:sz w:val="18"/>
              </w:rPr>
              <w:t>Security group TCP 8080 restringido a /32</w:t>
            </w:r>
          </w:p>
        </w:tc>
      </w:tr>
      <w:tr>
        <w:tc>
          <w:tcPr>
            <w:tcW w:type="dxa" w:w="374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SSH</w:t>
            </w:r>
          </w:p>
        </w:tc>
        <w:tc>
          <w:tcPr>
            <w:tcW w:type="dxa" w:w="554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AWS Systems Manager Session Manager</w:t>
            </w:r>
          </w:p>
        </w:tc>
      </w:tr>
    </w:tbl>
    <w:p>
      <w:pPr>
        <w:spacing w:after="0"/>
      </w:pPr>
    </w:p>
    <w:p>
      <w:r>
        <w:br w:type="page"/>
      </w:r>
    </w:p>
    <w:p>
      <w:pPr>
        <w:pStyle w:val="Heading1"/>
        <w:keepNext/>
        <w:spacing w:before="160" w:after="120"/>
      </w:pPr>
      <w:r>
        <w:rPr>
          <w:rFonts w:ascii="Aptos" w:hAnsi="Aptos"/>
          <w:b/>
          <w:color w:val="000000"/>
          <w:sz w:val="32"/>
        </w:rPr>
        <w:t>Adaptación de la arquitectura de GCP a AWS</w:t>
      </w:r>
    </w:p>
    <w:p>
      <w:pPr>
        <w:spacing w:before="0" w:after="160" w:line="269" w:lineRule="auto"/>
      </w:pPr>
      <w:r>
        <w:rPr>
          <w:rFonts w:ascii="Aptos" w:hAnsi="Aptos"/>
          <w:b w:val="0"/>
          <w:i w:val="0"/>
          <w:color w:val="000000"/>
          <w:sz w:val="21"/>
        </w:rPr>
        <w:t>La guía original propone construir el laboratorio manualmente con gcloud para comprender cada pieza. En AWS se mantuvieron los mismos objetivos, pero la infraestructura se expresó con Terraform para que la creación, el reemplazo y la limpieza fueran repetibles y verificables.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800"/>
            <w:shd w:fill="17365D"/>
            <w:tcMar>
              <w:top w:w="110" w:type="dxa"/>
              <w:start w:w="120" w:type="dxa"/>
              <w:bottom w:w="110" w:type="dxa"/>
              <w:end w:w="120" w:type="dxa"/>
            </w:tcMar>
            <w:vAlign w:val="center"/>
          </w:tcPr>
          <w:p>
            <w:pPr>
              <w:spacing w:after="0"/>
              <w:jc w:val="center"/>
            </w:pPr>
            <w:r>
              <w:rPr>
                <w:rFonts w:ascii="Aptos" w:hAnsi="Aptos"/>
                <w:b/>
                <w:color w:val="FFFFFF"/>
                <w:sz w:val="18"/>
              </w:rPr>
              <w:t>Capa</w:t>
            </w:r>
          </w:p>
        </w:tc>
        <w:tc>
          <w:tcPr>
            <w:tcW w:type="dxa" w:w="3240"/>
            <w:shd w:fill="17365D"/>
            <w:tcMar>
              <w:top w:w="110" w:type="dxa"/>
              <w:start w:w="120" w:type="dxa"/>
              <w:bottom w:w="110" w:type="dxa"/>
              <w:end w:w="120" w:type="dxa"/>
            </w:tcMar>
            <w:vAlign w:val="center"/>
          </w:tcPr>
          <w:p>
            <w:pPr>
              <w:spacing w:after="0"/>
              <w:jc w:val="center"/>
            </w:pPr>
            <w:r>
              <w:rPr>
                <w:rFonts w:ascii="Aptos" w:hAnsi="Aptos"/>
                <w:b/>
                <w:color w:val="FFFFFF"/>
                <w:sz w:val="18"/>
              </w:rPr>
              <w:t>Guía original</w:t>
            </w:r>
          </w:p>
        </w:tc>
        <w:tc>
          <w:tcPr>
            <w:tcW w:type="dxa" w:w="4248"/>
            <w:shd w:fill="17365D"/>
            <w:tcMar>
              <w:top w:w="110" w:type="dxa"/>
              <w:start w:w="120" w:type="dxa"/>
              <w:bottom w:w="110" w:type="dxa"/>
              <w:end w:w="120" w:type="dxa"/>
            </w:tcMar>
            <w:vAlign w:val="center"/>
          </w:tcPr>
          <w:p>
            <w:pPr>
              <w:spacing w:after="0"/>
              <w:jc w:val="center"/>
            </w:pPr>
            <w:r>
              <w:rPr>
                <w:rFonts w:ascii="Aptos" w:hAnsi="Aptos"/>
                <w:b/>
                <w:color w:val="FFFFFF"/>
                <w:sz w:val="18"/>
              </w:rPr>
              <w:t>Implementación realizada</w:t>
            </w:r>
          </w:p>
        </w:tc>
      </w:tr>
      <w:tr>
        <w:tc>
          <w:tcPr>
            <w:tcW w:type="dxa" w:w="1800"/>
            <w:tcMar>
              <w:top w:w="110" w:type="dxa"/>
              <w:start w:w="120" w:type="dxa"/>
              <w:bottom w:w="110" w:type="dxa"/>
              <w:end w:w="120" w:type="dxa"/>
            </w:tcMar>
            <w:vAlign w:val="center"/>
          </w:tcPr>
          <w:p>
            <w:pPr>
              <w:spacing w:after="0" w:line="252" w:lineRule="auto"/>
              <w:jc w:val="left"/>
            </w:pPr>
            <w:r>
              <w:rPr>
                <w:rFonts w:ascii="Aptos" w:hAnsi="Aptos"/>
                <w:b w:val="0"/>
                <w:color w:val="000000"/>
                <w:sz w:val="18"/>
              </w:rPr>
              <w:t>Cómputo</w:t>
            </w:r>
          </w:p>
        </w:tc>
        <w:tc>
          <w:tcPr>
            <w:tcW w:type="dxa" w:w="3240"/>
            <w:tcMar>
              <w:top w:w="110" w:type="dxa"/>
              <w:start w:w="120" w:type="dxa"/>
              <w:bottom w:w="110" w:type="dxa"/>
              <w:end w:w="120" w:type="dxa"/>
            </w:tcMar>
            <w:vAlign w:val="center"/>
          </w:tcPr>
          <w:p>
            <w:pPr>
              <w:spacing w:after="0" w:line="252" w:lineRule="auto"/>
            </w:pPr>
            <w:r>
              <w:rPr>
                <w:rFonts w:ascii="Aptos" w:hAnsi="Aptos"/>
                <w:b w:val="0"/>
                <w:color w:val="000000"/>
                <w:sz w:val="18"/>
              </w:rPr>
              <w:t>Compute Engine e2-small/e2-medium</w:t>
            </w:r>
          </w:p>
        </w:tc>
        <w:tc>
          <w:tcPr>
            <w:tcW w:type="dxa" w:w="4248"/>
            <w:tcMar>
              <w:top w:w="110" w:type="dxa"/>
              <w:start w:w="120" w:type="dxa"/>
              <w:bottom w:w="110" w:type="dxa"/>
              <w:end w:w="120" w:type="dxa"/>
            </w:tcMar>
            <w:vAlign w:val="center"/>
          </w:tcPr>
          <w:p>
            <w:pPr>
              <w:spacing w:after="0" w:line="252" w:lineRule="auto"/>
            </w:pPr>
            <w:r>
              <w:rPr>
                <w:rFonts w:ascii="Aptos" w:hAnsi="Aptos"/>
                <w:b w:val="0"/>
                <w:color w:val="000000"/>
                <w:sz w:val="18"/>
              </w:rPr>
              <w:t>EC2 c7i-flex.large con Amazon Linux 2023</w:t>
            </w:r>
          </w:p>
        </w:tc>
      </w:tr>
      <w:tr>
        <w:tc>
          <w:tcPr>
            <w:tcW w:type="dxa" w:w="180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Datos</w:t>
            </w:r>
          </w:p>
        </w:tc>
        <w:tc>
          <w:tcPr>
            <w:tcW w:type="dxa" w:w="324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Persistent Disk separado</w:t>
            </w:r>
          </w:p>
        </w:tc>
        <w:tc>
          <w:tcPr>
            <w:tcW w:type="dxa" w:w="424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EBS gp3 cifrado de 10 GiB y ciclo de vida independiente</w:t>
            </w:r>
          </w:p>
        </w:tc>
      </w:tr>
      <w:tr>
        <w:tc>
          <w:tcPr>
            <w:tcW w:type="dxa" w:w="1800"/>
            <w:tcMar>
              <w:top w:w="110" w:type="dxa"/>
              <w:start w:w="120" w:type="dxa"/>
              <w:bottom w:w="110" w:type="dxa"/>
              <w:end w:w="120" w:type="dxa"/>
            </w:tcMar>
            <w:vAlign w:val="center"/>
          </w:tcPr>
          <w:p>
            <w:pPr>
              <w:spacing w:after="0" w:line="252" w:lineRule="auto"/>
              <w:jc w:val="left"/>
            </w:pPr>
            <w:r>
              <w:rPr>
                <w:rFonts w:ascii="Aptos" w:hAnsi="Aptos"/>
                <w:b w:val="0"/>
                <w:color w:val="000000"/>
                <w:sz w:val="18"/>
              </w:rPr>
              <w:t>Acceso</w:t>
            </w:r>
          </w:p>
        </w:tc>
        <w:tc>
          <w:tcPr>
            <w:tcW w:type="dxa" w:w="3240"/>
            <w:tcMar>
              <w:top w:w="110" w:type="dxa"/>
              <w:start w:w="120" w:type="dxa"/>
              <w:bottom w:w="110" w:type="dxa"/>
              <w:end w:w="120" w:type="dxa"/>
            </w:tcMar>
            <w:vAlign w:val="center"/>
          </w:tcPr>
          <w:p>
            <w:pPr>
              <w:spacing w:after="0" w:line="252" w:lineRule="auto"/>
            </w:pPr>
            <w:r>
              <w:rPr>
                <w:rFonts w:ascii="Aptos" w:hAnsi="Aptos"/>
                <w:b w:val="0"/>
                <w:color w:val="000000"/>
                <w:sz w:val="18"/>
              </w:rPr>
              <w:t>gcloud compute ssh</w:t>
            </w:r>
          </w:p>
        </w:tc>
        <w:tc>
          <w:tcPr>
            <w:tcW w:type="dxa" w:w="4248"/>
            <w:tcMar>
              <w:top w:w="110" w:type="dxa"/>
              <w:start w:w="120" w:type="dxa"/>
              <w:bottom w:w="110" w:type="dxa"/>
              <w:end w:w="120" w:type="dxa"/>
            </w:tcMar>
            <w:vAlign w:val="center"/>
          </w:tcPr>
          <w:p>
            <w:pPr>
              <w:spacing w:after="0" w:line="252" w:lineRule="auto"/>
            </w:pPr>
            <w:r>
              <w:rPr>
                <w:rFonts w:ascii="Aptos" w:hAnsi="Aptos"/>
                <w:b w:val="0"/>
                <w:color w:val="000000"/>
                <w:sz w:val="18"/>
              </w:rPr>
              <w:t>Systems Manager con rol y perfil IAM; sin publicar SSH</w:t>
            </w:r>
          </w:p>
        </w:tc>
      </w:tr>
      <w:tr>
        <w:tc>
          <w:tcPr>
            <w:tcW w:type="dxa" w:w="180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Red</w:t>
            </w:r>
          </w:p>
        </w:tc>
        <w:tc>
          <w:tcPr>
            <w:tcW w:type="dxa" w:w="324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Regla de firewall por tag</w:t>
            </w:r>
          </w:p>
        </w:tc>
        <w:tc>
          <w:tcPr>
            <w:tcW w:type="dxa" w:w="424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Security group dedicado, TCP 8080 limitado a una IPv4 /32</w:t>
            </w:r>
          </w:p>
        </w:tc>
      </w:tr>
      <w:tr>
        <w:tc>
          <w:tcPr>
            <w:tcW w:type="dxa" w:w="1800"/>
            <w:tcMar>
              <w:top w:w="110" w:type="dxa"/>
              <w:start w:w="120" w:type="dxa"/>
              <w:bottom w:w="110" w:type="dxa"/>
              <w:end w:w="120" w:type="dxa"/>
            </w:tcMar>
            <w:vAlign w:val="center"/>
          </w:tcPr>
          <w:p>
            <w:pPr>
              <w:spacing w:after="0" w:line="252" w:lineRule="auto"/>
              <w:jc w:val="left"/>
            </w:pPr>
            <w:r>
              <w:rPr>
                <w:rFonts w:ascii="Aptos" w:hAnsi="Aptos"/>
                <w:b w:val="0"/>
                <w:color w:val="000000"/>
                <w:sz w:val="18"/>
              </w:rPr>
              <w:t>Arranque</w:t>
            </w:r>
          </w:p>
        </w:tc>
        <w:tc>
          <w:tcPr>
            <w:tcW w:type="dxa" w:w="3240"/>
            <w:tcMar>
              <w:top w:w="110" w:type="dxa"/>
              <w:start w:w="120" w:type="dxa"/>
              <w:bottom w:w="110" w:type="dxa"/>
              <w:end w:w="120" w:type="dxa"/>
            </w:tcMar>
            <w:vAlign w:val="center"/>
          </w:tcPr>
          <w:p>
            <w:pPr>
              <w:spacing w:after="0" w:line="252" w:lineRule="auto"/>
            </w:pPr>
            <w:r>
              <w:rPr>
                <w:rFonts w:ascii="Aptos" w:hAnsi="Aptos"/>
                <w:b w:val="0"/>
                <w:color w:val="000000"/>
                <w:sz w:val="18"/>
              </w:rPr>
              <w:t>startup-script en metadata</w:t>
            </w:r>
          </w:p>
        </w:tc>
        <w:tc>
          <w:tcPr>
            <w:tcW w:type="dxa" w:w="4248"/>
            <w:tcMar>
              <w:top w:w="110" w:type="dxa"/>
              <w:start w:w="120" w:type="dxa"/>
              <w:bottom w:w="110" w:type="dxa"/>
              <w:end w:w="120" w:type="dxa"/>
            </w:tcMar>
            <w:vAlign w:val="center"/>
          </w:tcPr>
          <w:p>
            <w:pPr>
              <w:spacing w:after="0" w:line="252" w:lineRule="auto"/>
            </w:pPr>
            <w:r>
              <w:rPr>
                <w:rFonts w:ascii="Aptos" w:hAnsi="Aptos"/>
                <w:b w:val="0"/>
                <w:color w:val="000000"/>
                <w:sz w:val="18"/>
              </w:rPr>
              <w:t>user_data de EC2 generado desde user-data.sh.tftpl</w:t>
            </w:r>
          </w:p>
        </w:tc>
      </w:tr>
      <w:tr>
        <w:tc>
          <w:tcPr>
            <w:tcW w:type="dxa" w:w="180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Automatización</w:t>
            </w:r>
          </w:p>
        </w:tc>
        <w:tc>
          <w:tcPr>
            <w:tcW w:type="dxa" w:w="324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Comandos gcloud manuales</w:t>
            </w:r>
          </w:p>
        </w:tc>
        <w:tc>
          <w:tcPr>
            <w:tcW w:type="dxa" w:w="424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Plan guardado de Terraform, pruebas y aplicación controlada</w:t>
            </w:r>
          </w:p>
        </w:tc>
      </w:tr>
    </w:tbl>
    <w:p>
      <w:pPr>
        <w:spacing w:after="0"/>
      </w:pPr>
    </w:p>
    <w:p>
      <w:pPr>
        <w:pStyle w:val="Heading2"/>
        <w:keepNext/>
        <w:spacing w:before="100" w:after="120"/>
      </w:pPr>
      <w:r>
        <w:rPr>
          <w:rFonts w:ascii="Aptos" w:hAnsi="Aptos"/>
          <w:b/>
          <w:color w:val="000000"/>
          <w:sz w:val="25"/>
        </w:rPr>
        <w:t>Cómo se llegó a la solución</w:t>
      </w:r>
    </w:p>
    <w:p>
      <w:pPr>
        <w:spacing w:before="0" w:after="120" w:line="269" w:lineRule="auto"/>
      </w:pPr>
      <w:r>
        <w:rPr>
          <w:rFonts w:ascii="Aptos" w:hAnsi="Aptos"/>
          <w:b w:val="0"/>
          <w:i w:val="0"/>
          <w:color w:val="000000"/>
          <w:sz w:val="21"/>
        </w:rPr>
        <w:t>Primero se identificó la intención de cada comando de GCP: crear cómputo, separar el almacenamiento, limitar la red, instalar el runtime y demostrar persistencia. Después se modeló cada intención con un recurso equivalente de AWS. El entorno quedó en terraform/aws/envs/lab3, el módulo reutilizable en terraform/aws/modules/ec2-stateful y las validaciones en tests/lab3.tftest.hcl. Los ejemplos originales de GCP no fueron modificados.</w:t>
      </w:r>
    </w:p>
    <w:p>
      <w:pPr>
        <w:pStyle w:val="Heading2"/>
        <w:keepNext/>
        <w:spacing w:before="100" w:after="120"/>
      </w:pPr>
      <w:r>
        <w:rPr>
          <w:rFonts w:ascii="Aptos" w:hAnsi="Aptos"/>
          <w:b/>
          <w:color w:val="000000"/>
          <w:sz w:val="25"/>
        </w:rPr>
        <w:t>Decisión arquitectónica para Terraform en AWS</w:t>
      </w:r>
    </w:p>
    <w:p>
      <w:pPr>
        <w:spacing w:before="0" w:after="120" w:line="269" w:lineRule="auto"/>
      </w:pPr>
      <w:r>
        <w:rPr>
          <w:rFonts w:ascii="Aptos" w:hAnsi="Aptos"/>
          <w:b w:val="0"/>
          <w:i w:val="0"/>
          <w:color w:val="000000"/>
          <w:sz w:val="21"/>
        </w:rPr>
        <w:t>Terraform no era un requisito del Lab 3, cuya guía propone ejecutar comandos gcloud manualmente para comprender cada recurso. Sin embargo, el repositorio template de la cátedra ya incluía infraestructura como código con OpenTofu o Terraform para GCP a partir de la Clase 2. Por esa razón se reutilizó la misma convención al trasladar el ejercicio a AWS, en lugar de introducir un mecanismo de aprovisionamiento ajeno al repositorio.</w:t>
      </w:r>
    </w:p>
    <w:p>
      <w:pPr>
        <w:spacing w:before="0" w:after="120" w:line="269" w:lineRule="auto"/>
      </w:pPr>
      <w:r>
        <w:rPr>
          <w:rFonts w:ascii="Aptos" w:hAnsi="Aptos"/>
          <w:b w:val="0"/>
          <w:i w:val="0"/>
          <w:color w:val="000000"/>
          <w:sz w:val="21"/>
        </w:rPr>
        <w:t>La implementación de AWS se agregó bajo terraform/aws como un árbol paralelo, sin modificar los módulos originales de GCP. Esta decisión permitió revisar los cambios antes de aplicarlos, gestionar dependencias, repetir el despliegue y efectuar una limpieza controlada. Terraform administró los recursos de nube; user_data y las pruebas funcionales verificaron la configuración y los servicios dentro de la instancia.</w:t>
      </w:r>
    </w:p>
    <w:p>
      <w:r>
        <w:br w:type="page"/>
      </w:r>
    </w:p>
    <w:p>
      <w:pPr>
        <w:pStyle w:val="Heading1"/>
        <w:keepNext/>
        <w:spacing w:before="160" w:after="120"/>
      </w:pPr>
      <w:r>
        <w:rPr>
          <w:rFonts w:ascii="Aptos" w:hAnsi="Aptos"/>
          <w:b/>
          <w:color w:val="000000"/>
          <w:sz w:val="32"/>
        </w:rPr>
        <w:t>Parte 1 Equivalencias para VM y disco persistente</w:t>
      </w:r>
    </w:p>
    <w:p>
      <w:pPr>
        <w:spacing w:before="0" w:after="160" w:line="269" w:lineRule="auto"/>
      </w:pPr>
      <w:r>
        <w:rPr>
          <w:rFonts w:ascii="Aptos" w:hAnsi="Aptos"/>
          <w:b w:val="0"/>
          <w:i w:val="0"/>
          <w:color w:val="000000"/>
          <w:sz w:val="21"/>
        </w:rPr>
        <w:t>Estas equivalencias cubren las tres secciones de aprovisionamiento de la guía. Un solo plan de Terraform creó los recursos, mientras que user_data completó la preparación del sistema operativo.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008"/>
            <w:shd w:fill="17365D"/>
            <w:tcMar>
              <w:top w:w="110" w:type="dxa"/>
              <w:start w:w="120" w:type="dxa"/>
              <w:bottom w:w="110" w:type="dxa"/>
              <w:end w:w="120" w:type="dxa"/>
            </w:tcMar>
            <w:vAlign w:val="center"/>
          </w:tcPr>
          <w:p>
            <w:pPr>
              <w:spacing w:after="0"/>
              <w:jc w:val="center"/>
            </w:pPr>
            <w:r>
              <w:rPr>
                <w:rFonts w:ascii="Aptos" w:hAnsi="Aptos"/>
                <w:b/>
                <w:color w:val="FFFFFF"/>
                <w:sz w:val="18"/>
              </w:rPr>
              <w:t>Sección</w:t>
            </w:r>
          </w:p>
        </w:tc>
        <w:tc>
          <w:tcPr>
            <w:tcW w:type="dxa" w:w="5112"/>
            <w:shd w:fill="17365D"/>
            <w:tcMar>
              <w:top w:w="110" w:type="dxa"/>
              <w:start w:w="120" w:type="dxa"/>
              <w:bottom w:w="110" w:type="dxa"/>
              <w:end w:w="120" w:type="dxa"/>
            </w:tcMar>
            <w:vAlign w:val="center"/>
          </w:tcPr>
          <w:p>
            <w:pPr>
              <w:spacing w:after="0"/>
              <w:jc w:val="center"/>
            </w:pPr>
            <w:r>
              <w:rPr>
                <w:rFonts w:ascii="Aptos" w:hAnsi="Aptos"/>
                <w:b/>
                <w:color w:val="FFFFFF"/>
                <w:sz w:val="18"/>
              </w:rPr>
              <w:t>Guía GCP y equivalente ejecutado en AWS</w:t>
            </w:r>
          </w:p>
        </w:tc>
        <w:tc>
          <w:tcPr>
            <w:tcW w:type="dxa" w:w="3168"/>
            <w:shd w:fill="17365D"/>
            <w:tcMar>
              <w:top w:w="110" w:type="dxa"/>
              <w:start w:w="120" w:type="dxa"/>
              <w:bottom w:w="110" w:type="dxa"/>
              <w:end w:w="120" w:type="dxa"/>
            </w:tcMar>
            <w:vAlign w:val="center"/>
          </w:tcPr>
          <w:p>
            <w:pPr>
              <w:spacing w:after="0"/>
              <w:jc w:val="center"/>
            </w:pPr>
            <w:r>
              <w:rPr>
                <w:rFonts w:ascii="Aptos" w:hAnsi="Aptos"/>
                <w:b/>
                <w:color w:val="FFFFFF"/>
                <w:sz w:val="18"/>
              </w:rPr>
              <w:t>Criterio de adaptación</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1.1</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gcloud compute instances create ... --metadata=startup-script</w:t>
              <w:br/>
              <w:t>AWS: terraform plan -out=tfplan; terraform apply tfplan</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aws_instance creó la EC2; user_data instaló Docker, Git y utilidades sobre Amazon Linux 2023.</w:t>
            </w:r>
          </w:p>
        </w:tc>
      </w:tr>
      <w:tr>
        <w:tc>
          <w:tcPr>
            <w:tcW w:type="dxa" w:w="100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1.2</w:t>
            </w:r>
          </w:p>
        </w:tc>
        <w:tc>
          <w:tcPr>
            <w:tcW w:type="dxa" w:w="5112"/>
            <w:shd w:fill="EAF1F8"/>
            <w:tcMar>
              <w:top w:w="110" w:type="dxa"/>
              <w:start w:w="120" w:type="dxa"/>
              <w:bottom w:w="110" w:type="dxa"/>
              <w:end w:w="120" w:type="dxa"/>
            </w:tcMar>
            <w:vAlign w:val="center"/>
          </w:tcPr>
          <w:p>
            <w:pPr>
              <w:spacing w:after="0" w:line="252" w:lineRule="auto"/>
            </w:pPr>
            <w:r>
              <w:rPr>
                <w:rFonts w:ascii="Consolas" w:hAnsi="Consolas"/>
                <w:b w:val="0"/>
                <w:color w:val="000000"/>
                <w:sz w:val="16"/>
              </w:rPr>
              <w:t>GCP: gcloud compute disks create; gcloud compute instances attach-disk</w:t>
              <w:br/>
              <w:t>AWS: aws_ebs_volume + aws_volume_attachment dentro del mismo plan</w:t>
            </w:r>
          </w:p>
        </w:tc>
        <w:tc>
          <w:tcPr>
            <w:tcW w:type="dxa" w:w="316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El EBS quedó separado del disco raíz y no se reemplazó junto con la instancia.</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1.3</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gcloud compute ssh; mkfs.ext4; blkid; mount; editar /etc/fstab</w:t>
              <w:br/>
              <w:t>AWS: user_data ejecutó mkfs.ext4, obtuvo el UUID y escribió fstab; findmnt verificó el montaje</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Se conservó el montaje por UUID, pero se automatizó y se añadieron controles para no formatear un disco con datos.</w:t>
            </w:r>
          </w:p>
        </w:tc>
      </w:tr>
    </w:tbl>
    <w:p>
      <w:pPr>
        <w:spacing w:after="0"/>
      </w:pPr>
    </w:p>
    <w:p>
      <w:r>
        <w:br w:type="page"/>
      </w:r>
    </w:p>
    <w:p>
      <w:pPr>
        <w:pStyle w:val="Heading1"/>
        <w:keepNext/>
        <w:spacing w:before="160" w:after="120"/>
      </w:pPr>
      <w:r>
        <w:rPr>
          <w:rFonts w:ascii="Aptos" w:hAnsi="Aptos"/>
          <w:b/>
          <w:color w:val="000000"/>
          <w:sz w:val="32"/>
        </w:rPr>
        <w:t>Parte 2 Equivalencias para el servicio y la persistencia</w:t>
      </w:r>
    </w:p>
    <w:p>
      <w:pPr>
        <w:spacing w:before="0" w:after="160" w:line="269" w:lineRule="auto"/>
      </w:pPr>
      <w:r>
        <w:rPr>
          <w:rFonts w:ascii="Aptos" w:hAnsi="Aptos"/>
          <w:b w:val="0"/>
          <w:i w:val="0"/>
          <w:color w:val="000000"/>
          <w:sz w:val="21"/>
        </w:rPr>
        <w:t>El servicio patrón conservó el comportamiento de la guía. Los comandos Linux y Docker siguieron siendo válidos; cambiaron el acceso a la VM, la apertura de red y la forma de reemplazar la instancia.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008"/>
            <w:shd w:fill="17365D"/>
            <w:tcMar>
              <w:top w:w="110" w:type="dxa"/>
              <w:start w:w="120" w:type="dxa"/>
              <w:bottom w:w="110" w:type="dxa"/>
              <w:end w:w="120" w:type="dxa"/>
            </w:tcMar>
            <w:vAlign w:val="center"/>
          </w:tcPr>
          <w:p>
            <w:pPr>
              <w:spacing w:after="0"/>
              <w:jc w:val="center"/>
            </w:pPr>
            <w:r>
              <w:rPr>
                <w:rFonts w:ascii="Aptos" w:hAnsi="Aptos"/>
                <w:b/>
                <w:color w:val="FFFFFF"/>
                <w:sz w:val="18"/>
              </w:rPr>
              <w:t>Sección</w:t>
            </w:r>
          </w:p>
        </w:tc>
        <w:tc>
          <w:tcPr>
            <w:tcW w:type="dxa" w:w="5112"/>
            <w:shd w:fill="17365D"/>
            <w:tcMar>
              <w:top w:w="110" w:type="dxa"/>
              <w:start w:w="120" w:type="dxa"/>
              <w:bottom w:w="110" w:type="dxa"/>
              <w:end w:w="120" w:type="dxa"/>
            </w:tcMar>
            <w:vAlign w:val="center"/>
          </w:tcPr>
          <w:p>
            <w:pPr>
              <w:spacing w:after="0"/>
              <w:jc w:val="center"/>
            </w:pPr>
            <w:r>
              <w:rPr>
                <w:rFonts w:ascii="Aptos" w:hAnsi="Aptos"/>
                <w:b/>
                <w:color w:val="FFFFFF"/>
                <w:sz w:val="18"/>
              </w:rPr>
              <w:t>Guía GCP y equivalente ejecutado en AWS</w:t>
            </w:r>
          </w:p>
        </w:tc>
        <w:tc>
          <w:tcPr>
            <w:tcW w:type="dxa" w:w="3168"/>
            <w:shd w:fill="17365D"/>
            <w:tcMar>
              <w:top w:w="110" w:type="dxa"/>
              <w:start w:w="120" w:type="dxa"/>
              <w:bottom w:w="110" w:type="dxa"/>
              <w:end w:w="120" w:type="dxa"/>
            </w:tcMar>
            <w:vAlign w:val="center"/>
          </w:tcPr>
          <w:p>
            <w:pPr>
              <w:spacing w:after="0"/>
              <w:jc w:val="center"/>
            </w:pPr>
            <w:r>
              <w:rPr>
                <w:rFonts w:ascii="Aptos" w:hAnsi="Aptos"/>
                <w:b/>
                <w:color w:val="FFFFFF"/>
                <w:sz w:val="18"/>
              </w:rPr>
              <w:t>Criterio de adaptación</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2.1</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crear manualmente el servidor con /, /healthz y /metrics</w:t>
              <w:br/>
              <w:t>AWS: user_data clonó el repositorio y utilizó app/ con los mismos endpoints</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Se reutilizó el servicio patrón del template para concentrar la adaptación en la infraestructura.</w:t>
            </w:r>
          </w:p>
        </w:tc>
      </w:tr>
      <w:tr>
        <w:tc>
          <w:tcPr>
            <w:tcW w:type="dxa" w:w="100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2.2</w:t>
            </w:r>
          </w:p>
        </w:tc>
        <w:tc>
          <w:tcPr>
            <w:tcW w:type="dxa" w:w="5112"/>
            <w:shd w:fill="EAF1F8"/>
            <w:tcMar>
              <w:top w:w="110" w:type="dxa"/>
              <w:start w:w="120" w:type="dxa"/>
              <w:bottom w:w="110" w:type="dxa"/>
              <w:end w:w="120" w:type="dxa"/>
            </w:tcMar>
            <w:vAlign w:val="center"/>
          </w:tcPr>
          <w:p>
            <w:pPr>
              <w:spacing w:after="0" w:line="252" w:lineRule="auto"/>
            </w:pPr>
            <w:r>
              <w:rPr>
                <w:rFonts w:ascii="Consolas" w:hAnsi="Consolas"/>
                <w:b w:val="0"/>
                <w:color w:val="000000"/>
                <w:sz w:val="16"/>
              </w:rPr>
              <w:t>GCP: docker build; docker run -p 8080:8080 -v &lt;disco&gt;:/data</w:t>
              <w:br/>
              <w:t>AWS: docker build -t app:lab3 app; docker run -v /mnt/lab3-data/app:/data</w:t>
            </w:r>
          </w:p>
        </w:tc>
        <w:tc>
          <w:tcPr>
            <w:tcW w:type="dxa" w:w="316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El bind mount mantuvo el contador fuera de la capa descartable del contenedor.</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2.3</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gcloud compute firewall-rules create; curl http://&lt;IP&gt;:8080</w:t>
              <w:br/>
              <w:t>AWS: aws_vpc_security_group_ingress_rule; curl desde CloudShell</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Se publicó sólo TCP 8080 y únicamente para la IPv4 /32 de origen; SSH no quedó expuesto.</w:t>
            </w:r>
          </w:p>
        </w:tc>
      </w:tr>
      <w:tr>
        <w:tc>
          <w:tcPr>
            <w:tcW w:type="dxa" w:w="100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2.4</w:t>
            </w:r>
          </w:p>
        </w:tc>
        <w:tc>
          <w:tcPr>
            <w:tcW w:type="dxa" w:w="5112"/>
            <w:shd w:fill="EAF1F8"/>
            <w:tcMar>
              <w:top w:w="110" w:type="dxa"/>
              <w:start w:w="120" w:type="dxa"/>
              <w:bottom w:w="110" w:type="dxa"/>
              <w:end w:w="120" w:type="dxa"/>
            </w:tcMar>
            <w:vAlign w:val="center"/>
          </w:tcPr>
          <w:p>
            <w:pPr>
              <w:spacing w:after="0" w:line="252" w:lineRule="auto"/>
            </w:pPr>
            <w:r>
              <w:rPr>
                <w:rFonts w:ascii="Consolas" w:hAnsi="Consolas"/>
                <w:b w:val="0"/>
                <w:color w:val="000000"/>
                <w:sz w:val="16"/>
              </w:rPr>
              <w:t>GCP: curl; docker rm -f; docker run; curl</w:t>
              <w:br/>
              <w:t>AWS: los mismos comandos se ejecutaron por SSM sobre la EC2</w:t>
            </w:r>
          </w:p>
        </w:tc>
        <w:tc>
          <w:tcPr>
            <w:tcW w:type="dxa" w:w="316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Docker es independiente del proveedor. El valor persistente pasó de 6 a 7 al recrear el contenedor.</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2.5</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instances delete; disks describe; instances create --disk</w:t>
              <w:br/>
              <w:t>AWS: terraform plan -replace=module.lab3.aws_instance.this; terraform apply &lt;plan&gt;</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El plan mostró el EBS como no-op. La EC2 nueva heredó 7 y la primera consulta produjo 8.</w:t>
            </w:r>
          </w:p>
        </w:tc>
      </w:tr>
    </w:tbl>
    <w:p>
      <w:pPr>
        <w:spacing w:after="0"/>
      </w:pPr>
    </w:p>
    <w:p>
      <w:r>
        <w:br w:type="page"/>
      </w:r>
    </w:p>
    <w:p>
      <w:pPr>
        <w:pStyle w:val="Heading1"/>
        <w:keepNext/>
        <w:spacing w:before="160" w:after="120"/>
      </w:pPr>
      <w:r>
        <w:rPr>
          <w:rFonts w:ascii="Aptos" w:hAnsi="Aptos"/>
          <w:b/>
          <w:color w:val="000000"/>
          <w:sz w:val="32"/>
        </w:rPr>
        <w:t>Parte 3 Equivalencias para la carga de inteligencia artificial</w:t>
      </w:r>
    </w:p>
    <w:p>
      <w:pPr>
        <w:spacing w:before="0" w:after="160" w:line="269" w:lineRule="auto"/>
      </w:pPr>
      <w:r>
        <w:rPr>
          <w:rFonts w:ascii="Aptos" w:hAnsi="Aptos"/>
          <w:b w:val="0"/>
          <w:i w:val="0"/>
          <w:color w:val="000000"/>
          <w:sz w:val="21"/>
        </w:rPr>
        <w:t>La guía permite elegir el servidor de inferencia. Se eligió Ollama con llama3.2:1b porque ofrecía una carga reproducible en CPU y permitía almacenar los pesos en el mismo EBS persistente.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008"/>
            <w:shd w:fill="17365D"/>
            <w:tcMar>
              <w:top w:w="110" w:type="dxa"/>
              <w:start w:w="120" w:type="dxa"/>
              <w:bottom w:w="110" w:type="dxa"/>
              <w:end w:w="120" w:type="dxa"/>
            </w:tcMar>
            <w:vAlign w:val="center"/>
          </w:tcPr>
          <w:p>
            <w:pPr>
              <w:spacing w:after="0"/>
              <w:jc w:val="center"/>
            </w:pPr>
            <w:r>
              <w:rPr>
                <w:rFonts w:ascii="Aptos" w:hAnsi="Aptos"/>
                <w:b/>
                <w:color w:val="FFFFFF"/>
                <w:sz w:val="18"/>
              </w:rPr>
              <w:t>Sección</w:t>
            </w:r>
          </w:p>
        </w:tc>
        <w:tc>
          <w:tcPr>
            <w:tcW w:type="dxa" w:w="5112"/>
            <w:shd w:fill="17365D"/>
            <w:tcMar>
              <w:top w:w="110" w:type="dxa"/>
              <w:start w:w="120" w:type="dxa"/>
              <w:bottom w:w="110" w:type="dxa"/>
              <w:end w:w="120" w:type="dxa"/>
            </w:tcMar>
            <w:vAlign w:val="center"/>
          </w:tcPr>
          <w:p>
            <w:pPr>
              <w:spacing w:after="0"/>
              <w:jc w:val="center"/>
            </w:pPr>
            <w:r>
              <w:rPr>
                <w:rFonts w:ascii="Aptos" w:hAnsi="Aptos"/>
                <w:b/>
                <w:color w:val="FFFFFF"/>
                <w:sz w:val="18"/>
              </w:rPr>
              <w:t>Guía GCP y equivalente ejecutado en AWS</w:t>
            </w:r>
          </w:p>
        </w:tc>
        <w:tc>
          <w:tcPr>
            <w:tcW w:type="dxa" w:w="3168"/>
            <w:shd w:fill="17365D"/>
            <w:tcMar>
              <w:top w:w="110" w:type="dxa"/>
              <w:start w:w="120" w:type="dxa"/>
              <w:bottom w:w="110" w:type="dxa"/>
              <w:end w:w="120" w:type="dxa"/>
            </w:tcMar>
            <w:vAlign w:val="center"/>
          </w:tcPr>
          <w:p>
            <w:pPr>
              <w:spacing w:after="0"/>
              <w:jc w:val="center"/>
            </w:pPr>
            <w:r>
              <w:rPr>
                <w:rFonts w:ascii="Aptos" w:hAnsi="Aptos"/>
                <w:b/>
                <w:color w:val="FFFFFF"/>
                <w:sz w:val="18"/>
              </w:rPr>
              <w:t>Criterio de adaptación</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3.1</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elegir Ollama o un servidor propio con Transformers</w:t>
              <w:br/>
              <w:t>AWS: ollama/ollama:0.40.3 con llama3.2:1b</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La imagen y el modelo se fijaron explícitamente para repetir la prueba.</w:t>
            </w:r>
          </w:p>
        </w:tc>
      </w:tr>
      <w:tr>
        <w:tc>
          <w:tcPr>
            <w:tcW w:type="dxa" w:w="100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3.2</w:t>
            </w:r>
          </w:p>
        </w:tc>
        <w:tc>
          <w:tcPr>
            <w:tcW w:type="dxa" w:w="5112"/>
            <w:shd w:fill="EAF1F8"/>
            <w:tcMar>
              <w:top w:w="110" w:type="dxa"/>
              <w:start w:w="120" w:type="dxa"/>
              <w:bottom w:w="110" w:type="dxa"/>
              <w:end w:w="120" w:type="dxa"/>
            </w:tcMar>
            <w:vAlign w:val="center"/>
          </w:tcPr>
          <w:p>
            <w:pPr>
              <w:spacing w:after="0" w:line="252" w:lineRule="auto"/>
            </w:pPr>
            <w:r>
              <w:rPr>
                <w:rFonts w:ascii="Consolas" w:hAnsi="Consolas"/>
                <w:b w:val="0"/>
                <w:color w:val="000000"/>
                <w:sz w:val="16"/>
              </w:rPr>
              <w:t>GCP: docker run -v /mnt/disks/datos/ollama:/root/.ollama; ollama pull</w:t>
              <w:br/>
              <w:t>AWS: docker run -v /mnt/lab3-data/ollama:/root/.ollama; docker exec ollama ollama pull</w:t>
            </w:r>
          </w:p>
        </w:tc>
        <w:tc>
          <w:tcPr>
            <w:tcW w:type="dxa" w:w="316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Los pesos quedaron en EBS y sobrevivieron al reemplazo de la EC2.</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3.3</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diez curl a localhost:11434/api/generate con time_total</w:t>
              <w:br/>
              <w:t>AWS: el mismo benchmark se lanzó mediante SSM dentro de EC2</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El endpoint de Ollama permaneció en loopback; se midieron mínimo, máximo y promedio reales.</w:t>
            </w:r>
          </w:p>
        </w:tc>
      </w:tr>
      <w:tr>
        <w:tc>
          <w:tcPr>
            <w:tcW w:type="dxa" w:w="100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3.4</w:t>
            </w:r>
          </w:p>
        </w:tc>
        <w:tc>
          <w:tcPr>
            <w:tcW w:type="dxa" w:w="5112"/>
            <w:shd w:fill="EAF1F8"/>
            <w:tcMar>
              <w:top w:w="110" w:type="dxa"/>
              <w:start w:w="120" w:type="dxa"/>
              <w:bottom w:w="110" w:type="dxa"/>
              <w:end w:w="120" w:type="dxa"/>
            </w:tcMar>
            <w:vAlign w:val="center"/>
          </w:tcPr>
          <w:p>
            <w:pPr>
              <w:spacing w:after="0" w:line="252" w:lineRule="auto"/>
            </w:pPr>
            <w:r>
              <w:rPr>
                <w:rFonts w:ascii="Consolas" w:hAnsi="Consolas"/>
                <w:b w:val="0"/>
                <w:color w:val="000000"/>
                <w:sz w:val="16"/>
              </w:rPr>
              <w:t>GCP: analizar CPU frente a GPU según modelo, latencia y carga</w:t>
              <w:br/>
              <w:t>AWS: analizar c7i-flex.large, 2 vCPU, 4 GiB y diez solicitudes</w:t>
            </w:r>
          </w:p>
        </w:tc>
        <w:tc>
          <w:tcPr>
            <w:tcW w:type="dxa" w:w="316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CPU fue suficiente para el modelo 1B y una demo; GPU se reserva para modelos mayores o concurrencia.</w:t>
            </w:r>
          </w:p>
        </w:tc>
      </w:tr>
    </w:tbl>
    <w:p>
      <w:pPr>
        <w:spacing w:after="0"/>
      </w:pPr>
    </w:p>
    <w:p>
      <w:r>
        <w:br w:type="page"/>
      </w:r>
    </w:p>
    <w:p>
      <w:pPr>
        <w:pStyle w:val="Heading1"/>
        <w:keepNext/>
        <w:spacing w:before="160" w:after="120"/>
      </w:pPr>
      <w:r>
        <w:rPr>
          <w:rFonts w:ascii="Aptos" w:hAnsi="Aptos"/>
          <w:b/>
          <w:color w:val="000000"/>
          <w:sz w:val="32"/>
        </w:rPr>
        <w:t>Parte 4 Equivalencia para la limpieza</w:t>
      </w:r>
    </w:p>
    <w:p>
      <w:pPr>
        <w:spacing w:before="0" w:after="160" w:line="269" w:lineRule="auto"/>
      </w:pPr>
      <w:r>
        <w:rPr>
          <w:rFonts w:ascii="Aptos" w:hAnsi="Aptos"/>
          <w:b w:val="0"/>
          <w:i w:val="0"/>
          <w:color w:val="000000"/>
          <w:sz w:val="21"/>
        </w:rPr>
        <w:t>La limpieza mantuvo la intención de la guía: retirar todos los recursos del laboratorio y demostrar que no quedó infraestructura facturable propia del ejercicio.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008"/>
            <w:shd w:fill="17365D"/>
            <w:tcMar>
              <w:top w:w="110" w:type="dxa"/>
              <w:start w:w="120" w:type="dxa"/>
              <w:bottom w:w="110" w:type="dxa"/>
              <w:end w:w="120" w:type="dxa"/>
            </w:tcMar>
            <w:vAlign w:val="center"/>
          </w:tcPr>
          <w:p>
            <w:pPr>
              <w:spacing w:after="0"/>
              <w:jc w:val="center"/>
            </w:pPr>
            <w:r>
              <w:rPr>
                <w:rFonts w:ascii="Aptos" w:hAnsi="Aptos"/>
                <w:b/>
                <w:color w:val="FFFFFF"/>
                <w:sz w:val="18"/>
              </w:rPr>
              <w:t>Sección</w:t>
            </w:r>
          </w:p>
        </w:tc>
        <w:tc>
          <w:tcPr>
            <w:tcW w:type="dxa" w:w="5112"/>
            <w:shd w:fill="17365D"/>
            <w:tcMar>
              <w:top w:w="110" w:type="dxa"/>
              <w:start w:w="120" w:type="dxa"/>
              <w:bottom w:w="110" w:type="dxa"/>
              <w:end w:w="120" w:type="dxa"/>
            </w:tcMar>
            <w:vAlign w:val="center"/>
          </w:tcPr>
          <w:p>
            <w:pPr>
              <w:spacing w:after="0"/>
              <w:jc w:val="center"/>
            </w:pPr>
            <w:r>
              <w:rPr>
                <w:rFonts w:ascii="Aptos" w:hAnsi="Aptos"/>
                <w:b/>
                <w:color w:val="FFFFFF"/>
                <w:sz w:val="18"/>
              </w:rPr>
              <w:t>Guía GCP y equivalente ejecutado en AWS</w:t>
            </w:r>
          </w:p>
        </w:tc>
        <w:tc>
          <w:tcPr>
            <w:tcW w:type="dxa" w:w="3168"/>
            <w:shd w:fill="17365D"/>
            <w:tcMar>
              <w:top w:w="110" w:type="dxa"/>
              <w:start w:w="120" w:type="dxa"/>
              <w:bottom w:w="110" w:type="dxa"/>
              <w:end w:w="120" w:type="dxa"/>
            </w:tcMar>
            <w:vAlign w:val="center"/>
          </w:tcPr>
          <w:p>
            <w:pPr>
              <w:spacing w:after="0"/>
              <w:jc w:val="center"/>
            </w:pPr>
            <w:r>
              <w:rPr>
                <w:rFonts w:ascii="Aptos" w:hAnsi="Aptos"/>
                <w:b/>
                <w:color w:val="FFFFFF"/>
                <w:sz w:val="18"/>
              </w:rPr>
              <w:t>Criterio de adaptación</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4.1</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instances delete; disks delete; firewall-rules delete; list</w:t>
              <w:br/>
              <w:t>AWS: terraform plan -destroy -out=destroy.plan; terraform apply destroy.plan; AWS CLI describe/get</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Se respaldó el estado, se aplicó el plan guardado y se verificaron Terraform vacío y recursos inexistentes.</w:t>
            </w:r>
          </w:p>
        </w:tc>
      </w:tr>
    </w:tbl>
    <w:p>
      <w:pPr>
        <w:spacing w:after="0"/>
      </w:pPr>
    </w:p>
    <w:p>
      <w:pPr>
        <w:pStyle w:val="Heading2"/>
        <w:keepNext/>
        <w:spacing w:before="100" w:after="120"/>
      </w:pPr>
      <w:r>
        <w:rPr>
          <w:rFonts w:ascii="Aptos" w:hAnsi="Aptos"/>
          <w:b/>
          <w:color w:val="000000"/>
          <w:sz w:val="25"/>
        </w:rPr>
        <w:t>Resultado de la adaptación</w:t>
      </w:r>
    </w:p>
    <w:p>
      <w:pPr>
        <w:spacing w:before="0" w:after="120" w:line="269" w:lineRule="auto"/>
      </w:pPr>
      <w:r>
        <w:rPr>
          <w:rFonts w:ascii="Aptos" w:hAnsi="Aptos"/>
          <w:b w:val="0"/>
          <w:i w:val="0"/>
          <w:color w:val="000000"/>
          <w:sz w:val="21"/>
        </w:rPr>
        <w:t>La infraestructura se definió mediante un modelo declarativo de Terraform, especificando el estado final esperado de la instancia EC2, el volumen EBS y las reglas de red. En lugar de ejecutar manualmente una secuencia de comandos para crear, asociar y configurar cada recurso, la configuración describe cómo debe quedar la infraestructura.</w:t>
      </w:r>
    </w:p>
    <w:p>
      <w:pPr>
        <w:spacing w:before="0" w:after="120" w:line="269" w:lineRule="auto"/>
      </w:pPr>
      <w:r>
        <w:rPr>
          <w:rFonts w:ascii="Aptos" w:hAnsi="Aptos"/>
          <w:b w:val="0"/>
          <w:i w:val="0"/>
          <w:color w:val="000000"/>
          <w:sz w:val="21"/>
        </w:rPr>
        <w:t>Terraform comparó esa configuración con los recursos existentes en AWS, calculó las acciones necesarias y gestionó sus dependencias. El plan previo permitió revisar qué recursos se crearían, modificarían o eliminarían antes de aplicar los cambios.</w:t>
      </w:r>
    </w:p>
    <w:p>
      <w:pPr>
        <w:spacing w:before="0" w:after="120" w:line="269" w:lineRule="auto"/>
      </w:pPr>
      <w:r>
        <w:rPr>
          <w:rFonts w:ascii="Aptos" w:hAnsi="Aptos"/>
          <w:b w:val="0"/>
          <w:i w:val="0"/>
          <w:color w:val="000000"/>
          <w:sz w:val="21"/>
        </w:rPr>
        <w:t>Sin embargo, la declaración de infraestructura no garantiza por sí sola el funcionamiento de los servicios instalados dentro de la VM. Por ello, el despliegue se complementó con verificaciones funcionales de montaje, conectividad, persistencia e inferencia. En esta adaptación, SSM sustituyó el acceso por SSH y el volumen EBS se mantuvo con un ciclo de vida independiente de la instancia EC2.</w:t>
      </w:r>
    </w:p>
    <w:p>
      <w:r>
        <w:br w:type="page"/>
      </w:r>
    </w:p>
    <w:p>
      <w:pPr>
        <w:pStyle w:val="Heading1"/>
        <w:keepNext/>
        <w:spacing w:before="160" w:after="120"/>
      </w:pPr>
      <w:r>
        <w:rPr>
          <w:rFonts w:ascii="Aptos" w:hAnsi="Aptos"/>
          <w:b/>
          <w:color w:val="000000"/>
          <w:sz w:val="32"/>
        </w:rPr>
        <w:t>Entregable 1.1 Montaje persistente por UUID</w:t>
      </w:r>
    </w:p>
    <w:p>
      <w:pPr>
        <w:spacing w:before="0" w:after="160" w:line="269" w:lineRule="auto"/>
      </w:pPr>
      <w:r>
        <w:rPr>
          <w:rFonts w:ascii="Aptos" w:hAnsi="Aptos"/>
          <w:b w:val="0"/>
          <w:i w:val="0"/>
          <w:color w:val="000000"/>
          <w:sz w:val="21"/>
        </w:rPr>
        <w:t>Se verificó el volumen EBS separado del disco raíz, formateado como ext4 y montado en /mnt/lab3-data. La entrada de fstab usa el UUID estable del filesystem.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Comprobación</w:t>
            </w:r>
          </w:p>
        </w:tc>
        <w:tc>
          <w:tcPr>
            <w:tcW w:type="dxa" w:w="6264"/>
            <w:shd w:fill="17365D"/>
            <w:tcMar>
              <w:top w:w="110" w:type="dxa"/>
              <w:start w:w="120" w:type="dxa"/>
              <w:bottom w:w="110" w:type="dxa"/>
              <w:end w:w="120" w:type="dxa"/>
            </w:tcMar>
            <w:vAlign w:val="center"/>
          </w:tcPr>
          <w:p>
            <w:pPr>
              <w:spacing w:after="0"/>
              <w:jc w:val="center"/>
            </w:pPr>
            <w:r>
              <w:rPr>
                <w:rFonts w:ascii="Aptos" w:hAnsi="Aptos"/>
                <w:b/>
                <w:color w:val="FFFFFF"/>
                <w:sz w:val="18"/>
              </w:rPr>
              <w:t>Resultado verificado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Dispositivo de datos</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nvme1n1 · ext4 · 10 GiB</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Punto de montaje</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/mnt/lab3-data</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UUID</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01d17fc9-36d0-4cc4-b473-1f1a336a58c3</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fstab</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UUID=01d17fc9-36d0-4cc4-b473-1f1a336a58c3 /mnt/lab3-data ext4 defaults,x-systemd.device-timeout=10min 0 2</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Resultado</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Montado en lectura y escritura; 8 GiB disponibles al verificar</w:t>
            </w:r>
          </w:p>
        </w:tc>
      </w:tr>
    </w:tbl>
    <w:p>
      <w:pPr>
        <w:spacing w:after="0"/>
      </w:pPr>
    </w:p>
    <w:p>
      <w:pPr>
        <w:pStyle w:val="Heading2"/>
        <w:keepNext/>
        <w:spacing w:before="100" w:after="120"/>
      </w:pPr>
      <w:r>
        <w:rPr>
          <w:rFonts w:ascii="Aptos" w:hAnsi="Aptos"/>
          <w:b/>
          <w:color w:val="000000"/>
          <w:sz w:val="25"/>
        </w:rPr>
        <w:t>Interpretación</w:t>
      </w:r>
    </w:p>
    <w:p>
      <w:pPr>
        <w:spacing w:before="0" w:after="120" w:line="269" w:lineRule="auto"/>
      </w:pPr>
      <w:r>
        <w:rPr>
          <w:rFonts w:ascii="Aptos" w:hAnsi="Aptos"/>
          <w:b w:val="0"/>
          <w:i w:val="0"/>
          <w:color w:val="000000"/>
          <w:sz w:val="21"/>
        </w:rPr>
        <w:t>El nombre NVMe puede cambiar entre instancias, pero el UUID identifica el filesystem. La opción de timeout permite que systemd gestione la espera del dispositivo sin vincular el montaje a un nombre volátil.</w:t>
      </w:r>
    </w:p>
    <w:p>
      <w:r>
        <w:br w:type="page"/>
      </w:r>
    </w:p>
    <w:p>
      <w:pPr>
        <w:pStyle w:val="Heading1"/>
        <w:keepNext/>
        <w:spacing w:before="160" w:after="120"/>
      </w:pPr>
      <w:r>
        <w:rPr>
          <w:rFonts w:ascii="Aptos" w:hAnsi="Aptos"/>
          <w:b/>
          <w:color w:val="000000"/>
          <w:sz w:val="32"/>
        </w:rPr>
        <w:t>Entregable 2.1 Servicio y métricas desde fuera de EC2</w:t>
      </w:r>
    </w:p>
    <w:p>
      <w:pPr>
        <w:spacing w:before="0" w:after="160" w:line="269" w:lineRule="auto"/>
      </w:pPr>
      <w:r>
        <w:rPr>
          <w:rFonts w:ascii="Aptos" w:hAnsi="Aptos"/>
          <w:b w:val="0"/>
          <w:i w:val="0"/>
          <w:color w:val="000000"/>
          <w:sz w:val="21"/>
        </w:rPr>
        <w:t>Las consultas se ejecutaron desde AWS CloudShell, fuera de la instancia. El security group expuso únicamente TCP 8080 al origen /32 autorizado.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Comprobación</w:t>
            </w:r>
          </w:p>
        </w:tc>
        <w:tc>
          <w:tcPr>
            <w:tcW w:type="dxa" w:w="6264"/>
            <w:shd w:fill="17365D"/>
            <w:tcMar>
              <w:top w:w="110" w:type="dxa"/>
              <w:start w:w="120" w:type="dxa"/>
              <w:bottom w:w="110" w:type="dxa"/>
              <w:end w:w="120" w:type="dxa"/>
            </w:tcMar>
            <w:vAlign w:val="center"/>
          </w:tcPr>
          <w:p>
            <w:pPr>
              <w:spacing w:after="0"/>
              <w:jc w:val="center"/>
            </w:pPr>
            <w:r>
              <w:rPr>
                <w:rFonts w:ascii="Aptos" w:hAnsi="Aptos"/>
                <w:b/>
                <w:color w:val="FFFFFF"/>
                <w:sz w:val="18"/>
              </w:rPr>
              <w:t>Resultado verificado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GET /</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Servicio patrón activo. Visitas persistidas en disco: 2</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GET /metrics</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servicio_patron_hits_total 2.0</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GET /healthz</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{"status":"ok"}</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Exposición</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TCP 8080 limitado a la IPv4 /32 de CloudShell</w:t>
            </w:r>
          </w:p>
        </w:tc>
      </w:tr>
    </w:tbl>
    <w:p>
      <w:pPr>
        <w:spacing w:after="0"/>
      </w:pPr>
    </w:p>
    <w:p>
      <w:pPr>
        <w:pStyle w:val="Heading2"/>
        <w:keepNext/>
        <w:spacing w:before="100" w:after="120"/>
      </w:pPr>
      <w:r>
        <w:rPr>
          <w:rFonts w:ascii="Aptos" w:hAnsi="Aptos"/>
          <w:b/>
          <w:color w:val="000000"/>
          <w:sz w:val="25"/>
        </w:rPr>
        <w:t>Resultado</w:t>
      </w:r>
    </w:p>
    <w:p>
      <w:pPr>
        <w:spacing w:before="0" w:after="120" w:line="269" w:lineRule="auto"/>
      </w:pPr>
      <w:r>
        <w:rPr>
          <w:rFonts w:ascii="Aptos" w:hAnsi="Aptos"/>
          <w:b w:val="0"/>
          <w:i w:val="0"/>
          <w:color w:val="000000"/>
          <w:sz w:val="21"/>
        </w:rPr>
        <w:t>El valor del contador y la métrica Prometheus coincidieron. Esto prueba conectividad externa, funcionamiento HTTP y actualización de la métrica de negocio.</w:t>
      </w:r>
    </w:p>
    <w:p>
      <w:r>
        <w:br w:type="page"/>
      </w:r>
    </w:p>
    <w:p>
      <w:pPr>
        <w:pStyle w:val="Heading1"/>
        <w:keepNext/>
        <w:spacing w:before="160" w:after="120"/>
      </w:pPr>
      <w:r>
        <w:rPr>
          <w:rFonts w:ascii="Aptos" w:hAnsi="Aptos"/>
          <w:b/>
          <w:color w:val="000000"/>
          <w:sz w:val="32"/>
        </w:rPr>
        <w:t>Entregable 2.2 Persistencia al recrear el contenedor</w:t>
      </w:r>
    </w:p>
    <w:p>
      <w:pPr>
        <w:spacing w:before="0" w:after="160" w:line="269" w:lineRule="auto"/>
      </w:pPr>
      <w:r>
        <w:rPr>
          <w:rFonts w:ascii="Aptos" w:hAnsi="Aptos"/>
          <w:b w:val="0"/>
          <w:i w:val="0"/>
          <w:color w:val="000000"/>
          <w:sz w:val="21"/>
        </w:rPr>
        <w:t>Se incrementó el contador, se eliminó completamente el contenedor servicio-patron y se creó otro desde la misma imagen con el mismo bind mount de EBS.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Comprobación</w:t>
            </w:r>
          </w:p>
        </w:tc>
        <w:tc>
          <w:tcPr>
            <w:tcW w:type="dxa" w:w="6264"/>
            <w:shd w:fill="17365D"/>
            <w:tcMar>
              <w:top w:w="110" w:type="dxa"/>
              <w:start w:w="120" w:type="dxa"/>
              <w:bottom w:w="110" w:type="dxa"/>
              <w:end w:w="120" w:type="dxa"/>
            </w:tcMar>
            <w:vAlign w:val="center"/>
          </w:tcPr>
          <w:p>
            <w:pPr>
              <w:spacing w:after="0"/>
              <w:jc w:val="center"/>
            </w:pPr>
            <w:r>
              <w:rPr>
                <w:rFonts w:ascii="Aptos" w:hAnsi="Aptos"/>
                <w:b/>
                <w:color w:val="FFFFFF"/>
                <w:sz w:val="18"/>
              </w:rPr>
              <w:t>Resultado verificado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Valor antes de docker rm</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6</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Acción</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docker rm -f servicio-patron y docker run con /mnt/lab3-data/app:/data</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Valor después de recrear</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7</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Archivo persistente</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6 inmediatamente después de recrear; 7 después de la primera consulta</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Conclusión</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El contador continuó la secuencia y el contenedor quedó activo con el mismo bind mount.</w:t>
            </w:r>
          </w:p>
        </w:tc>
      </w:tr>
    </w:tbl>
    <w:p>
      <w:pPr>
        <w:spacing w:after="0"/>
      </w:pPr>
    </w:p>
    <w:p>
      <w:r>
        <w:br w:type="page"/>
      </w:r>
    </w:p>
    <w:p>
      <w:pPr>
        <w:pStyle w:val="Heading1"/>
        <w:keepNext/>
        <w:spacing w:before="160" w:after="120"/>
      </w:pPr>
      <w:r>
        <w:rPr>
          <w:rFonts w:ascii="Aptos" w:hAnsi="Aptos"/>
          <w:b/>
          <w:color w:val="000000"/>
          <w:sz w:val="32"/>
        </w:rPr>
        <w:t>Entregable 2.3 Persistencia al reemplazar la instancia</w:t>
      </w:r>
    </w:p>
    <w:p>
      <w:pPr>
        <w:spacing w:before="0" w:after="160" w:line="269" w:lineRule="auto"/>
      </w:pPr>
      <w:r>
        <w:rPr>
          <w:rFonts w:ascii="Aptos" w:hAnsi="Aptos"/>
          <w:b w:val="0"/>
          <w:i w:val="0"/>
          <w:color w:val="000000"/>
          <w:sz w:val="21"/>
        </w:rPr>
        <w:t>Terraform reemplazó EC2 y su asociación, pero conservó el volumen EBS como recurso no modificado. El bootstrap de la instancia nueva montó el mismo filesystem.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Comprobación</w:t>
            </w:r>
          </w:p>
        </w:tc>
        <w:tc>
          <w:tcPr>
            <w:tcW w:type="dxa" w:w="6264"/>
            <w:shd w:fill="17365D"/>
            <w:tcMar>
              <w:top w:w="110" w:type="dxa"/>
              <w:start w:w="120" w:type="dxa"/>
              <w:bottom w:w="110" w:type="dxa"/>
              <w:end w:w="120" w:type="dxa"/>
            </w:tcMar>
            <w:vAlign w:val="center"/>
          </w:tcPr>
          <w:p>
            <w:pPr>
              <w:spacing w:after="0"/>
              <w:jc w:val="center"/>
            </w:pPr>
            <w:r>
              <w:rPr>
                <w:rFonts w:ascii="Aptos" w:hAnsi="Aptos"/>
                <w:b/>
                <w:color w:val="FFFFFF"/>
                <w:sz w:val="18"/>
              </w:rPr>
              <w:t>Resultado verificado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Plan aplicado</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2 recursos agregados, 0 modificados y 2 destruidos</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Volumen EBS</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no-op y el mismo identificador antes y después</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Plan SHA-256</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59580ab1bf47ed513e9c0827beada1ea</w:t>
              <w:br/>
              <w:t>30f285da230b317ca8659f028c439d04</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Contador heredado</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7 en la EC2 nueva, antes de consultar el servicio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Primera consulta en EC2 nueva</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8 en la primera consulta</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Resultado</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El mismo EBS conservó el contador y el modelo; Terraform quedó sin cambios.</w:t>
            </w:r>
          </w:p>
        </w:tc>
      </w:tr>
    </w:tbl>
    <w:p>
      <w:pPr>
        <w:spacing w:after="0"/>
      </w:pPr>
    </w:p>
    <w:p>
      <w:pPr>
        <w:spacing w:before="0" w:after="120" w:line="269" w:lineRule="auto"/>
      </w:pPr>
      <w:r>
        <w:rPr>
          <w:rFonts w:ascii="Aptos" w:hAnsi="Aptos"/>
          <w:b w:val="0"/>
          <w:i w:val="0"/>
          <w:color w:val="000000"/>
          <w:sz w:val="21"/>
        </w:rPr>
        <w:t>Se utilizó un plan guardado y validado por hash. La indisponibilidad se limitó al reemplazo de la instancia y al tiempo de bootstrap.</w:t>
      </w:r>
    </w:p>
    <w:p>
      <w:r>
        <w:br w:type="page"/>
      </w:r>
    </w:p>
    <w:p>
      <w:pPr>
        <w:pStyle w:val="Heading1"/>
        <w:keepNext/>
        <w:spacing w:before="160" w:after="120"/>
      </w:pPr>
      <w:r>
        <w:rPr>
          <w:rFonts w:ascii="Aptos" w:hAnsi="Aptos"/>
          <w:b/>
          <w:color w:val="000000"/>
          <w:sz w:val="32"/>
        </w:rPr>
        <w:t>Entregable 3.1 Pesos del modelo en almacenamiento persistente</w:t>
      </w:r>
    </w:p>
    <w:p>
      <w:pPr>
        <w:spacing w:before="0" w:after="160" w:line="269" w:lineRule="auto"/>
      </w:pPr>
      <w:r>
        <w:rPr>
          <w:rFonts w:ascii="Aptos" w:hAnsi="Aptos"/>
          <w:b w:val="0"/>
          <w:i w:val="0"/>
          <w:color w:val="000000"/>
          <w:sz w:val="21"/>
        </w:rPr>
        <w:t>La carga de IA elegida fue Ollama 0.40.3 con llama3.2:1b. El directorio de modelos del contenedor se vinculó a /mnt/lab3-data/ollama.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Comprobación</w:t>
            </w:r>
          </w:p>
        </w:tc>
        <w:tc>
          <w:tcPr>
            <w:tcW w:type="dxa" w:w="6264"/>
            <w:shd w:fill="17365D"/>
            <w:tcMar>
              <w:top w:w="110" w:type="dxa"/>
              <w:start w:w="120" w:type="dxa"/>
              <w:bottom w:w="110" w:type="dxa"/>
              <w:end w:w="120" w:type="dxa"/>
            </w:tcMar>
            <w:vAlign w:val="center"/>
          </w:tcPr>
          <w:p>
            <w:pPr>
              <w:spacing w:after="0"/>
              <w:jc w:val="center"/>
            </w:pPr>
            <w:r>
              <w:rPr>
                <w:rFonts w:ascii="Aptos" w:hAnsi="Aptos"/>
                <w:b/>
                <w:color w:val="FFFFFF"/>
                <w:sz w:val="18"/>
              </w:rPr>
              <w:t>Resultado verificado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Runtime</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Ollama 0.40.3 en Docker</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Modelo</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llama3.2:1b</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Bind mount</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/mnt/lab3-data/ollama → /root/.ollama</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Uso medido</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1.3 GiB en /mnt/lab3-data/ollama</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Acceso</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API sólo en 127.0.0.1:11434 dentro de EC2</w:t>
            </w:r>
          </w:p>
        </w:tc>
      </w:tr>
    </w:tbl>
    <w:p>
      <w:pPr>
        <w:spacing w:after="0"/>
      </w:pPr>
    </w:p>
    <w:p>
      <w:pPr>
        <w:pStyle w:val="Heading2"/>
        <w:keepNext/>
        <w:spacing w:before="100" w:after="120"/>
      </w:pPr>
      <w:r>
        <w:rPr>
          <w:rFonts w:ascii="Aptos" w:hAnsi="Aptos"/>
          <w:b/>
          <w:color w:val="000000"/>
          <w:sz w:val="25"/>
        </w:rPr>
        <w:t>Resultado</w:t>
      </w:r>
    </w:p>
    <w:p>
      <w:pPr>
        <w:spacing w:before="0" w:after="120" w:line="269" w:lineRule="auto"/>
      </w:pPr>
      <w:r>
        <w:rPr>
          <w:rFonts w:ascii="Aptos" w:hAnsi="Aptos"/>
          <w:b w:val="0"/>
          <w:i w:val="0"/>
          <w:color w:val="000000"/>
          <w:sz w:val="21"/>
        </w:rPr>
        <w:t>Los pesos quedaron fuera de la capa efímera del contenedor. Recrear Ollama no exige volver a descargar el modelo mientras el EBS se conserve.</w:t>
      </w:r>
    </w:p>
    <w:p>
      <w:r>
        <w:br w:type="page"/>
      </w:r>
    </w:p>
    <w:p>
      <w:pPr>
        <w:pStyle w:val="Heading1"/>
        <w:keepNext/>
        <w:spacing w:before="160" w:after="120"/>
      </w:pPr>
      <w:r>
        <w:rPr>
          <w:rFonts w:ascii="Aptos" w:hAnsi="Aptos"/>
          <w:b/>
          <w:color w:val="000000"/>
          <w:sz w:val="32"/>
        </w:rPr>
        <w:t>Entregable 3.2 Latencia de inferencia en CPU</w:t>
      </w:r>
    </w:p>
    <w:p>
      <w:pPr>
        <w:spacing w:before="0" w:after="160" w:line="269" w:lineRule="auto"/>
      </w:pPr>
      <w:r>
        <w:rPr>
          <w:rFonts w:ascii="Aptos" w:hAnsi="Aptos"/>
          <w:b w:val="0"/>
          <w:i w:val="0"/>
          <w:color w:val="000000"/>
          <w:sz w:val="21"/>
        </w:rPr>
        <w:t>Se enviaron diez solicitudes consecutivas a /api/generate con stream=false y el mismo prompt. La instancia no tenía GPU.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880"/>
            <w:shd w:fill="17365D"/>
            <w:tcMar>
              <w:top w:w="110" w:type="dxa"/>
              <w:start w:w="120" w:type="dxa"/>
              <w:bottom w:w="110" w:type="dxa"/>
              <w:end w:w="120" w:type="dxa"/>
            </w:tcMar>
            <w:vAlign w:val="center"/>
          </w:tcPr>
          <w:p>
            <w:pPr>
              <w:spacing w:after="0"/>
              <w:jc w:val="center"/>
            </w:pPr>
            <w:r>
              <w:rPr>
                <w:rFonts w:ascii="Aptos" w:hAnsi="Aptos"/>
                <w:b/>
                <w:color w:val="FFFFFF"/>
                <w:sz w:val="18"/>
              </w:rPr>
              <w:t>Solicitud</w:t>
            </w:r>
          </w:p>
        </w:tc>
        <w:tc>
          <w:tcPr>
            <w:tcW w:type="dxa" w:w="3456"/>
            <w:shd w:fill="17365D"/>
            <w:tcMar>
              <w:top w:w="110" w:type="dxa"/>
              <w:start w:w="120" w:type="dxa"/>
              <w:bottom w:w="110" w:type="dxa"/>
              <w:end w:w="120" w:type="dxa"/>
            </w:tcMar>
            <w:vAlign w:val="center"/>
          </w:tcPr>
          <w:p>
            <w:pPr>
              <w:spacing w:after="0"/>
              <w:jc w:val="center"/>
            </w:pPr>
            <w:r>
              <w:rPr>
                <w:rFonts w:ascii="Aptos" w:hAnsi="Aptos"/>
                <w:b/>
                <w:color w:val="FFFFFF"/>
                <w:sz w:val="18"/>
              </w:rPr>
              <w:t>Latencia total</w:t>
            </w:r>
          </w:p>
        </w:tc>
      </w:tr>
      <w:tr>
        <w:tc>
          <w:tcPr>
            <w:tcW w:type="dxa" w:w="2880"/>
            <w:tcMar>
              <w:top w:w="110" w:type="dxa"/>
              <w:start w:w="120" w:type="dxa"/>
              <w:bottom w:w="110" w:type="dxa"/>
              <w:end w:w="120" w:type="dxa"/>
            </w:tcMar>
            <w:vAlign w:val="center"/>
          </w:tcPr>
          <w:p>
            <w:pPr>
              <w:spacing w:after="0" w:line="252" w:lineRule="auto"/>
              <w:jc w:val="left"/>
            </w:pPr>
            <w:r>
              <w:rPr>
                <w:rFonts w:ascii="Aptos" w:hAnsi="Aptos"/>
                <w:b w:val="0"/>
                <w:color w:val="000000"/>
                <w:sz w:val="18"/>
              </w:rPr>
              <w:t>1</w:t>
            </w:r>
          </w:p>
        </w:tc>
        <w:tc>
          <w:tcPr>
            <w:tcW w:type="dxa" w:w="3456"/>
            <w:tcMar>
              <w:top w:w="110" w:type="dxa"/>
              <w:start w:w="120" w:type="dxa"/>
              <w:bottom w:w="110" w:type="dxa"/>
              <w:end w:w="120" w:type="dxa"/>
            </w:tcMar>
            <w:vAlign w:val="center"/>
          </w:tcPr>
          <w:p>
            <w:pPr>
              <w:spacing w:after="0" w:line="252" w:lineRule="auto"/>
            </w:pPr>
            <w:r>
              <w:rPr>
                <w:rFonts w:ascii="Aptos" w:hAnsi="Aptos"/>
                <w:b w:val="0"/>
                <w:color w:val="000000"/>
                <w:sz w:val="18"/>
              </w:rPr>
              <w:t>12.449 s</w:t>
            </w:r>
          </w:p>
        </w:tc>
      </w:tr>
      <w:tr>
        <w:tc>
          <w:tcPr>
            <w:tcW w:type="dxa" w:w="288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2</w:t>
            </w:r>
          </w:p>
        </w:tc>
        <w:tc>
          <w:tcPr>
            <w:tcW w:type="dxa" w:w="3456"/>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4.022 s</w:t>
            </w:r>
          </w:p>
        </w:tc>
      </w:tr>
      <w:tr>
        <w:tc>
          <w:tcPr>
            <w:tcW w:type="dxa" w:w="2880"/>
            <w:tcMar>
              <w:top w:w="110" w:type="dxa"/>
              <w:start w:w="120" w:type="dxa"/>
              <w:bottom w:w="110" w:type="dxa"/>
              <w:end w:w="120" w:type="dxa"/>
            </w:tcMar>
            <w:vAlign w:val="center"/>
          </w:tcPr>
          <w:p>
            <w:pPr>
              <w:spacing w:after="0" w:line="252" w:lineRule="auto"/>
              <w:jc w:val="left"/>
            </w:pPr>
            <w:r>
              <w:rPr>
                <w:rFonts w:ascii="Aptos" w:hAnsi="Aptos"/>
                <w:b w:val="0"/>
                <w:color w:val="000000"/>
                <w:sz w:val="18"/>
              </w:rPr>
              <w:t>3</w:t>
            </w:r>
          </w:p>
        </w:tc>
        <w:tc>
          <w:tcPr>
            <w:tcW w:type="dxa" w:w="3456"/>
            <w:tcMar>
              <w:top w:w="110" w:type="dxa"/>
              <w:start w:w="120" w:type="dxa"/>
              <w:bottom w:w="110" w:type="dxa"/>
              <w:end w:w="120" w:type="dxa"/>
            </w:tcMar>
            <w:vAlign w:val="center"/>
          </w:tcPr>
          <w:p>
            <w:pPr>
              <w:spacing w:after="0" w:line="252" w:lineRule="auto"/>
            </w:pPr>
            <w:r>
              <w:rPr>
                <w:rFonts w:ascii="Aptos" w:hAnsi="Aptos"/>
                <w:b w:val="0"/>
                <w:color w:val="000000"/>
                <w:sz w:val="18"/>
              </w:rPr>
              <w:t>4.325 s</w:t>
            </w:r>
          </w:p>
        </w:tc>
      </w:tr>
      <w:tr>
        <w:tc>
          <w:tcPr>
            <w:tcW w:type="dxa" w:w="288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4</w:t>
            </w:r>
          </w:p>
        </w:tc>
        <w:tc>
          <w:tcPr>
            <w:tcW w:type="dxa" w:w="3456"/>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5.606 s</w:t>
            </w:r>
          </w:p>
        </w:tc>
      </w:tr>
      <w:tr>
        <w:tc>
          <w:tcPr>
            <w:tcW w:type="dxa" w:w="2880"/>
            <w:tcMar>
              <w:top w:w="110" w:type="dxa"/>
              <w:start w:w="120" w:type="dxa"/>
              <w:bottom w:w="110" w:type="dxa"/>
              <w:end w:w="120" w:type="dxa"/>
            </w:tcMar>
            <w:vAlign w:val="center"/>
          </w:tcPr>
          <w:p>
            <w:pPr>
              <w:spacing w:after="0" w:line="252" w:lineRule="auto"/>
              <w:jc w:val="left"/>
            </w:pPr>
            <w:r>
              <w:rPr>
                <w:rFonts w:ascii="Aptos" w:hAnsi="Aptos"/>
                <w:b w:val="0"/>
                <w:color w:val="000000"/>
                <w:sz w:val="18"/>
              </w:rPr>
              <w:t>5</w:t>
            </w:r>
          </w:p>
        </w:tc>
        <w:tc>
          <w:tcPr>
            <w:tcW w:type="dxa" w:w="3456"/>
            <w:tcMar>
              <w:top w:w="110" w:type="dxa"/>
              <w:start w:w="120" w:type="dxa"/>
              <w:bottom w:w="110" w:type="dxa"/>
              <w:end w:w="120" w:type="dxa"/>
            </w:tcMar>
            <w:vAlign w:val="center"/>
          </w:tcPr>
          <w:p>
            <w:pPr>
              <w:spacing w:after="0" w:line="252" w:lineRule="auto"/>
            </w:pPr>
            <w:r>
              <w:rPr>
                <w:rFonts w:ascii="Aptos" w:hAnsi="Aptos"/>
                <w:b w:val="0"/>
                <w:color w:val="000000"/>
                <w:sz w:val="18"/>
              </w:rPr>
              <w:t>8.403 s</w:t>
            </w:r>
          </w:p>
        </w:tc>
      </w:tr>
      <w:tr>
        <w:tc>
          <w:tcPr>
            <w:tcW w:type="dxa" w:w="288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6</w:t>
            </w:r>
          </w:p>
        </w:tc>
        <w:tc>
          <w:tcPr>
            <w:tcW w:type="dxa" w:w="3456"/>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6.981 s</w:t>
            </w:r>
          </w:p>
        </w:tc>
      </w:tr>
      <w:tr>
        <w:tc>
          <w:tcPr>
            <w:tcW w:type="dxa" w:w="2880"/>
            <w:tcMar>
              <w:top w:w="110" w:type="dxa"/>
              <w:start w:w="120" w:type="dxa"/>
              <w:bottom w:w="110" w:type="dxa"/>
              <w:end w:w="120" w:type="dxa"/>
            </w:tcMar>
            <w:vAlign w:val="center"/>
          </w:tcPr>
          <w:p>
            <w:pPr>
              <w:spacing w:after="0" w:line="252" w:lineRule="auto"/>
              <w:jc w:val="left"/>
            </w:pPr>
            <w:r>
              <w:rPr>
                <w:rFonts w:ascii="Aptos" w:hAnsi="Aptos"/>
                <w:b w:val="0"/>
                <w:color w:val="000000"/>
                <w:sz w:val="18"/>
              </w:rPr>
              <w:t>7</w:t>
            </w:r>
          </w:p>
        </w:tc>
        <w:tc>
          <w:tcPr>
            <w:tcW w:type="dxa" w:w="3456"/>
            <w:tcMar>
              <w:top w:w="110" w:type="dxa"/>
              <w:start w:w="120" w:type="dxa"/>
              <w:bottom w:w="110" w:type="dxa"/>
              <w:end w:w="120" w:type="dxa"/>
            </w:tcMar>
            <w:vAlign w:val="center"/>
          </w:tcPr>
          <w:p>
            <w:pPr>
              <w:spacing w:after="0" w:line="252" w:lineRule="auto"/>
            </w:pPr>
            <w:r>
              <w:rPr>
                <w:rFonts w:ascii="Aptos" w:hAnsi="Aptos"/>
                <w:b w:val="0"/>
                <w:color w:val="000000"/>
                <w:sz w:val="18"/>
              </w:rPr>
              <w:t>4.094 s</w:t>
            </w:r>
          </w:p>
        </w:tc>
      </w:tr>
      <w:tr>
        <w:tc>
          <w:tcPr>
            <w:tcW w:type="dxa" w:w="288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8</w:t>
            </w:r>
          </w:p>
        </w:tc>
        <w:tc>
          <w:tcPr>
            <w:tcW w:type="dxa" w:w="3456"/>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6.462 s</w:t>
            </w:r>
          </w:p>
        </w:tc>
      </w:tr>
      <w:tr>
        <w:tc>
          <w:tcPr>
            <w:tcW w:type="dxa" w:w="2880"/>
            <w:tcMar>
              <w:top w:w="110" w:type="dxa"/>
              <w:start w:w="120" w:type="dxa"/>
              <w:bottom w:w="110" w:type="dxa"/>
              <w:end w:w="120" w:type="dxa"/>
            </w:tcMar>
            <w:vAlign w:val="center"/>
          </w:tcPr>
          <w:p>
            <w:pPr>
              <w:spacing w:after="0" w:line="252" w:lineRule="auto"/>
              <w:jc w:val="left"/>
            </w:pPr>
            <w:r>
              <w:rPr>
                <w:rFonts w:ascii="Aptos" w:hAnsi="Aptos"/>
                <w:b w:val="0"/>
                <w:color w:val="000000"/>
                <w:sz w:val="18"/>
              </w:rPr>
              <w:t>9</w:t>
            </w:r>
          </w:p>
        </w:tc>
        <w:tc>
          <w:tcPr>
            <w:tcW w:type="dxa" w:w="3456"/>
            <w:tcMar>
              <w:top w:w="110" w:type="dxa"/>
              <w:start w:w="120" w:type="dxa"/>
              <w:bottom w:w="110" w:type="dxa"/>
              <w:end w:w="120" w:type="dxa"/>
            </w:tcMar>
            <w:vAlign w:val="center"/>
          </w:tcPr>
          <w:p>
            <w:pPr>
              <w:spacing w:after="0" w:line="252" w:lineRule="auto"/>
            </w:pPr>
            <w:r>
              <w:rPr>
                <w:rFonts w:ascii="Aptos" w:hAnsi="Aptos"/>
                <w:b w:val="0"/>
                <w:color w:val="000000"/>
                <w:sz w:val="18"/>
              </w:rPr>
              <w:t>4.113 s</w:t>
            </w:r>
          </w:p>
        </w:tc>
      </w:tr>
      <w:tr>
        <w:tc>
          <w:tcPr>
            <w:tcW w:type="dxa" w:w="288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10</w:t>
            </w:r>
          </w:p>
        </w:tc>
        <w:tc>
          <w:tcPr>
            <w:tcW w:type="dxa" w:w="3456"/>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5.737 s</w:t>
            </w:r>
          </w:p>
        </w:tc>
      </w:tr>
    </w:tbl>
    <w:p>
      <w:pPr>
        <w:spacing w:after="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trPr>
        <w:tc>
          <w:tcPr>
            <w:tcW w:type="dxa" w:w="4032"/>
            <w:shd w:fill="17365D"/>
            <w:tcMar>
              <w:top w:w="110" w:type="dxa"/>
              <w:start w:w="120" w:type="dxa"/>
              <w:bottom w:w="110" w:type="dxa"/>
              <w:end w:w="120" w:type="dxa"/>
            </w:tcMar>
            <w:vAlign w:val="center"/>
          </w:tcPr>
          <w:p>
            <w:pPr>
              <w:spacing w:after="0"/>
              <w:jc w:val="center"/>
            </w:pPr>
            <w:r>
              <w:rPr>
                <w:rFonts w:ascii="Aptos" w:hAnsi="Aptos"/>
                <w:b/>
                <w:color w:val="FFFFFF"/>
                <w:sz w:val="18"/>
              </w:rPr>
              <w:t>Máquina</w:t>
            </w:r>
          </w:p>
        </w:tc>
        <w:tc>
          <w:tcPr>
            <w:tcW w:type="dxa" w:w="1656"/>
            <w:shd w:fill="17365D"/>
            <w:tcMar>
              <w:top w:w="110" w:type="dxa"/>
              <w:start w:w="120" w:type="dxa"/>
              <w:bottom w:w="110" w:type="dxa"/>
              <w:end w:w="120" w:type="dxa"/>
            </w:tcMar>
            <w:vAlign w:val="center"/>
          </w:tcPr>
          <w:p>
            <w:pPr>
              <w:spacing w:after="0"/>
              <w:jc w:val="center"/>
            </w:pPr>
            <w:r>
              <w:rPr>
                <w:rFonts w:ascii="Aptos" w:hAnsi="Aptos"/>
                <w:b/>
                <w:color w:val="FFFFFF"/>
                <w:sz w:val="18"/>
              </w:rPr>
              <w:t>Mínimo</w:t>
            </w:r>
          </w:p>
        </w:tc>
        <w:tc>
          <w:tcPr>
            <w:tcW w:type="dxa" w:w="1656"/>
            <w:shd w:fill="17365D"/>
            <w:tcMar>
              <w:top w:w="110" w:type="dxa"/>
              <w:start w:w="120" w:type="dxa"/>
              <w:bottom w:w="110" w:type="dxa"/>
              <w:end w:w="120" w:type="dxa"/>
            </w:tcMar>
            <w:vAlign w:val="center"/>
          </w:tcPr>
          <w:p>
            <w:pPr>
              <w:spacing w:after="0"/>
              <w:jc w:val="center"/>
            </w:pPr>
            <w:r>
              <w:rPr>
                <w:rFonts w:ascii="Aptos" w:hAnsi="Aptos"/>
                <w:b/>
                <w:color w:val="FFFFFF"/>
                <w:sz w:val="18"/>
              </w:rPr>
              <w:t>Máximo</w:t>
            </w:r>
          </w:p>
        </w:tc>
        <w:tc>
          <w:tcPr>
            <w:tcW w:type="dxa" w:w="1656"/>
            <w:shd w:fill="17365D"/>
            <w:tcMar>
              <w:top w:w="110" w:type="dxa"/>
              <w:start w:w="120" w:type="dxa"/>
              <w:bottom w:w="110" w:type="dxa"/>
              <w:end w:w="120" w:type="dxa"/>
            </w:tcMar>
            <w:vAlign w:val="center"/>
          </w:tcPr>
          <w:p>
            <w:pPr>
              <w:spacing w:after="0"/>
              <w:jc w:val="center"/>
            </w:pPr>
            <w:r>
              <w:rPr>
                <w:rFonts w:ascii="Aptos" w:hAnsi="Aptos"/>
                <w:b/>
                <w:color w:val="FFFFFF"/>
                <w:sz w:val="18"/>
              </w:rPr>
              <w:t>Promedio</w:t>
            </w:r>
          </w:p>
        </w:tc>
      </w:tr>
      <w:tr>
        <w:tc>
          <w:tcPr>
            <w:tcW w:type="dxa" w:w="4032"/>
            <w:tcMar>
              <w:top w:w="110" w:type="dxa"/>
              <w:start w:w="120" w:type="dxa"/>
              <w:bottom w:w="110" w:type="dxa"/>
              <w:end w:w="120" w:type="dxa"/>
            </w:tcMar>
            <w:vAlign w:val="center"/>
          </w:tcPr>
          <w:p>
            <w:pPr>
              <w:spacing w:after="0" w:line="252" w:lineRule="auto"/>
            </w:pPr>
            <w:r>
              <w:rPr>
                <w:rFonts w:ascii="Aptos" w:hAnsi="Aptos"/>
                <w:b w:val="0"/>
                <w:color w:val="000000"/>
                <w:sz w:val="18"/>
              </w:rPr>
              <w:t>c7i-flex.large · 2 vCPU · 4 GiB</w:t>
            </w:r>
          </w:p>
        </w:tc>
        <w:tc>
          <w:tcPr>
            <w:tcW w:type="dxa" w:w="1656"/>
            <w:tcMar>
              <w:top w:w="110" w:type="dxa"/>
              <w:start w:w="120" w:type="dxa"/>
              <w:bottom w:w="110" w:type="dxa"/>
              <w:end w:w="120" w:type="dxa"/>
            </w:tcMar>
            <w:vAlign w:val="center"/>
          </w:tcPr>
          <w:p>
            <w:pPr>
              <w:spacing w:after="0" w:line="252" w:lineRule="auto"/>
            </w:pPr>
            <w:r>
              <w:rPr>
                <w:rFonts w:ascii="Aptos" w:hAnsi="Aptos"/>
                <w:b w:val="0"/>
                <w:color w:val="000000"/>
                <w:sz w:val="18"/>
              </w:rPr>
              <w:t>4.022 s</w:t>
            </w:r>
          </w:p>
        </w:tc>
        <w:tc>
          <w:tcPr>
            <w:tcW w:type="dxa" w:w="1656"/>
            <w:tcMar>
              <w:top w:w="110" w:type="dxa"/>
              <w:start w:w="120" w:type="dxa"/>
              <w:bottom w:w="110" w:type="dxa"/>
              <w:end w:w="120" w:type="dxa"/>
            </w:tcMar>
            <w:vAlign w:val="center"/>
          </w:tcPr>
          <w:p>
            <w:pPr>
              <w:spacing w:after="0" w:line="252" w:lineRule="auto"/>
            </w:pPr>
            <w:r>
              <w:rPr>
                <w:rFonts w:ascii="Aptos" w:hAnsi="Aptos"/>
                <w:b w:val="0"/>
                <w:color w:val="000000"/>
                <w:sz w:val="18"/>
              </w:rPr>
              <w:t>12.449 s</w:t>
            </w:r>
          </w:p>
        </w:tc>
        <w:tc>
          <w:tcPr>
            <w:tcW w:type="dxa" w:w="1656"/>
            <w:tcMar>
              <w:top w:w="110" w:type="dxa"/>
              <w:start w:w="120" w:type="dxa"/>
              <w:bottom w:w="110" w:type="dxa"/>
              <w:end w:w="120" w:type="dxa"/>
            </w:tcMar>
            <w:vAlign w:val="center"/>
          </w:tcPr>
          <w:p>
            <w:pPr>
              <w:spacing w:after="0" w:line="252" w:lineRule="auto"/>
            </w:pPr>
            <w:r>
              <w:rPr>
                <w:rFonts w:ascii="Aptos" w:hAnsi="Aptos"/>
                <w:b w:val="0"/>
                <w:color w:val="000000"/>
                <w:sz w:val="18"/>
              </w:rPr>
              <w:t>6.219 s</w:t>
            </w:r>
          </w:p>
        </w:tc>
      </w:tr>
    </w:tbl>
    <w:p>
      <w:pPr>
        <w:spacing w:after="0"/>
      </w:pPr>
    </w:p>
    <w:p>
      <w:pPr>
        <w:spacing w:before="0" w:after="120" w:line="269" w:lineRule="auto"/>
      </w:pPr>
      <w:r>
        <w:rPr>
          <w:rFonts w:ascii="Aptos" w:hAnsi="Aptos"/>
          <w:b w:val="0"/>
          <w:i w:val="0"/>
          <w:color w:val="000000"/>
          <w:sz w:val="21"/>
        </w:rPr>
        <w:t>La primera solicitud fue la más lenta por el calentamiento inicial. El promedio incluye ese costo y representa mejor una sesión corta de laboratorio.</w:t>
      </w:r>
    </w:p>
    <w:p>
      <w:r>
        <w:br w:type="page"/>
      </w:r>
    </w:p>
    <w:p>
      <w:pPr>
        <w:pStyle w:val="Heading1"/>
        <w:keepNext/>
        <w:spacing w:before="160" w:after="120"/>
      </w:pPr>
      <w:r>
        <w:rPr>
          <w:rFonts w:ascii="Aptos" w:hAnsi="Aptos"/>
          <w:b/>
          <w:color w:val="000000"/>
          <w:sz w:val="32"/>
        </w:rPr>
        <w:t>Entregable 3.3 Decisión CPU frente a GPU</w:t>
      </w:r>
    </w:p>
    <w:p>
      <w:pPr>
        <w:spacing w:before="0" w:after="160" w:line="269" w:lineRule="auto"/>
      </w:pPr>
      <w:r>
        <w:rPr>
          <w:rFonts w:ascii="Aptos" w:hAnsi="Aptos"/>
          <w:b w:val="0"/>
          <w:i w:val="0"/>
          <w:color w:val="000000"/>
          <w:sz w:val="21"/>
        </w:rPr>
        <w:t>Para esta carga de laboratorio, CPU es la opción proporcionada. La medición real no justifica una GPU para uso esporádico, aunque la conclusión cambia con modelos y demanda mayores.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2088"/>
            <w:shd w:fill="17365D"/>
            <w:tcMar>
              <w:top w:w="110" w:type="dxa"/>
              <w:start w:w="120" w:type="dxa"/>
              <w:bottom w:w="110" w:type="dxa"/>
              <w:end w:w="120" w:type="dxa"/>
            </w:tcMar>
            <w:vAlign w:val="center"/>
          </w:tcPr>
          <w:p>
            <w:pPr>
              <w:spacing w:after="0"/>
              <w:jc w:val="center"/>
            </w:pPr>
            <w:r>
              <w:rPr>
                <w:rFonts w:ascii="Aptos" w:hAnsi="Aptos"/>
                <w:b/>
                <w:color w:val="FFFFFF"/>
                <w:sz w:val="18"/>
              </w:rPr>
              <w:t>Criterio</w:t>
            </w:r>
          </w:p>
        </w:tc>
        <w:tc>
          <w:tcPr>
            <w:tcW w:type="dxa" w:w="4680"/>
            <w:shd w:fill="17365D"/>
            <w:tcMar>
              <w:top w:w="110" w:type="dxa"/>
              <w:start w:w="120" w:type="dxa"/>
              <w:bottom w:w="110" w:type="dxa"/>
              <w:end w:w="120" w:type="dxa"/>
            </w:tcMar>
            <w:vAlign w:val="center"/>
          </w:tcPr>
          <w:p>
            <w:pPr>
              <w:spacing w:after="0"/>
              <w:jc w:val="center"/>
            </w:pPr>
            <w:r>
              <w:rPr>
                <w:rFonts w:ascii="Aptos" w:hAnsi="Aptos"/>
                <w:b/>
                <w:color w:val="FFFFFF"/>
                <w:sz w:val="18"/>
              </w:rPr>
              <w:t>Situación medida</w:t>
            </w:r>
          </w:p>
        </w:tc>
        <w:tc>
          <w:tcPr>
            <w:tcW w:type="dxa" w:w="2520"/>
            <w:shd w:fill="17365D"/>
            <w:tcMar>
              <w:top w:w="110" w:type="dxa"/>
              <w:start w:w="120" w:type="dxa"/>
              <w:bottom w:w="110" w:type="dxa"/>
              <w:end w:w="120" w:type="dxa"/>
            </w:tcMar>
            <w:vAlign w:val="center"/>
          </w:tcPr>
          <w:p>
            <w:pPr>
              <w:spacing w:after="0"/>
              <w:jc w:val="center"/>
            </w:pPr>
            <w:r>
              <w:rPr>
                <w:rFonts w:ascii="Aptos" w:hAnsi="Aptos"/>
                <w:b/>
                <w:color w:val="FFFFFF"/>
                <w:sz w:val="18"/>
              </w:rPr>
              <w:t>Decisión</w:t>
            </w:r>
          </w:p>
        </w:tc>
      </w:tr>
      <w:tr>
        <w:tc>
          <w:tcPr>
            <w:tcW w:type="dxa" w:w="2088"/>
            <w:tcMar>
              <w:top w:w="110" w:type="dxa"/>
              <w:start w:w="120" w:type="dxa"/>
              <w:bottom w:w="110" w:type="dxa"/>
              <w:end w:w="120" w:type="dxa"/>
            </w:tcMar>
            <w:vAlign w:val="center"/>
          </w:tcPr>
          <w:p>
            <w:pPr>
              <w:spacing w:after="0" w:line="252" w:lineRule="auto"/>
              <w:jc w:val="left"/>
            </w:pPr>
            <w:r>
              <w:rPr>
                <w:rFonts w:ascii="Aptos" w:hAnsi="Aptos"/>
                <w:b w:val="0"/>
                <w:color w:val="000000"/>
                <w:sz w:val="18"/>
              </w:rPr>
              <w:t>Modelo</w:t>
            </w:r>
          </w:p>
        </w:tc>
        <w:tc>
          <w:tcPr>
            <w:tcW w:type="dxa" w:w="4680"/>
            <w:tcMar>
              <w:top w:w="110" w:type="dxa"/>
              <w:start w:w="120" w:type="dxa"/>
              <w:bottom w:w="110" w:type="dxa"/>
              <w:end w:w="120" w:type="dxa"/>
            </w:tcMar>
            <w:vAlign w:val="center"/>
          </w:tcPr>
          <w:p>
            <w:pPr>
              <w:spacing w:after="0" w:line="252" w:lineRule="auto"/>
            </w:pPr>
            <w:r>
              <w:rPr>
                <w:rFonts w:ascii="Aptos" w:hAnsi="Aptos"/>
                <w:b w:val="0"/>
                <w:color w:val="000000"/>
                <w:sz w:val="18"/>
              </w:rPr>
              <w:t>llama3.2:1b cuantizado</w:t>
            </w:r>
          </w:p>
        </w:tc>
        <w:tc>
          <w:tcPr>
            <w:tcW w:type="dxa" w:w="2520"/>
            <w:tcMar>
              <w:top w:w="110" w:type="dxa"/>
              <w:start w:w="120" w:type="dxa"/>
              <w:bottom w:w="110" w:type="dxa"/>
              <w:end w:w="120" w:type="dxa"/>
            </w:tcMar>
            <w:vAlign w:val="center"/>
          </w:tcPr>
          <w:p>
            <w:pPr>
              <w:spacing w:after="0" w:line="252" w:lineRule="auto"/>
            </w:pPr>
            <w:r>
              <w:rPr>
                <w:rFonts w:ascii="Aptos" w:hAnsi="Aptos"/>
                <w:b w:val="0"/>
                <w:color w:val="000000"/>
                <w:sz w:val="18"/>
              </w:rPr>
              <w:t>CPU</w:t>
            </w:r>
          </w:p>
        </w:tc>
      </w:tr>
      <w:tr>
        <w:tc>
          <w:tcPr>
            <w:tcW w:type="dxa" w:w="208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Demanda</w:t>
            </w:r>
          </w:p>
        </w:tc>
        <w:tc>
          <w:tcPr>
            <w:tcW w:type="dxa" w:w="468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Diez solicitudes secuenciales de prueba</w:t>
            </w:r>
          </w:p>
        </w:tc>
        <w:tc>
          <w:tcPr>
            <w:tcW w:type="dxa" w:w="252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CPU</w:t>
            </w:r>
          </w:p>
        </w:tc>
      </w:tr>
      <w:tr>
        <w:tc>
          <w:tcPr>
            <w:tcW w:type="dxa" w:w="2088"/>
            <w:tcMar>
              <w:top w:w="110" w:type="dxa"/>
              <w:start w:w="120" w:type="dxa"/>
              <w:bottom w:w="110" w:type="dxa"/>
              <w:end w:w="120" w:type="dxa"/>
            </w:tcMar>
            <w:vAlign w:val="center"/>
          </w:tcPr>
          <w:p>
            <w:pPr>
              <w:spacing w:after="0" w:line="252" w:lineRule="auto"/>
              <w:jc w:val="left"/>
            </w:pPr>
            <w:r>
              <w:rPr>
                <w:rFonts w:ascii="Aptos" w:hAnsi="Aptos"/>
                <w:b w:val="0"/>
                <w:color w:val="000000"/>
                <w:sz w:val="18"/>
              </w:rPr>
              <w:t>Latencia</w:t>
            </w:r>
          </w:p>
        </w:tc>
        <w:tc>
          <w:tcPr>
            <w:tcW w:type="dxa" w:w="4680"/>
            <w:tcMar>
              <w:top w:w="110" w:type="dxa"/>
              <w:start w:w="120" w:type="dxa"/>
              <w:bottom w:w="110" w:type="dxa"/>
              <w:end w:w="120" w:type="dxa"/>
            </w:tcMar>
            <w:vAlign w:val="center"/>
          </w:tcPr>
          <w:p>
            <w:pPr>
              <w:spacing w:after="0" w:line="252" w:lineRule="auto"/>
            </w:pPr>
            <w:r>
              <w:rPr>
                <w:rFonts w:ascii="Aptos" w:hAnsi="Aptos"/>
                <w:b w:val="0"/>
                <w:color w:val="000000"/>
                <w:sz w:val="18"/>
              </w:rPr>
              <w:t>Promedio 6.219 s; máximo 12.449 s</w:t>
            </w:r>
          </w:p>
        </w:tc>
        <w:tc>
          <w:tcPr>
            <w:tcW w:type="dxa" w:w="2520"/>
            <w:tcMar>
              <w:top w:w="110" w:type="dxa"/>
              <w:start w:w="120" w:type="dxa"/>
              <w:bottom w:w="110" w:type="dxa"/>
              <w:end w:w="120" w:type="dxa"/>
            </w:tcMar>
            <w:vAlign w:val="center"/>
          </w:tcPr>
          <w:p>
            <w:pPr>
              <w:spacing w:after="0" w:line="252" w:lineRule="auto"/>
            </w:pPr>
            <w:r>
              <w:rPr>
                <w:rFonts w:ascii="Aptos" w:hAnsi="Aptos"/>
                <w:b w:val="0"/>
                <w:color w:val="000000"/>
                <w:sz w:val="18"/>
              </w:rPr>
              <w:t>Aceptable para demo</w:t>
            </w:r>
          </w:p>
        </w:tc>
      </w:tr>
      <w:tr>
        <w:tc>
          <w:tcPr>
            <w:tcW w:type="dxa" w:w="208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Paralelismo</w:t>
            </w:r>
          </w:p>
        </w:tc>
        <w:tc>
          <w:tcPr>
            <w:tcW w:type="dxa" w:w="468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Sin carga concurrente sostenida</w:t>
            </w:r>
          </w:p>
        </w:tc>
        <w:tc>
          <w:tcPr>
            <w:tcW w:type="dxa" w:w="252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CPU</w:t>
            </w:r>
          </w:p>
        </w:tc>
      </w:tr>
      <w:tr>
        <w:tc>
          <w:tcPr>
            <w:tcW w:type="dxa" w:w="2088"/>
            <w:tcMar>
              <w:top w:w="110" w:type="dxa"/>
              <w:start w:w="120" w:type="dxa"/>
              <w:bottom w:w="110" w:type="dxa"/>
              <w:end w:w="120" w:type="dxa"/>
            </w:tcMar>
            <w:vAlign w:val="center"/>
          </w:tcPr>
          <w:p>
            <w:pPr>
              <w:spacing w:after="0" w:line="252" w:lineRule="auto"/>
              <w:jc w:val="left"/>
            </w:pPr>
            <w:r>
              <w:rPr>
                <w:rFonts w:ascii="Aptos" w:hAnsi="Aptos"/>
                <w:b w:val="0"/>
                <w:color w:val="000000"/>
                <w:sz w:val="18"/>
              </w:rPr>
              <w:t>Costo</w:t>
            </w:r>
          </w:p>
        </w:tc>
        <w:tc>
          <w:tcPr>
            <w:tcW w:type="dxa" w:w="4680"/>
            <w:tcMar>
              <w:top w:w="110" w:type="dxa"/>
              <w:start w:w="120" w:type="dxa"/>
              <w:bottom w:w="110" w:type="dxa"/>
              <w:end w:w="120" w:type="dxa"/>
            </w:tcMar>
            <w:vAlign w:val="center"/>
          </w:tcPr>
          <w:p>
            <w:pPr>
              <w:spacing w:after="0" w:line="252" w:lineRule="auto"/>
            </w:pPr>
            <w:r>
              <w:rPr>
                <w:rFonts w:ascii="Aptos" w:hAnsi="Aptos"/>
                <w:b w:val="0"/>
                <w:color w:val="000000"/>
                <w:sz w:val="18"/>
              </w:rPr>
              <w:t>Instancia general sin acelerador</w:t>
            </w:r>
          </w:p>
        </w:tc>
        <w:tc>
          <w:tcPr>
            <w:tcW w:type="dxa" w:w="2520"/>
            <w:tcMar>
              <w:top w:w="110" w:type="dxa"/>
              <w:start w:w="120" w:type="dxa"/>
              <w:bottom w:w="110" w:type="dxa"/>
              <w:end w:w="120" w:type="dxa"/>
            </w:tcMar>
            <w:vAlign w:val="center"/>
          </w:tcPr>
          <w:p>
            <w:pPr>
              <w:spacing w:after="0" w:line="252" w:lineRule="auto"/>
            </w:pPr>
            <w:r>
              <w:rPr>
                <w:rFonts w:ascii="Aptos" w:hAnsi="Aptos"/>
                <w:b w:val="0"/>
                <w:color w:val="000000"/>
                <w:sz w:val="18"/>
              </w:rPr>
              <w:t>CPU</w:t>
            </w:r>
          </w:p>
        </w:tc>
      </w:tr>
      <w:tr>
        <w:tc>
          <w:tcPr>
            <w:tcW w:type="dxa" w:w="208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Escenario futuro</w:t>
            </w:r>
          </w:p>
        </w:tc>
        <w:tc>
          <w:tcPr>
            <w:tcW w:type="dxa" w:w="468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Modelo ≥7B, streaming fluido, concurrencia o SLA estricto</w:t>
            </w:r>
          </w:p>
        </w:tc>
        <w:tc>
          <w:tcPr>
            <w:tcW w:type="dxa" w:w="252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Evaluar GPU</w:t>
            </w:r>
          </w:p>
        </w:tc>
      </w:tr>
    </w:tbl>
    <w:p>
      <w:pPr>
        <w:spacing w:after="0"/>
      </w:pPr>
    </w:p>
    <w:p>
      <w:pPr>
        <w:pStyle w:val="Heading2"/>
        <w:keepNext/>
        <w:spacing w:before="100" w:after="120"/>
      </w:pPr>
      <w:r>
        <w:rPr>
          <w:rFonts w:ascii="Aptos" w:hAnsi="Aptos"/>
          <w:b/>
          <w:color w:val="000000"/>
          <w:sz w:val="25"/>
        </w:rPr>
        <w:t>Conclusión</w:t>
      </w:r>
    </w:p>
    <w:p>
      <w:pPr>
        <w:spacing w:before="0" w:after="120" w:line="269" w:lineRule="auto"/>
      </w:pPr>
      <w:r>
        <w:rPr>
          <w:rFonts w:ascii="Aptos" w:hAnsi="Aptos"/>
          <w:b w:val="0"/>
          <w:i w:val="0"/>
          <w:color w:val="000000"/>
          <w:sz w:val="21"/>
        </w:rPr>
        <w:t>La GPU no se justifica para llama3.2:1b y una demo académica de bajo volumen. Sí convendría evaluarla si el proyecto exige un modelo mayor, respuestas de baja latencia, múltiples usuarios simultáneos o procesamiento por lotes que mantenga el acelerador ocupado. La decisión debe repetirse con un benchmark de esa carga futura y con el costo horario vigente.</w:t>
      </w:r>
    </w:p>
    <w:p>
      <w:r>
        <w:br w:type="page"/>
      </w:r>
    </w:p>
    <w:p>
      <w:pPr>
        <w:pStyle w:val="Heading1"/>
        <w:keepNext/>
        <w:spacing w:before="160" w:after="120"/>
      </w:pPr>
      <w:r>
        <w:rPr>
          <w:rFonts w:ascii="Aptos" w:hAnsi="Aptos"/>
          <w:b/>
          <w:color w:val="000000"/>
          <w:sz w:val="32"/>
        </w:rPr>
        <w:t>Entregable 4.1 Limpieza de los recursos</w:t>
      </w:r>
    </w:p>
    <w:p>
      <w:pPr>
        <w:spacing w:before="0" w:after="160" w:line="269" w:lineRule="auto"/>
      </w:pPr>
      <w:r>
        <w:rPr>
          <w:rFonts w:ascii="Aptos" w:hAnsi="Aptos"/>
          <w:b w:val="0"/>
          <w:i w:val="0"/>
          <w:color w:val="000000"/>
          <w:sz w:val="21"/>
        </w:rPr>
        <w:t>La limpieza se ejecutó con un plan de destrucción de Terraform después de guardar el estado y las evidencias. La verificación posterior confirmó que los recursos propios del laboratorio ya no permanecen en la cuenta.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Comprobación</w:t>
            </w:r>
          </w:p>
        </w:tc>
        <w:tc>
          <w:tcPr>
            <w:tcW w:type="dxa" w:w="6264"/>
            <w:shd w:fill="17365D"/>
            <w:tcMar>
              <w:top w:w="110" w:type="dxa"/>
              <w:start w:w="120" w:type="dxa"/>
              <w:bottom w:w="110" w:type="dxa"/>
              <w:end w:w="120" w:type="dxa"/>
            </w:tcMar>
            <w:vAlign w:val="center"/>
          </w:tcPr>
          <w:p>
            <w:pPr>
              <w:spacing w:after="0"/>
              <w:jc w:val="center"/>
            </w:pPr>
            <w:r>
              <w:rPr>
                <w:rFonts w:ascii="Aptos" w:hAnsi="Aptos"/>
                <w:b/>
                <w:color w:val="FFFFFF"/>
                <w:sz w:val="18"/>
              </w:rPr>
              <w:t>Resultado verificado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Plan de destrucción</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0 agregados, 0 modificados y 9 destruidos</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Instancia EC2 del laboratorio</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Terminada</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Volumen EBS del laboratorio</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Eliminado; AWS respondió InvalidVolume.NotFound</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Security group del laboratorio</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Eliminado; AWS respondió InvalidGroup.NotFound</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Perfil y rol IAM</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Rol y perfil eliminados; AWS respondió NoSuchEntity</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Terraform</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Estado con 0 recursos y plan de destrucción sin cambios</w:t>
            </w:r>
          </w:p>
        </w:tc>
      </w:tr>
    </w:tbl>
    <w:p>
      <w:pPr>
        <w:spacing w:after="0"/>
      </w:pPr>
    </w:p>
    <w:p>
      <w:pPr>
        <w:pStyle w:val="Heading2"/>
        <w:keepNext/>
        <w:spacing w:before="100" w:after="120"/>
      </w:pPr>
      <w:r>
        <w:rPr>
          <w:rFonts w:ascii="Aptos" w:hAnsi="Aptos"/>
          <w:b/>
          <w:color w:val="000000"/>
          <w:sz w:val="25"/>
        </w:rPr>
        <w:t>Cierre</w:t>
      </w:r>
    </w:p>
    <w:p>
      <w:pPr>
        <w:spacing w:before="0" w:after="120" w:line="269" w:lineRule="auto"/>
      </w:pPr>
      <w:r>
        <w:rPr>
          <w:rFonts w:ascii="Aptos" w:hAnsi="Aptos"/>
          <w:b w:val="0"/>
          <w:i w:val="0"/>
          <w:color w:val="000000"/>
          <w:sz w:val="21"/>
        </w:rPr>
        <w:t>El respaldo privado final del estado previo a la limpieza quedó identificado por el SHA-256 92E56CB0AE56BF7FBAD1EBFF796402288956E23893FA180FF8CCEDAC043FE5E8. No se incluyeron credenciales, identificadores de cuenta, IDs de recursos ni direcciones IP en este documento.</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96"/>
      <w:gridCol w:w="4896"/>
    </w:tblGrid>
    <w:tr>
      <w:tc>
        <w:tcPr>
          <w:tcW w:type="dxa" w:w="4896"/>
        </w:tcPr>
        <w:p>
          <w:pPr>
            <w:jc w:val="left"/>
          </w:pPr>
          <w:r>
            <w:rPr>
              <w:rFonts w:ascii="Aptos" w:hAnsi="Aptos"/>
              <w:b w:val="0"/>
              <w:color w:val="555555"/>
              <w:sz w:val="16"/>
            </w:rPr>
            <w:t>Laboratorio 3 en AWS</w:t>
          </w:r>
        </w:p>
      </w:tc>
      <w:tc>
        <w:tcPr>
          <w:tcW w:type="dxa" w:w="4896"/>
        </w:tcPr>
        <w:p>
          <w:pPr>
            <w:jc w:val="right"/>
          </w:pPr>
          <w:r>
            <w:rPr>
              <w:rFonts w:ascii="Aptos" w:hAnsi="Aptos"/>
              <w:b w:val="0"/>
              <w:color w:val="555555"/>
              <w:sz w:val="16"/>
            </w:rPr>
            <w:t xml:space="preserve">Página </w:t>
          </w:r>
          <w:fldSimple w:instr="PAG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3 Servicio patrón stateful en AWS</dc:title>
  <dc:subject>Entregables 1.1 a 4.1 adaptados de GCP a AWS</dc:subject>
  <dc:creator>Katherine Aguirre</dc:creator>
  <cp:keywords>AWS, EC2, EBS, Terraform, Docker, Ollama, persistencia</cp:keywords>
  <dc:description>generated by python-docx</dc:description>
  <cp:lastModifiedBy/>
  <cp:revision>1</cp:revision>
  <dcterms:created xsi:type="dcterms:W3CDTF">2013-12-23T23:15:00Z</dcterms:created>
  <dcterms:modified xsi:type="dcterms:W3CDTF">2013-12-23T23:15:00Z</dcterms:modified>
  <cp:category/>
</cp:coreProperties>
</file>