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60" w:after="280"/>
        <w:jc w:val="left"/>
        <w:pBdr>
          <w:bottom w:val="nil"/>
        </w:pBdr>
      </w:pPr>
      <w:r>
        <w:rPr>
          <w:rFonts w:ascii="Aptos Display" w:hAnsi="Aptos Display"/>
          <w:b/>
          <w:color w:val="000000"/>
          <w:sz w:val="48"/>
        </w:rPr>
        <w:t>Laboratorio 3 Servicio patrón stateful en AWS</w:t>
      </w:r>
    </w:p>
    <w:p>
      <w:pPr>
        <w:spacing w:before="0" w:after="520" w:line="269" w:lineRule="auto"/>
      </w:pPr>
      <w:r>
        <w:rPr>
          <w:rFonts w:ascii="Aptos" w:hAnsi="Aptos"/>
          <w:b w:val="0"/>
          <w:i w:val="0"/>
          <w:color w:val="000000"/>
          <w:sz w:val="28"/>
        </w:rPr>
        <w:t>Adaptación del ejercicio de Compute Engine a Amazon EC2 y EBS</w:t>
      </w:r>
    </w:p>
    <w:p>
      <w:pPr>
        <w:spacing w:before="0" w:after="60" w:line="269" w:lineRule="auto"/>
      </w:pPr>
      <w:r>
        <w:rPr>
          <w:rFonts w:ascii="Aptos" w:hAnsi="Aptos"/>
          <w:b/>
          <w:i w:val="0"/>
          <w:color w:val="000000"/>
          <w:sz w:val="24"/>
        </w:rPr>
        <w:t>Katherine Aguirre</w:t>
      </w:r>
    </w:p>
    <w:p>
      <w:pPr>
        <w:spacing w:before="0" w:after="60" w:line="269" w:lineRule="auto"/>
      </w:pPr>
      <w:r>
        <w:rPr>
          <w:rFonts w:ascii="Aptos" w:hAnsi="Aptos"/>
          <w:b w:val="0"/>
          <w:i w:val="0"/>
          <w:color w:val="000000"/>
          <w:sz w:val="22"/>
        </w:rPr>
        <w:t>Infraestructura Tecnológica para Inteligencia Artificial</w:t>
      </w:r>
    </w:p>
    <w:p>
      <w:pPr>
        <w:spacing w:before="0" w:after="60" w:line="269" w:lineRule="auto"/>
      </w:pPr>
      <w:r>
        <w:rPr>
          <w:rFonts w:ascii="Aptos" w:hAnsi="Aptos"/>
          <w:b w:val="0"/>
          <w:i w:val="0"/>
          <w:color w:val="000000"/>
          <w:sz w:val="21"/>
        </w:rPr>
        <w:t>Diplomatura en Desarrollo de Soluciones de Inteligencia Artificial Generativa en la Nube</w:t>
      </w:r>
    </w:p>
    <w:p>
      <w:pPr>
        <w:spacing w:before="0" w:after="60" w:line="269" w:lineRule="auto"/>
      </w:pPr>
      <w:r>
        <w:rPr>
          <w:rFonts w:ascii="Aptos" w:hAnsi="Aptos"/>
          <w:b w:val="0"/>
          <w:i w:val="0"/>
          <w:color w:val="000000"/>
          <w:sz w:val="21"/>
        </w:rPr>
        <w:t>Universidad Nacional de Luján</w:t>
      </w:r>
    </w:p>
    <w:p>
      <w:pPr>
        <w:spacing w:before="0" w:after="480" w:line="269" w:lineRule="auto"/>
      </w:pPr>
      <w:r>
        <w:rPr>
          <w:rFonts w:ascii="Aptos" w:hAnsi="Aptos"/>
          <w:b w:val="0"/>
          <w:i w:val="0"/>
          <w:color w:val="000000"/>
          <w:sz w:val="21"/>
        </w:rPr>
        <w:t>13 de octubre de 2026</w:t>
      </w: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El laboratorio se implementó en AWS con infraestructura como código. La instancia EC2 ejecutó el servicio patrón y Ollama, mientras que un volumen EBS independiente conservó los datos y los pesos. Las comprobaciones se realizaron sobre recursos reales en us-east-1; los identificadores de cuenta, instancia, volumen e IP pública fueron omitidos de esta entrega.</w:t>
      </w:r>
    </w:p>
    <w:p>
      <w:pPr>
        <w:pStyle w:val="Heading2"/>
        <w:keepNext/>
        <w:spacing w:before="100" w:after="120"/>
      </w:pPr>
      <w:r>
        <w:rPr>
          <w:rFonts w:ascii="Aptos" w:hAnsi="Aptos"/>
          <w:b/>
          <w:color w:val="000000"/>
          <w:sz w:val="25"/>
        </w:rPr>
        <w:t>Equivalencias usadas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744"/>
            <w:shd w:fill="17365D"/>
            <w:tcMar>
              <w:top w:w="110" w:type="dxa"/>
              <w:start w:w="120" w:type="dxa"/>
              <w:bottom w:w="110" w:type="dxa"/>
              <w:end w:w="120" w:type="dxa"/>
            </w:tcMar>
            <w:vAlign w:val="center"/>
          </w:tcPr>
          <w:p>
            <w:pPr>
              <w:spacing w:after="0"/>
              <w:jc w:val="center"/>
            </w:pPr>
            <w:r>
              <w:rPr>
                <w:rFonts w:ascii="Aptos" w:hAnsi="Aptos"/>
                <w:b/>
                <w:color w:val="FFFFFF"/>
                <w:sz w:val="18"/>
              </w:rPr>
              <w:t>Guía original</w:t>
            </w:r>
          </w:p>
        </w:tc>
        <w:tc>
          <w:tcPr>
            <w:tcW w:type="dxa" w:w="5544"/>
            <w:shd w:fill="17365D"/>
            <w:tcMar>
              <w:top w:w="110" w:type="dxa"/>
              <w:start w:w="120" w:type="dxa"/>
              <w:bottom w:w="110" w:type="dxa"/>
              <w:end w:w="120" w:type="dxa"/>
            </w:tcMar>
            <w:vAlign w:val="center"/>
          </w:tcPr>
          <w:p>
            <w:pPr>
              <w:spacing w:after="0"/>
              <w:jc w:val="center"/>
            </w:pPr>
            <w:r>
              <w:rPr>
                <w:rFonts w:ascii="Aptos" w:hAnsi="Aptos"/>
                <w:b/>
                <w:color w:val="FFFFFF"/>
                <w:sz w:val="18"/>
              </w:rPr>
              <w:t>Implementación en AWS</w:t>
            </w:r>
          </w:p>
        </w:tc>
      </w:tr>
      <w:tr>
        <w:tc>
          <w:tcPr>
            <w:tcW w:type="dxa" w:w="3744"/>
            <w:tcMar>
              <w:top w:w="110" w:type="dxa"/>
              <w:start w:w="120" w:type="dxa"/>
              <w:bottom w:w="110" w:type="dxa"/>
              <w:end w:w="120" w:type="dxa"/>
            </w:tcMar>
            <w:vAlign w:val="center"/>
          </w:tcPr>
          <w:p>
            <w:pPr>
              <w:spacing w:after="0" w:line="252" w:lineRule="auto"/>
              <w:jc w:val="left"/>
            </w:pPr>
            <w:r>
              <w:rPr>
                <w:rFonts w:ascii="Aptos" w:hAnsi="Aptos"/>
                <w:b w:val="0"/>
                <w:color w:val="000000"/>
                <w:sz w:val="18"/>
              </w:rPr>
              <w:t>Compute Engine</w:t>
            </w:r>
          </w:p>
        </w:tc>
        <w:tc>
          <w:tcPr>
            <w:tcW w:type="dxa" w:w="5544"/>
            <w:tcMar>
              <w:top w:w="110" w:type="dxa"/>
              <w:start w:w="120" w:type="dxa"/>
              <w:bottom w:w="110" w:type="dxa"/>
              <w:end w:w="120" w:type="dxa"/>
            </w:tcMar>
            <w:vAlign w:val="center"/>
          </w:tcPr>
          <w:p>
            <w:pPr>
              <w:spacing w:after="0" w:line="252" w:lineRule="auto"/>
            </w:pPr>
            <w:r>
              <w:rPr>
                <w:rFonts w:ascii="Aptos" w:hAnsi="Aptos"/>
                <w:b w:val="0"/>
                <w:color w:val="000000"/>
                <w:sz w:val="18"/>
              </w:rPr>
              <w:t>Amazon EC2 c7i-flex.large</w:t>
            </w:r>
          </w:p>
        </w:tc>
      </w:tr>
      <w:tr>
        <w:tc>
          <w:tcPr>
            <w:tcW w:type="dxa" w:w="374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Persistent Disk</w:t>
            </w:r>
          </w:p>
        </w:tc>
        <w:tc>
          <w:tcPr>
            <w:tcW w:type="dxa" w:w="554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Amazon EBS gp3 cifrado de 10 GiB</w:t>
            </w:r>
          </w:p>
        </w:tc>
      </w:tr>
      <w:tr>
        <w:tc>
          <w:tcPr>
            <w:tcW w:type="dxa" w:w="3744"/>
            <w:tcMar>
              <w:top w:w="110" w:type="dxa"/>
              <w:start w:w="120" w:type="dxa"/>
              <w:bottom w:w="110" w:type="dxa"/>
              <w:end w:w="120" w:type="dxa"/>
            </w:tcMar>
            <w:vAlign w:val="center"/>
          </w:tcPr>
          <w:p>
            <w:pPr>
              <w:spacing w:after="0" w:line="252" w:lineRule="auto"/>
              <w:jc w:val="left"/>
            </w:pPr>
            <w:r>
              <w:rPr>
                <w:rFonts w:ascii="Aptos" w:hAnsi="Aptos"/>
                <w:b w:val="0"/>
                <w:color w:val="000000"/>
                <w:sz w:val="18"/>
              </w:rPr>
              <w:t>Regla de firewall</w:t>
            </w:r>
          </w:p>
        </w:tc>
        <w:tc>
          <w:tcPr>
            <w:tcW w:type="dxa" w:w="5544"/>
            <w:tcMar>
              <w:top w:w="110" w:type="dxa"/>
              <w:start w:w="120" w:type="dxa"/>
              <w:bottom w:w="110" w:type="dxa"/>
              <w:end w:w="120" w:type="dxa"/>
            </w:tcMar>
            <w:vAlign w:val="center"/>
          </w:tcPr>
          <w:p>
            <w:pPr>
              <w:spacing w:after="0" w:line="252" w:lineRule="auto"/>
            </w:pPr>
            <w:r>
              <w:rPr>
                <w:rFonts w:ascii="Aptos" w:hAnsi="Aptos"/>
                <w:b w:val="0"/>
                <w:color w:val="000000"/>
                <w:sz w:val="18"/>
              </w:rPr>
              <w:t>Security group TCP 8080 restringido a /32</w:t>
            </w:r>
          </w:p>
        </w:tc>
      </w:tr>
      <w:tr>
        <w:tc>
          <w:tcPr>
            <w:tcW w:type="dxa" w:w="374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SSH</w:t>
            </w:r>
          </w:p>
        </w:tc>
        <w:tc>
          <w:tcPr>
            <w:tcW w:type="dxa" w:w="554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AWS Systems Manager Session Manager</w:t>
            </w:r>
          </w:p>
        </w:tc>
      </w:tr>
    </w:tbl>
    <w:p>
      <w:pPr>
        <w:spacing w:after="0"/>
      </w:pPr>
    </w:p>
    <w:p>
      <w:r>
        <w:br w:type="page"/>
      </w:r>
    </w:p>
    <w:p>
      <w:pPr>
        <w:pStyle w:val="Heading1"/>
        <w:keepNext/>
        <w:spacing w:before="160" w:after="120"/>
      </w:pPr>
      <w:r>
        <w:rPr>
          <w:rFonts w:ascii="Aptos" w:hAnsi="Aptos"/>
          <w:b/>
          <w:color w:val="000000"/>
          <w:sz w:val="32"/>
        </w:rPr>
        <w:t>Adaptación de la arquitectura de GCP a AWS</w:t>
      </w:r>
    </w:p>
    <w:p>
      <w:pPr>
        <w:spacing w:before="0" w:after="160" w:line="269" w:lineRule="auto"/>
      </w:pPr>
      <w:r>
        <w:rPr>
          <w:rFonts w:ascii="Aptos" w:hAnsi="Aptos"/>
          <w:b w:val="0"/>
          <w:i w:val="0"/>
          <w:color w:val="000000"/>
          <w:sz w:val="21"/>
        </w:rPr>
        <w:t>La guía original propone construir el laboratorio manualmente con gcloud para comprender cada pieza. En AWS se mantuvieron los mismos objetivos, pero la infraestructura se expresó con Terraform para que la creación, el reemplazo y la limpieza fueran repetibles y verificables.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800"/>
            <w:shd w:fill="17365D"/>
            <w:tcMar>
              <w:top w:w="110" w:type="dxa"/>
              <w:start w:w="120" w:type="dxa"/>
              <w:bottom w:w="110" w:type="dxa"/>
              <w:end w:w="120" w:type="dxa"/>
            </w:tcMar>
            <w:vAlign w:val="center"/>
          </w:tcPr>
          <w:p>
            <w:pPr>
              <w:spacing w:after="0"/>
              <w:jc w:val="center"/>
            </w:pPr>
            <w:r>
              <w:rPr>
                <w:rFonts w:ascii="Aptos" w:hAnsi="Aptos"/>
                <w:b/>
                <w:color w:val="FFFFFF"/>
                <w:sz w:val="18"/>
              </w:rPr>
              <w:t>Capa</w:t>
            </w:r>
          </w:p>
        </w:tc>
        <w:tc>
          <w:tcPr>
            <w:tcW w:type="dxa" w:w="3240"/>
            <w:shd w:fill="17365D"/>
            <w:tcMar>
              <w:top w:w="110" w:type="dxa"/>
              <w:start w:w="120" w:type="dxa"/>
              <w:bottom w:w="110" w:type="dxa"/>
              <w:end w:w="120" w:type="dxa"/>
            </w:tcMar>
            <w:vAlign w:val="center"/>
          </w:tcPr>
          <w:p>
            <w:pPr>
              <w:spacing w:after="0"/>
              <w:jc w:val="center"/>
            </w:pPr>
            <w:r>
              <w:rPr>
                <w:rFonts w:ascii="Aptos" w:hAnsi="Aptos"/>
                <w:b/>
                <w:color w:val="FFFFFF"/>
                <w:sz w:val="18"/>
              </w:rPr>
              <w:t>Guía original</w:t>
            </w:r>
          </w:p>
        </w:tc>
        <w:tc>
          <w:tcPr>
            <w:tcW w:type="dxa" w:w="4248"/>
            <w:shd w:fill="17365D"/>
            <w:tcMar>
              <w:top w:w="110" w:type="dxa"/>
              <w:start w:w="120" w:type="dxa"/>
              <w:bottom w:w="110" w:type="dxa"/>
              <w:end w:w="120" w:type="dxa"/>
            </w:tcMar>
            <w:vAlign w:val="center"/>
          </w:tcPr>
          <w:p>
            <w:pPr>
              <w:spacing w:after="0"/>
              <w:jc w:val="center"/>
            </w:pPr>
            <w:r>
              <w:rPr>
                <w:rFonts w:ascii="Aptos" w:hAnsi="Aptos"/>
                <w:b/>
                <w:color w:val="FFFFFF"/>
                <w:sz w:val="18"/>
              </w:rPr>
              <w:t>Implementación realizada</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Cómputo</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Compute Engine e2-small/e2-medium</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EC2 c7i-flex.large con Amazon Linux 2023</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Datos</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Persistent Disk separado</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EBS gp3 cifrado de 10 GiB y ciclo de vida independiente</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Acceso</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gcloud compute ssh</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Systems Manager con rol y perfil IAM; sin publicar SSH</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Red</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Regla de firewall por tag</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Security group dedicado, TCP 8080 limitado a una IPv4 /32</w:t>
            </w:r>
          </w:p>
        </w:tc>
      </w:tr>
      <w:tr>
        <w:tc>
          <w:tcPr>
            <w:tcW w:type="dxa" w:w="1800"/>
            <w:tcMar>
              <w:top w:w="110" w:type="dxa"/>
              <w:start w:w="120" w:type="dxa"/>
              <w:bottom w:w="110" w:type="dxa"/>
              <w:end w:w="120" w:type="dxa"/>
            </w:tcMar>
            <w:vAlign w:val="center"/>
          </w:tcPr>
          <w:p>
            <w:pPr>
              <w:spacing w:after="0" w:line="252" w:lineRule="auto"/>
              <w:jc w:val="left"/>
            </w:pPr>
            <w:r>
              <w:rPr>
                <w:rFonts w:ascii="Aptos" w:hAnsi="Aptos"/>
                <w:b w:val="0"/>
                <w:color w:val="000000"/>
                <w:sz w:val="18"/>
              </w:rPr>
              <w:t>Arranque</w:t>
            </w:r>
          </w:p>
        </w:tc>
        <w:tc>
          <w:tcPr>
            <w:tcW w:type="dxa" w:w="3240"/>
            <w:tcMar>
              <w:top w:w="110" w:type="dxa"/>
              <w:start w:w="120" w:type="dxa"/>
              <w:bottom w:w="110" w:type="dxa"/>
              <w:end w:w="120" w:type="dxa"/>
            </w:tcMar>
            <w:vAlign w:val="center"/>
          </w:tcPr>
          <w:p>
            <w:pPr>
              <w:spacing w:after="0" w:line="252" w:lineRule="auto"/>
            </w:pPr>
            <w:r>
              <w:rPr>
                <w:rFonts w:ascii="Aptos" w:hAnsi="Aptos"/>
                <w:b w:val="0"/>
                <w:color w:val="000000"/>
                <w:sz w:val="18"/>
              </w:rPr>
              <w:t>startup-script en metadata</w:t>
            </w:r>
          </w:p>
        </w:tc>
        <w:tc>
          <w:tcPr>
            <w:tcW w:type="dxa" w:w="4248"/>
            <w:tcMar>
              <w:top w:w="110" w:type="dxa"/>
              <w:start w:w="120" w:type="dxa"/>
              <w:bottom w:w="110" w:type="dxa"/>
              <w:end w:w="120" w:type="dxa"/>
            </w:tcMar>
            <w:vAlign w:val="center"/>
          </w:tcPr>
          <w:p>
            <w:pPr>
              <w:spacing w:after="0" w:line="252" w:lineRule="auto"/>
            </w:pPr>
            <w:r>
              <w:rPr>
                <w:rFonts w:ascii="Aptos" w:hAnsi="Aptos"/>
                <w:b w:val="0"/>
                <w:color w:val="000000"/>
                <w:sz w:val="18"/>
              </w:rPr>
              <w:t>user_data de EC2 generado desde user-data.sh.tftpl</w:t>
            </w:r>
          </w:p>
        </w:tc>
      </w:tr>
      <w:tr>
        <w:tc>
          <w:tcPr>
            <w:tcW w:type="dxa" w:w="180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Automatización</w:t>
            </w:r>
          </w:p>
        </w:tc>
        <w:tc>
          <w:tcPr>
            <w:tcW w:type="dxa" w:w="324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Comandos gcloud manuales</w:t>
            </w:r>
          </w:p>
        </w:tc>
        <w:tc>
          <w:tcPr>
            <w:tcW w:type="dxa" w:w="424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Plan guardado de Terraform, pruebas y aplicación controlada</w:t>
            </w:r>
          </w:p>
        </w:tc>
      </w:tr>
    </w:tbl>
    <w:p>
      <w:pPr>
        <w:spacing w:after="0"/>
      </w:pPr>
    </w:p>
    <w:p>
      <w:pPr>
        <w:pStyle w:val="Heading2"/>
        <w:keepNext/>
        <w:spacing w:before="100" w:after="120"/>
      </w:pPr>
      <w:r>
        <w:rPr>
          <w:rFonts w:ascii="Aptos" w:hAnsi="Aptos"/>
          <w:b/>
          <w:color w:val="000000"/>
          <w:sz w:val="25"/>
        </w:rPr>
        <w:t>Cómo se llegó a la solución</w:t>
      </w:r>
    </w:p>
    <w:p>
      <w:pPr>
        <w:spacing w:before="0" w:after="120" w:line="269" w:lineRule="auto"/>
      </w:pPr>
      <w:r>
        <w:rPr>
          <w:rFonts w:ascii="Aptos" w:hAnsi="Aptos"/>
          <w:b w:val="0"/>
          <w:i w:val="0"/>
          <w:color w:val="000000"/>
          <w:sz w:val="21"/>
        </w:rPr>
        <w:t>Primero se identificó la intención de cada comando de GCP: crear cómputo, separar el almacenamiento, limitar la red, instalar el runtime y demostrar persistencia. Después se modeló cada intención con un recurso equivalente de AWS. El entorno quedó en terraform/aws/envs/lab3, el módulo reutilizable en terraform/aws/modules/ec2-stateful y las validaciones en tests/lab3.tftest.hcl. Los ejemplos originales de GCP no fueron modificados.</w:t>
      </w:r>
    </w:p>
    <w:p>
      <w:r>
        <w:br w:type="page"/>
      </w:r>
    </w:p>
    <w:p>
      <w:pPr>
        <w:pStyle w:val="Heading1"/>
        <w:keepNext/>
        <w:spacing w:before="160" w:after="120"/>
      </w:pPr>
      <w:r>
        <w:rPr>
          <w:rFonts w:ascii="Aptos" w:hAnsi="Aptos"/>
          <w:b/>
          <w:color w:val="000000"/>
          <w:sz w:val="32"/>
        </w:rPr>
        <w:t>Parte 1 Equivalencias para VM y disco persistente</w:t>
      </w:r>
    </w:p>
    <w:p>
      <w:pPr>
        <w:spacing w:before="0" w:after="160" w:line="269" w:lineRule="auto"/>
      </w:pPr>
      <w:r>
        <w:rPr>
          <w:rFonts w:ascii="Aptos" w:hAnsi="Aptos"/>
          <w:b w:val="0"/>
          <w:i w:val="0"/>
          <w:color w:val="000000"/>
          <w:sz w:val="21"/>
        </w:rPr>
        <w:t>Estas equivalencias cubren las tres secciones de aprovisionamiento de la guía. Un solo plan de Terraform creó los recursos, mientras que user_data completó la preparación del sistema operativo.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1.1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instances create ... --metadata=startup-script</w:t>
              <w:br/>
              <w:t>AWS: terraform plan -out=tfplan; terraform apply tfplan</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aws_instance creó la EC2; user_data instaló Docker, Git y utilidades sobre Amazon Linux 2023.</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1.2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disks create; gcloud compute instances attach-disk</w:t>
              <w:br/>
              <w:t>AWS: aws_ebs_volume + aws_volume_attachment dentro del mismo plan</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EBS quedó separado del disco raíz y no se reemplazó junto con la instancia.</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1.3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ssh; mkfs.ext4; blkid; mount; editar /etc/fstab</w:t>
              <w:br/>
              <w:t>AWS: user_data ejecutó mkfs.ext4, obtuvo el UUID y escribió fstab; findmnt verificó el montaje</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conservó el montaje por UUID, pero se automatizó y se añadieron controles para no formatear un disco con datos.</w:t>
            </w:r>
          </w:p>
        </w:tc>
      </w:tr>
    </w:tbl>
    <w:p>
      <w:pPr>
        <w:spacing w:after="0"/>
      </w:pPr>
    </w:p>
    <w:p>
      <w:r>
        <w:br w:type="page"/>
      </w:r>
    </w:p>
    <w:p>
      <w:pPr>
        <w:pStyle w:val="Heading1"/>
        <w:keepNext/>
        <w:spacing w:before="160" w:after="120"/>
      </w:pPr>
      <w:r>
        <w:rPr>
          <w:rFonts w:ascii="Aptos" w:hAnsi="Aptos"/>
          <w:b/>
          <w:color w:val="000000"/>
          <w:sz w:val="32"/>
        </w:rPr>
        <w:t>Parte 2 Equivalencias para el servicio y la persistencia</w:t>
      </w:r>
    </w:p>
    <w:p>
      <w:pPr>
        <w:spacing w:before="0" w:after="160" w:line="269" w:lineRule="auto"/>
      </w:pPr>
      <w:r>
        <w:rPr>
          <w:rFonts w:ascii="Aptos" w:hAnsi="Aptos"/>
          <w:b w:val="0"/>
          <w:i w:val="0"/>
          <w:color w:val="000000"/>
          <w:sz w:val="21"/>
        </w:rPr>
        <w:t>El servicio patrón conservó el comportamiento de la guía. Los comandos Linux y Docker siguieron siendo válidos; cambiaron el acceso a la VM, la apertura de red y la forma de reemplazar la instancia.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crear manualmente el servidor con /, /healthz y /metrics</w:t>
              <w:br/>
              <w:t>AWS: user_data clonó el repositorio y utilizó app/ con los mismos endpoints</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reutilizó el servicio patrón del template para concentrar la adaptación en la infraestructura.</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docker build; docker run -p 8080:8080 -v &lt;disco&gt;:/data</w:t>
              <w:br/>
              <w:t>AWS: docker build -t app:lab3 app; docker run -v /mnt/lab3-data/app:/data</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bind mount mantuvo el contador fuera de la capa descartable del contenedor.</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gcloud compute firewall-rules create; curl http://&lt;IP&gt;:8080</w:t>
              <w:br/>
              <w:t>AWS: aws_vpc_security_group_ingress_rule; curl desde CloudShell</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publicó sólo TCP 8080 y únicamente para la IPv4 /32 de origen; SSH no quedó expuesto.</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2.4</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curl; docker rm -f; docker run; curl</w:t>
              <w:br/>
              <w:t>AWS: los mismos comandos se ejecutaron por SSM sobre la EC2</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Docker es independiente del proveedor. El valor persistente pasó de 6 a 7 al recrear el contenedor.</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2.5</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instances delete; disks describe; instances create --disk</w:t>
              <w:br/>
              <w:t>AWS: terraform plan -replace=module.lab3.aws_instance.this; terraform apply &lt;plan&gt;</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El plan mostró el EBS como no-op. La EC2 nueva heredó 7 y la primera consulta produjo 8.</w:t>
            </w:r>
          </w:p>
        </w:tc>
      </w:tr>
    </w:tbl>
    <w:p>
      <w:pPr>
        <w:spacing w:after="0"/>
      </w:pPr>
    </w:p>
    <w:p>
      <w:r>
        <w:br w:type="page"/>
      </w:r>
    </w:p>
    <w:p>
      <w:pPr>
        <w:pStyle w:val="Heading1"/>
        <w:keepNext/>
        <w:spacing w:before="160" w:after="120"/>
      </w:pPr>
      <w:r>
        <w:rPr>
          <w:rFonts w:ascii="Aptos" w:hAnsi="Aptos"/>
          <w:b/>
          <w:color w:val="000000"/>
          <w:sz w:val="32"/>
        </w:rPr>
        <w:t>Parte 3 Equivalencias para la carga de inteligencia artificial</w:t>
      </w:r>
    </w:p>
    <w:p>
      <w:pPr>
        <w:spacing w:before="0" w:after="160" w:line="269" w:lineRule="auto"/>
      </w:pPr>
      <w:r>
        <w:rPr>
          <w:rFonts w:ascii="Aptos" w:hAnsi="Aptos"/>
          <w:b w:val="0"/>
          <w:i w:val="0"/>
          <w:color w:val="000000"/>
          <w:sz w:val="21"/>
        </w:rPr>
        <w:t>La guía permite elegir el servidor de inferencia. Se eligió Ollama con llama3.2:1b porque ofrecía una carga reproducible en CPU y permitía almacenar los pesos en el mismo EBS persistente.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3.1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elegir Ollama o un servidor propio con Transformers</w:t>
              <w:br/>
              <w:t>AWS: ollama/ollama:0.40.3 con llama3.2:1b</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La imagen y el modelo se fijaron explícitamente para repetir la prueba.</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3.2</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docker run -v /mnt/disks/datos/ollama:/root/.ollama; ollama pull</w:t>
              <w:br/>
              <w:t>AWS: docker run -v /mnt/lab3-data/ollama:/root/.ollama; docker exec ollama ollama pull</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Los pesos quedaron en EBS y sobrevivieron al reemplazo de la EC2.</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3.3</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diez curl a localhost:11434/api/generate con time_total</w:t>
              <w:br/>
              <w:t>AWS: el mismo benchmark se lanzó mediante SSM dentro de EC2</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El endpoint de Ollama permaneció en loopback; se midieron mínimo, máximo y promedio reales.</w:t>
            </w:r>
          </w:p>
        </w:tc>
      </w:tr>
      <w:tr>
        <w:tc>
          <w:tcPr>
            <w:tcW w:type="dxa" w:w="100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3.4</w:t>
            </w:r>
          </w:p>
        </w:tc>
        <w:tc>
          <w:tcPr>
            <w:tcW w:type="dxa" w:w="5112"/>
            <w:shd w:fill="EAF1F8"/>
            <w:tcMar>
              <w:top w:w="110" w:type="dxa"/>
              <w:start w:w="120" w:type="dxa"/>
              <w:bottom w:w="110" w:type="dxa"/>
              <w:end w:w="120" w:type="dxa"/>
            </w:tcMar>
            <w:vAlign w:val="center"/>
          </w:tcPr>
          <w:p>
            <w:pPr>
              <w:spacing w:after="0" w:line="252" w:lineRule="auto"/>
            </w:pPr>
            <w:r>
              <w:rPr>
                <w:rFonts w:ascii="Consolas" w:hAnsi="Consolas"/>
                <w:b w:val="0"/>
                <w:color w:val="000000"/>
                <w:sz w:val="16"/>
              </w:rPr>
              <w:t>GCP: analizar CPU frente a GPU según modelo, latencia y carga</w:t>
              <w:br/>
              <w:t>AWS: analizar c7i-flex.large, 2 vCPU, 4 GiB y diez solicitudes</w:t>
            </w:r>
          </w:p>
        </w:tc>
        <w:tc>
          <w:tcPr>
            <w:tcW w:type="dxa" w:w="3168"/>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 fue suficiente para el modelo 1B y una demo; GPU se reserva para modelos mayores o concurrencia.</w:t>
            </w:r>
          </w:p>
        </w:tc>
      </w:tr>
    </w:tbl>
    <w:p>
      <w:pPr>
        <w:spacing w:after="0"/>
      </w:pPr>
    </w:p>
    <w:p>
      <w:r>
        <w:br w:type="page"/>
      </w:r>
    </w:p>
    <w:p>
      <w:pPr>
        <w:pStyle w:val="Heading1"/>
        <w:keepNext/>
        <w:spacing w:before="160" w:after="120"/>
      </w:pPr>
      <w:r>
        <w:rPr>
          <w:rFonts w:ascii="Aptos" w:hAnsi="Aptos"/>
          <w:b/>
          <w:color w:val="000000"/>
          <w:sz w:val="32"/>
        </w:rPr>
        <w:t>Parte 4 Equivalencia para la limpieza</w:t>
      </w:r>
    </w:p>
    <w:p>
      <w:pPr>
        <w:spacing w:before="0" w:after="160" w:line="269" w:lineRule="auto"/>
      </w:pPr>
      <w:r>
        <w:rPr>
          <w:rFonts w:ascii="Aptos" w:hAnsi="Aptos"/>
          <w:b w:val="0"/>
          <w:i w:val="0"/>
          <w:color w:val="000000"/>
          <w:sz w:val="21"/>
        </w:rPr>
        <w:t>La limpieza mantuvo la intención de la guía: retirar todos los recursos del laboratorio y demostrar que no quedó infraestructura facturable propia del ejercicio.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1008"/>
            <w:shd w:fill="17365D"/>
            <w:tcMar>
              <w:top w:w="110" w:type="dxa"/>
              <w:start w:w="120" w:type="dxa"/>
              <w:bottom w:w="110" w:type="dxa"/>
              <w:end w:w="120" w:type="dxa"/>
            </w:tcMar>
            <w:vAlign w:val="center"/>
          </w:tcPr>
          <w:p>
            <w:pPr>
              <w:spacing w:after="0"/>
              <w:jc w:val="center"/>
            </w:pPr>
            <w:r>
              <w:rPr>
                <w:rFonts w:ascii="Aptos" w:hAnsi="Aptos"/>
                <w:b/>
                <w:color w:val="FFFFFF"/>
                <w:sz w:val="18"/>
              </w:rPr>
              <w:t>Sección</w:t>
            </w:r>
          </w:p>
        </w:tc>
        <w:tc>
          <w:tcPr>
            <w:tcW w:type="dxa" w:w="5112"/>
            <w:shd w:fill="17365D"/>
            <w:tcMar>
              <w:top w:w="110" w:type="dxa"/>
              <w:start w:w="120" w:type="dxa"/>
              <w:bottom w:w="110" w:type="dxa"/>
              <w:end w:w="120" w:type="dxa"/>
            </w:tcMar>
            <w:vAlign w:val="center"/>
          </w:tcPr>
          <w:p>
            <w:pPr>
              <w:spacing w:after="0"/>
              <w:jc w:val="center"/>
            </w:pPr>
            <w:r>
              <w:rPr>
                <w:rFonts w:ascii="Aptos" w:hAnsi="Aptos"/>
                <w:b/>
                <w:color w:val="FFFFFF"/>
                <w:sz w:val="18"/>
              </w:rPr>
              <w:t>Guía GCP y equivalente ejecutado en AWS</w:t>
            </w:r>
          </w:p>
        </w:tc>
        <w:tc>
          <w:tcPr>
            <w:tcW w:type="dxa" w:w="3168"/>
            <w:shd w:fill="17365D"/>
            <w:tcMar>
              <w:top w:w="110" w:type="dxa"/>
              <w:start w:w="120" w:type="dxa"/>
              <w:bottom w:w="110" w:type="dxa"/>
              <w:end w:w="120" w:type="dxa"/>
            </w:tcMar>
            <w:vAlign w:val="center"/>
          </w:tcPr>
          <w:p>
            <w:pPr>
              <w:spacing w:after="0"/>
              <w:jc w:val="center"/>
            </w:pPr>
            <w:r>
              <w:rPr>
                <w:rFonts w:ascii="Aptos" w:hAnsi="Aptos"/>
                <w:b/>
                <w:color w:val="FFFFFF"/>
                <w:sz w:val="18"/>
              </w:rPr>
              <w:t>Criterio de adaptación</w:t>
            </w:r>
          </w:p>
        </w:tc>
      </w:tr>
      <w:tr>
        <w:tc>
          <w:tcPr>
            <w:tcW w:type="dxa" w:w="1008"/>
            <w:tcMar>
              <w:top w:w="110" w:type="dxa"/>
              <w:start w:w="120" w:type="dxa"/>
              <w:bottom w:w="110" w:type="dxa"/>
              <w:end w:w="120" w:type="dxa"/>
            </w:tcMar>
            <w:vAlign w:val="center"/>
          </w:tcPr>
          <w:p>
            <w:pPr>
              <w:spacing w:after="0" w:line="252" w:lineRule="auto"/>
              <w:jc w:val="left"/>
            </w:pPr>
            <w:r>
              <w:rPr>
                <w:rFonts w:ascii="Aptos" w:hAnsi="Aptos"/>
                <w:b w:val="0"/>
                <w:color w:val="000000"/>
                <w:sz w:val="18"/>
              </w:rPr>
              <w:t>4.1</w:t>
            </w:r>
          </w:p>
        </w:tc>
        <w:tc>
          <w:tcPr>
            <w:tcW w:type="dxa" w:w="5112"/>
            <w:tcMar>
              <w:top w:w="110" w:type="dxa"/>
              <w:start w:w="120" w:type="dxa"/>
              <w:bottom w:w="110" w:type="dxa"/>
              <w:end w:w="120" w:type="dxa"/>
            </w:tcMar>
            <w:vAlign w:val="center"/>
          </w:tcPr>
          <w:p>
            <w:pPr>
              <w:spacing w:after="0" w:line="252" w:lineRule="auto"/>
            </w:pPr>
            <w:r>
              <w:rPr>
                <w:rFonts w:ascii="Consolas" w:hAnsi="Consolas"/>
                <w:b w:val="0"/>
                <w:color w:val="000000"/>
                <w:sz w:val="16"/>
              </w:rPr>
              <w:t>GCP: instances delete; disks delete; firewall-rules delete; list</w:t>
              <w:br/>
              <w:t>AWS: terraform plan -destroy -out=destroy.plan; terraform apply destroy.plan; AWS CLI describe/get</w:t>
            </w:r>
          </w:p>
        </w:tc>
        <w:tc>
          <w:tcPr>
            <w:tcW w:type="dxa" w:w="3168"/>
            <w:tcMar>
              <w:top w:w="110" w:type="dxa"/>
              <w:start w:w="120" w:type="dxa"/>
              <w:bottom w:w="110" w:type="dxa"/>
              <w:end w:w="120" w:type="dxa"/>
            </w:tcMar>
            <w:vAlign w:val="center"/>
          </w:tcPr>
          <w:p>
            <w:pPr>
              <w:spacing w:after="0" w:line="252" w:lineRule="auto"/>
            </w:pPr>
            <w:r>
              <w:rPr>
                <w:rFonts w:ascii="Aptos" w:hAnsi="Aptos"/>
                <w:b w:val="0"/>
                <w:color w:val="000000"/>
                <w:sz w:val="18"/>
              </w:rPr>
              <w:t>Se respaldó el estado, se aplicó el plan guardado y se verificaron Terraform vacío y recursos inexistentes.</w:t>
            </w:r>
          </w:p>
        </w:tc>
      </w:tr>
    </w:tbl>
    <w:p>
      <w:pPr>
        <w:spacing w:after="0"/>
      </w:pPr>
    </w:p>
    <w:p>
      <w:pPr>
        <w:pStyle w:val="Heading2"/>
        <w:keepNext/>
        <w:spacing w:before="100" w:after="120"/>
      </w:pPr>
      <w:r>
        <w:rPr>
          <w:rFonts w:ascii="Aptos" w:hAnsi="Aptos"/>
          <w:b/>
          <w:color w:val="000000"/>
          <w:sz w:val="25"/>
        </w:rPr>
        <w:t>Resultado de la adaptación</w:t>
      </w:r>
    </w:p>
    <w:p>
      <w:pPr>
        <w:spacing w:before="0" w:after="120" w:line="269" w:lineRule="auto"/>
      </w:pPr>
      <w:r>
        <w:rPr>
          <w:rFonts w:ascii="Aptos" w:hAnsi="Aptos"/>
          <w:b w:val="0"/>
          <w:i w:val="0"/>
          <w:color w:val="000000"/>
          <w:sz w:val="21"/>
        </w:rPr>
        <w:t>La infraestructura se definió mediante un modelo declarativo de Terraform, especificando el estado final esperado de la instancia EC2, el volumen EBS y las reglas de red. En lugar de ejecutar manualmente una secuencia de comandos para crear, asociar y configurar cada recurso, la configuración describe cómo debe quedar la infraestructura.</w:t>
      </w:r>
    </w:p>
    <w:p>
      <w:pPr>
        <w:spacing w:before="0" w:after="120" w:line="269" w:lineRule="auto"/>
      </w:pPr>
      <w:r>
        <w:rPr>
          <w:rFonts w:ascii="Aptos" w:hAnsi="Aptos"/>
          <w:b w:val="0"/>
          <w:i w:val="0"/>
          <w:color w:val="000000"/>
          <w:sz w:val="21"/>
        </w:rPr>
        <w:t>Terraform comparó esa configuración con los recursos existentes en AWS, calculó las acciones necesarias y gestionó sus dependencias. El plan previo permitió revisar qué recursos se crearían, modificarían o eliminarían antes de aplicar los cambios.</w:t>
      </w:r>
    </w:p>
    <w:p>
      <w:pPr>
        <w:spacing w:before="0" w:after="120" w:line="269" w:lineRule="auto"/>
      </w:pPr>
      <w:r>
        <w:rPr>
          <w:rFonts w:ascii="Aptos" w:hAnsi="Aptos"/>
          <w:b w:val="0"/>
          <w:i w:val="0"/>
          <w:color w:val="000000"/>
          <w:sz w:val="21"/>
        </w:rPr>
        <w:t>Sin embargo, la declaración de infraestructura no garantiza por sí sola el funcionamiento de los servicios instalados dentro de la VM. Por ello, el despliegue se complementó con verificaciones funcionales de montaje, conectividad, persistencia e inferencia. En esta adaptación, SSM sustituyó el acceso por SSH y el volumen EBS se mantuvo con un ciclo de vida independiente de la instancia EC2.</w:t>
      </w:r>
    </w:p>
    <w:p>
      <w:r>
        <w:br w:type="page"/>
      </w:r>
    </w:p>
    <w:p>
      <w:pPr>
        <w:pStyle w:val="Heading1"/>
        <w:keepNext/>
        <w:spacing w:before="160" w:after="120"/>
      </w:pPr>
      <w:r>
        <w:rPr>
          <w:rFonts w:ascii="Aptos" w:hAnsi="Aptos"/>
          <w:b/>
          <w:color w:val="000000"/>
          <w:sz w:val="32"/>
        </w:rPr>
        <w:t>Entregable 1.1 Montaje persistente por UUID</w:t>
      </w:r>
    </w:p>
    <w:p>
      <w:pPr>
        <w:spacing w:before="0" w:after="160" w:line="269" w:lineRule="auto"/>
      </w:pPr>
      <w:r>
        <w:rPr>
          <w:rFonts w:ascii="Aptos" w:hAnsi="Aptos"/>
          <w:b w:val="0"/>
          <w:i w:val="0"/>
          <w:color w:val="000000"/>
          <w:sz w:val="21"/>
        </w:rPr>
        <w:t>Se verificó el volumen EBS separado del disco raíz, formateado como ext4 y montado en /mnt/lab3-data. La entrada de fstab usa el UUID estable del filesystem.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Dispositivo de datos</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nvme1n1 · ext4 · 10 GiB</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Punto de montaje</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/mnt/lab3-data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UUID</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01d17fc9-36d0-4cc4-b473-1f1a336a58c3</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fstab</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UUID=01d17fc9-36d0-4cc4-b473-1f1a336a58c3 /mnt/lab3-data ext4 defaults,x-systemd.device-timeout=10min 0 2</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Resultado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Montado en lectura y escritura; 8 GiB disponibles al verificar</w:t>
            </w:r>
          </w:p>
        </w:tc>
      </w:tr>
    </w:tbl>
    <w:p>
      <w:pPr>
        <w:spacing w:after="0"/>
      </w:pPr>
    </w:p>
    <w:p>
      <w:pPr>
        <w:pStyle w:val="Heading2"/>
        <w:keepNext/>
        <w:spacing w:before="100" w:after="120"/>
      </w:pPr>
      <w:r>
        <w:rPr>
          <w:rFonts w:ascii="Aptos" w:hAnsi="Aptos"/>
          <w:b/>
          <w:color w:val="000000"/>
          <w:sz w:val="25"/>
        </w:rPr>
        <w:t>Interpretación</w:t>
      </w:r>
    </w:p>
    <w:p>
      <w:pPr>
        <w:spacing w:before="0" w:after="120" w:line="269" w:lineRule="auto"/>
      </w:pPr>
      <w:r>
        <w:rPr>
          <w:rFonts w:ascii="Aptos" w:hAnsi="Aptos"/>
          <w:b w:val="0"/>
          <w:i w:val="0"/>
          <w:color w:val="000000"/>
          <w:sz w:val="21"/>
        </w:rPr>
        <w:t>El nombre NVMe puede cambiar entre instancias, pero el UUID identifica el filesystem. La opción de timeout permite que systemd gestione la espera del dispositivo sin vincular el montaje a un nombre volátil.</w:t>
      </w:r>
    </w:p>
    <w:p>
      <w:r>
        <w:br w:type="page"/>
      </w:r>
    </w:p>
    <w:p>
      <w:pPr>
        <w:pStyle w:val="Heading1"/>
        <w:keepNext/>
        <w:spacing w:before="160" w:after="120"/>
      </w:pPr>
      <w:r>
        <w:rPr>
          <w:rFonts w:ascii="Aptos" w:hAnsi="Aptos"/>
          <w:b/>
          <w:color w:val="000000"/>
          <w:sz w:val="32"/>
        </w:rPr>
        <w:t>Entregable 2.1 Servicio y métricas desde fuera de EC2</w:t>
      </w:r>
    </w:p>
    <w:p>
      <w:pPr>
        <w:spacing w:before="0" w:after="160" w:line="269" w:lineRule="auto"/>
      </w:pPr>
      <w:r>
        <w:rPr>
          <w:rFonts w:ascii="Aptos" w:hAnsi="Aptos"/>
          <w:b w:val="0"/>
          <w:i w:val="0"/>
          <w:color w:val="000000"/>
          <w:sz w:val="21"/>
        </w:rPr>
        <w:t>Las consultas se ejecutaron desde AWS CloudShell, fuera de la instancia. El security group expuso únicamente TCP 8080 al origen /32 autorizado.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Servicio patrón activo. Visitas persistidas en disco: 2</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/metrics</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servicio_patron_hits_total 2.0</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GET /healthz</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{"status":"ok"}</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Exposición</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TCP 8080 limitado a la IPv4 /32 de CloudShell</w:t>
            </w:r>
          </w:p>
        </w:tc>
      </w:tr>
    </w:tbl>
    <w:p>
      <w:pPr>
        <w:spacing w:after="0"/>
      </w:pP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El valor del contador y la métrica Prometheus coincidieron. Esto prueba conectividad externa, funcionamiento HTTP y actualización de la métrica de negocio.</w:t>
      </w:r>
    </w:p>
    <w:p>
      <w:r>
        <w:br w:type="page"/>
      </w:r>
    </w:p>
    <w:p>
      <w:pPr>
        <w:pStyle w:val="Heading1"/>
        <w:keepNext/>
        <w:spacing w:before="160" w:after="120"/>
      </w:pPr>
      <w:r>
        <w:rPr>
          <w:rFonts w:ascii="Aptos" w:hAnsi="Aptos"/>
          <w:b/>
          <w:color w:val="000000"/>
          <w:sz w:val="32"/>
        </w:rPr>
        <w:t>Entregable 2.2 Persistencia al recrear el contenedor</w:t>
      </w:r>
    </w:p>
    <w:p>
      <w:pPr>
        <w:spacing w:before="0" w:after="160" w:line="269" w:lineRule="auto"/>
      </w:pPr>
      <w:r>
        <w:rPr>
          <w:rFonts w:ascii="Aptos" w:hAnsi="Aptos"/>
          <w:b w:val="0"/>
          <w:i w:val="0"/>
          <w:color w:val="000000"/>
          <w:sz w:val="21"/>
        </w:rPr>
        <w:t>Se incrementó el contador, se eliminó completamente el contenedor servicio-patron y se creó otro desde la misma imagen con el mismo bind mount de EBS.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Valor antes de docker rm</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6</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Acción</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docker rm -f servicio-patron y docker run con /mnt/lab3-data/app:/data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Valor después de recrear</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7</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Archivo persistente</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 inmediatamente después de recrear; 7 después de la primera consulta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Conclusión</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El contador continuó la secuencia y el contenedor quedó activo con el mismo bind mount.</w:t>
            </w:r>
          </w:p>
        </w:tc>
      </w:tr>
    </w:tbl>
    <w:p>
      <w:pPr>
        <w:spacing w:after="0"/>
      </w:pPr>
    </w:p>
    <w:p>
      <w:r>
        <w:br w:type="page"/>
      </w:r>
    </w:p>
    <w:p>
      <w:pPr>
        <w:pStyle w:val="Heading1"/>
        <w:keepNext/>
        <w:spacing w:before="160" w:after="120"/>
      </w:pPr>
      <w:r>
        <w:rPr>
          <w:rFonts w:ascii="Aptos" w:hAnsi="Aptos"/>
          <w:b/>
          <w:color w:val="000000"/>
          <w:sz w:val="32"/>
        </w:rPr>
        <w:t>Entregable 2.3 Persistencia al reemplazar la instancia</w:t>
      </w:r>
    </w:p>
    <w:p>
      <w:pPr>
        <w:spacing w:before="0" w:after="160" w:line="269" w:lineRule="auto"/>
      </w:pPr>
      <w:r>
        <w:rPr>
          <w:rFonts w:ascii="Aptos" w:hAnsi="Aptos"/>
          <w:b w:val="0"/>
          <w:i w:val="0"/>
          <w:color w:val="000000"/>
          <w:sz w:val="21"/>
        </w:rPr>
        <w:t>Terraform reemplazó EC2 y su asociación, pero conservó el volumen EBS como recurso no modificado. El bootstrap de la instancia nueva montó el mismo filesystem.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aplicado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2 recursos agregados, 0 modificados y 2 destruidos</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Volumen EBS</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no-op y el mismo identificador antes y después</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SHA-256</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59580ab1bf47ed513e9c0827beada1ea</w:t>
              <w:br/>
              <w:t>30f285da230b317ca8659f028c439d04</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Contador heredado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7 en la EC2 nueva, antes de consultar el servicio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Primera consulta en EC2 nueva</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8 en la primera consulta</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Resultado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 mismo EBS conservó el contador y el modelo; Terraform quedó sin cambios.</w:t>
            </w:r>
          </w:p>
        </w:tc>
      </w:tr>
    </w:tbl>
    <w:p>
      <w:pPr>
        <w:spacing w:after="0"/>
      </w:pPr>
    </w:p>
    <w:p>
      <w:pPr>
        <w:spacing w:before="0" w:after="120" w:line="269" w:lineRule="auto"/>
      </w:pPr>
      <w:r>
        <w:rPr>
          <w:rFonts w:ascii="Aptos" w:hAnsi="Aptos"/>
          <w:b w:val="0"/>
          <w:i w:val="0"/>
          <w:color w:val="000000"/>
          <w:sz w:val="21"/>
        </w:rPr>
        <w:t>Se utilizó un plan guardado y validado por hash. La indisponibilidad se limitó al reemplazo de la instancia y al tiempo de bootstrap.</w:t>
      </w:r>
    </w:p>
    <w:p>
      <w:r>
        <w:br w:type="page"/>
      </w:r>
    </w:p>
    <w:p>
      <w:pPr>
        <w:pStyle w:val="Heading1"/>
        <w:keepNext/>
        <w:spacing w:before="160" w:after="120"/>
      </w:pPr>
      <w:r>
        <w:rPr>
          <w:rFonts w:ascii="Aptos" w:hAnsi="Aptos"/>
          <w:b/>
          <w:color w:val="000000"/>
          <w:sz w:val="32"/>
        </w:rPr>
        <w:t>Entregable 3.1 Pesos del modelo en almacenamiento persistente</w:t>
      </w:r>
    </w:p>
    <w:p>
      <w:pPr>
        <w:spacing w:before="0" w:after="160" w:line="269" w:lineRule="auto"/>
      </w:pPr>
      <w:r>
        <w:rPr>
          <w:rFonts w:ascii="Aptos" w:hAnsi="Aptos"/>
          <w:b w:val="0"/>
          <w:i w:val="0"/>
          <w:color w:val="000000"/>
          <w:sz w:val="21"/>
        </w:rPr>
        <w:t>La carga de IA elegida fue Ollama 0.40.3 con llama3.2:1b. El directorio de modelos del contenedor se vinculó a /mnt/lab3-data/ollama.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Runtime</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Ollama 0.40.3 en Docker</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Modelo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llama3.2:1b</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Bind mount</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/mnt/lab3-data/ollama → /root/.ollama</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Uso medido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1.3 GiB en /mnt/lab3-data/ollama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Acceso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API sólo en 127.0.0.1:11434 dentro de EC2</w:t>
            </w:r>
          </w:p>
        </w:tc>
      </w:tr>
    </w:tbl>
    <w:p>
      <w:pPr>
        <w:spacing w:after="0"/>
      </w:pPr>
    </w:p>
    <w:p>
      <w:pPr>
        <w:pStyle w:val="Heading2"/>
        <w:keepNext/>
        <w:spacing w:before="100" w:after="120"/>
      </w:pPr>
      <w:r>
        <w:rPr>
          <w:rFonts w:ascii="Aptos" w:hAnsi="Aptos"/>
          <w:b/>
          <w:color w:val="000000"/>
          <w:sz w:val="25"/>
        </w:rPr>
        <w:t>Resultado</w:t>
      </w:r>
    </w:p>
    <w:p>
      <w:pPr>
        <w:spacing w:before="0" w:after="120" w:line="269" w:lineRule="auto"/>
      </w:pPr>
      <w:r>
        <w:rPr>
          <w:rFonts w:ascii="Aptos" w:hAnsi="Aptos"/>
          <w:b w:val="0"/>
          <w:i w:val="0"/>
          <w:color w:val="000000"/>
          <w:sz w:val="21"/>
        </w:rPr>
        <w:t>Los pesos quedaron fuera de la capa efímera del contenedor. Recrear Ollama no exige volver a descargar el modelo mientras el EBS se conserve.</w:t>
      </w:r>
    </w:p>
    <w:p>
      <w:r>
        <w:br w:type="page"/>
      </w:r>
    </w:p>
    <w:p>
      <w:pPr>
        <w:pStyle w:val="Heading1"/>
        <w:keepNext/>
        <w:spacing w:before="160" w:after="120"/>
      </w:pPr>
      <w:r>
        <w:rPr>
          <w:rFonts w:ascii="Aptos" w:hAnsi="Aptos"/>
          <w:b/>
          <w:color w:val="000000"/>
          <w:sz w:val="32"/>
        </w:rPr>
        <w:t>Entregable 3.2 Latencia de inferencia en CPU</w:t>
      </w:r>
    </w:p>
    <w:p>
      <w:pPr>
        <w:spacing w:before="0" w:after="160" w:line="269" w:lineRule="auto"/>
      </w:pPr>
      <w:r>
        <w:rPr>
          <w:rFonts w:ascii="Aptos" w:hAnsi="Aptos"/>
          <w:b w:val="0"/>
          <w:i w:val="0"/>
          <w:color w:val="000000"/>
          <w:sz w:val="21"/>
        </w:rPr>
        <w:t>Se enviaron diez solicitudes consecutivas a /api/generate con stream=false y el mismo prompt. La instancia no tenía GPU.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880"/>
            <w:shd w:fill="17365D"/>
            <w:tcMar>
              <w:top w:w="110" w:type="dxa"/>
              <w:start w:w="120" w:type="dxa"/>
              <w:bottom w:w="110" w:type="dxa"/>
              <w:end w:w="120" w:type="dxa"/>
            </w:tcMar>
            <w:vAlign w:val="center"/>
          </w:tcPr>
          <w:p>
            <w:pPr>
              <w:spacing w:after="0"/>
              <w:jc w:val="center"/>
            </w:pPr>
            <w:r>
              <w:rPr>
                <w:rFonts w:ascii="Aptos" w:hAnsi="Aptos"/>
                <w:b/>
                <w:color w:val="FFFFFF"/>
                <w:sz w:val="18"/>
              </w:rPr>
              <w:t>Solicitud</w:t>
            </w:r>
          </w:p>
        </w:tc>
        <w:tc>
          <w:tcPr>
            <w:tcW w:type="dxa" w:w="3456"/>
            <w:shd w:fill="17365D"/>
            <w:tcMar>
              <w:top w:w="110" w:type="dxa"/>
              <w:start w:w="120" w:type="dxa"/>
              <w:bottom w:w="110" w:type="dxa"/>
              <w:end w:w="120" w:type="dxa"/>
            </w:tcMar>
            <w:vAlign w:val="center"/>
          </w:tcPr>
          <w:p>
            <w:pPr>
              <w:spacing w:after="0"/>
              <w:jc w:val="center"/>
            </w:pPr>
            <w:r>
              <w:rPr>
                <w:rFonts w:ascii="Aptos" w:hAnsi="Aptos"/>
                <w:b/>
                <w:color w:val="FFFFFF"/>
                <w:sz w:val="18"/>
              </w:rPr>
              <w:t>Latencia total</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1</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12.449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2</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4.022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3</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4.325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4</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5.606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5</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8.403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6</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6.981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7</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4.094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8</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6.462 s</w:t>
            </w:r>
          </w:p>
        </w:tc>
      </w:tr>
      <w:tr>
        <w:tc>
          <w:tcPr>
            <w:tcW w:type="dxa" w:w="2880"/>
            <w:tcMar>
              <w:top w:w="110" w:type="dxa"/>
              <w:start w:w="120" w:type="dxa"/>
              <w:bottom w:w="110" w:type="dxa"/>
              <w:end w:w="120" w:type="dxa"/>
            </w:tcMar>
            <w:vAlign w:val="center"/>
          </w:tcPr>
          <w:p>
            <w:pPr>
              <w:spacing w:after="0" w:line="252" w:lineRule="auto"/>
              <w:jc w:val="left"/>
            </w:pPr>
            <w:r>
              <w:rPr>
                <w:rFonts w:ascii="Aptos" w:hAnsi="Aptos"/>
                <w:b w:val="0"/>
                <w:color w:val="000000"/>
                <w:sz w:val="18"/>
              </w:rPr>
              <w:t>9</w:t>
            </w:r>
          </w:p>
        </w:tc>
        <w:tc>
          <w:tcPr>
            <w:tcW w:type="dxa" w:w="3456"/>
            <w:tcMar>
              <w:top w:w="110" w:type="dxa"/>
              <w:start w:w="120" w:type="dxa"/>
              <w:bottom w:w="110" w:type="dxa"/>
              <w:end w:w="120" w:type="dxa"/>
            </w:tcMar>
            <w:vAlign w:val="center"/>
          </w:tcPr>
          <w:p>
            <w:pPr>
              <w:spacing w:after="0" w:line="252" w:lineRule="auto"/>
            </w:pPr>
            <w:r>
              <w:rPr>
                <w:rFonts w:ascii="Aptos" w:hAnsi="Aptos"/>
                <w:b w:val="0"/>
                <w:color w:val="000000"/>
                <w:sz w:val="18"/>
              </w:rPr>
              <w:t>4.113 s</w:t>
            </w:r>
          </w:p>
        </w:tc>
      </w:tr>
      <w:tr>
        <w:tc>
          <w:tcPr>
            <w:tcW w:type="dxa" w:w="2880"/>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10</w:t>
            </w:r>
          </w:p>
        </w:tc>
        <w:tc>
          <w:tcPr>
            <w:tcW w:type="dxa" w:w="3456"/>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5.737 s</w:t>
            </w:r>
          </w:p>
        </w:tc>
      </w:tr>
    </w:tbl>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rPr>
          <w:tblHeader w:val="true"/>
        </w:trPr>
        <w:tc>
          <w:tcPr>
            <w:tcW w:type="dxa" w:w="4032"/>
            <w:shd w:fill="17365D"/>
            <w:tcMar>
              <w:top w:w="110" w:type="dxa"/>
              <w:start w:w="120" w:type="dxa"/>
              <w:bottom w:w="110" w:type="dxa"/>
              <w:end w:w="120" w:type="dxa"/>
            </w:tcMar>
            <w:vAlign w:val="center"/>
          </w:tcPr>
          <w:p>
            <w:pPr>
              <w:spacing w:after="0"/>
              <w:jc w:val="center"/>
            </w:pPr>
            <w:r>
              <w:rPr>
                <w:rFonts w:ascii="Aptos" w:hAnsi="Aptos"/>
                <w:b/>
                <w:color w:val="FFFFFF"/>
                <w:sz w:val="18"/>
              </w:rPr>
              <w:t>Máquina</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Mínimo</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Máximo</w:t>
            </w:r>
          </w:p>
        </w:tc>
        <w:tc>
          <w:tcPr>
            <w:tcW w:type="dxa" w:w="1656"/>
            <w:shd w:fill="17365D"/>
            <w:tcMar>
              <w:top w:w="110" w:type="dxa"/>
              <w:start w:w="120" w:type="dxa"/>
              <w:bottom w:w="110" w:type="dxa"/>
              <w:end w:w="120" w:type="dxa"/>
            </w:tcMar>
            <w:vAlign w:val="center"/>
          </w:tcPr>
          <w:p>
            <w:pPr>
              <w:spacing w:after="0"/>
              <w:jc w:val="center"/>
            </w:pPr>
            <w:r>
              <w:rPr>
                <w:rFonts w:ascii="Aptos" w:hAnsi="Aptos"/>
                <w:b/>
                <w:color w:val="FFFFFF"/>
                <w:sz w:val="18"/>
              </w:rPr>
              <w:t>Promedio</w:t>
            </w:r>
          </w:p>
        </w:tc>
      </w:tr>
      <w:tr>
        <w:tc>
          <w:tcPr>
            <w:tcW w:type="dxa" w:w="4032"/>
            <w:tcMar>
              <w:top w:w="110" w:type="dxa"/>
              <w:start w:w="120" w:type="dxa"/>
              <w:bottom w:w="110" w:type="dxa"/>
              <w:end w:w="120" w:type="dxa"/>
            </w:tcMar>
            <w:vAlign w:val="center"/>
          </w:tcPr>
          <w:p>
            <w:pPr>
              <w:spacing w:after="0" w:line="252" w:lineRule="auto"/>
            </w:pPr>
            <w:r>
              <w:rPr>
                <w:rFonts w:ascii="Aptos" w:hAnsi="Aptos"/>
                <w:b w:val="0"/>
                <w:color w:val="000000"/>
                <w:sz w:val="18"/>
              </w:rPr>
              <w:t>c7i-flex.large · 2 vCPU · 4 GiB</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4.022 s</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12.449 s</w:t>
            </w:r>
          </w:p>
        </w:tc>
        <w:tc>
          <w:tcPr>
            <w:tcW w:type="dxa" w:w="1656"/>
            <w:tcMar>
              <w:top w:w="110" w:type="dxa"/>
              <w:start w:w="120" w:type="dxa"/>
              <w:bottom w:w="110" w:type="dxa"/>
              <w:end w:w="120" w:type="dxa"/>
            </w:tcMar>
            <w:vAlign w:val="center"/>
          </w:tcPr>
          <w:p>
            <w:pPr>
              <w:spacing w:after="0" w:line="252" w:lineRule="auto"/>
            </w:pPr>
            <w:r>
              <w:rPr>
                <w:rFonts w:ascii="Aptos" w:hAnsi="Aptos"/>
                <w:b w:val="0"/>
                <w:color w:val="000000"/>
                <w:sz w:val="18"/>
              </w:rPr>
              <w:t>6.219 s</w:t>
            </w:r>
          </w:p>
        </w:tc>
      </w:tr>
    </w:tbl>
    <w:p>
      <w:pPr>
        <w:spacing w:after="0"/>
      </w:pPr>
    </w:p>
    <w:p>
      <w:pPr>
        <w:spacing w:before="0" w:after="120" w:line="269" w:lineRule="auto"/>
      </w:pPr>
      <w:r>
        <w:rPr>
          <w:rFonts w:ascii="Aptos" w:hAnsi="Aptos"/>
          <w:b w:val="0"/>
          <w:i w:val="0"/>
          <w:color w:val="000000"/>
          <w:sz w:val="21"/>
        </w:rPr>
        <w:t>La primera solicitud fue la más lenta por el calentamiento inicial. El promedio incluye ese costo y representa mejor una sesión corta de laboratorio.</w:t>
      </w:r>
    </w:p>
    <w:p>
      <w:r>
        <w:br w:type="page"/>
      </w:r>
    </w:p>
    <w:p>
      <w:pPr>
        <w:pStyle w:val="Heading1"/>
        <w:keepNext/>
        <w:spacing w:before="160" w:after="120"/>
      </w:pPr>
      <w:r>
        <w:rPr>
          <w:rFonts w:ascii="Aptos" w:hAnsi="Aptos"/>
          <w:b/>
          <w:color w:val="000000"/>
          <w:sz w:val="32"/>
        </w:rPr>
        <w:t>Entregable 3.3 Decisión CPU frente a GPU</w:t>
      </w:r>
    </w:p>
    <w:p>
      <w:pPr>
        <w:spacing w:before="0" w:after="160" w:line="269" w:lineRule="auto"/>
      </w:pPr>
      <w:r>
        <w:rPr>
          <w:rFonts w:ascii="Aptos" w:hAnsi="Aptos"/>
          <w:b w:val="0"/>
          <w:i w:val="0"/>
          <w:color w:val="000000"/>
          <w:sz w:val="21"/>
        </w:rPr>
        <w:t>Para esta carga de laboratorio, CPU es la opción proporcionada. La medición real no justifica una GPU para uso esporádico, aunque la conclusión cambia con modelos y demanda mayores.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088"/>
            <w:shd w:fill="17365D"/>
            <w:tcMar>
              <w:top w:w="110" w:type="dxa"/>
              <w:start w:w="120" w:type="dxa"/>
              <w:bottom w:w="110" w:type="dxa"/>
              <w:end w:w="120" w:type="dxa"/>
            </w:tcMar>
            <w:vAlign w:val="center"/>
          </w:tcPr>
          <w:p>
            <w:pPr>
              <w:spacing w:after="0"/>
              <w:jc w:val="center"/>
            </w:pPr>
            <w:r>
              <w:rPr>
                <w:rFonts w:ascii="Aptos" w:hAnsi="Aptos"/>
                <w:b/>
                <w:color w:val="FFFFFF"/>
                <w:sz w:val="18"/>
              </w:rPr>
              <w:t>Criterio</w:t>
            </w:r>
          </w:p>
        </w:tc>
        <w:tc>
          <w:tcPr>
            <w:tcW w:type="dxa" w:w="4680"/>
            <w:shd w:fill="17365D"/>
            <w:tcMar>
              <w:top w:w="110" w:type="dxa"/>
              <w:start w:w="120" w:type="dxa"/>
              <w:bottom w:w="110" w:type="dxa"/>
              <w:end w:w="120" w:type="dxa"/>
            </w:tcMar>
            <w:vAlign w:val="center"/>
          </w:tcPr>
          <w:p>
            <w:pPr>
              <w:spacing w:after="0"/>
              <w:jc w:val="center"/>
            </w:pPr>
            <w:r>
              <w:rPr>
                <w:rFonts w:ascii="Aptos" w:hAnsi="Aptos"/>
                <w:b/>
                <w:color w:val="FFFFFF"/>
                <w:sz w:val="18"/>
              </w:rPr>
              <w:t>Situación medida</w:t>
            </w:r>
          </w:p>
        </w:tc>
        <w:tc>
          <w:tcPr>
            <w:tcW w:type="dxa" w:w="2520"/>
            <w:shd w:fill="17365D"/>
            <w:tcMar>
              <w:top w:w="110" w:type="dxa"/>
              <w:start w:w="120" w:type="dxa"/>
              <w:bottom w:w="110" w:type="dxa"/>
              <w:end w:w="120" w:type="dxa"/>
            </w:tcMar>
            <w:vAlign w:val="center"/>
          </w:tcPr>
          <w:p>
            <w:pPr>
              <w:spacing w:after="0"/>
              <w:jc w:val="center"/>
            </w:pPr>
            <w:r>
              <w:rPr>
                <w:rFonts w:ascii="Aptos" w:hAnsi="Aptos"/>
                <w:b/>
                <w:color w:val="FFFFFF"/>
                <w:sz w:val="18"/>
              </w:rPr>
              <w:t>Decisión</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Modelo</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llama3.2:1b cuantizado</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Demanda</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Diez solicitudes secuenciales de prueba</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Latencia</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Promedio 6.219 s; máximo 12.449 s</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Aceptable para demo</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Paralelismo</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Sin carga concurrente sostenida</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tcMar>
              <w:top w:w="110" w:type="dxa"/>
              <w:start w:w="120" w:type="dxa"/>
              <w:bottom w:w="110" w:type="dxa"/>
              <w:end w:w="120" w:type="dxa"/>
            </w:tcMar>
            <w:vAlign w:val="center"/>
          </w:tcPr>
          <w:p>
            <w:pPr>
              <w:spacing w:after="0" w:line="252" w:lineRule="auto"/>
              <w:jc w:val="left"/>
            </w:pPr>
            <w:r>
              <w:rPr>
                <w:rFonts w:ascii="Aptos" w:hAnsi="Aptos"/>
                <w:b w:val="0"/>
                <w:color w:val="000000"/>
                <w:sz w:val="18"/>
              </w:rPr>
              <w:t>Costo</w:t>
            </w:r>
          </w:p>
        </w:tc>
        <w:tc>
          <w:tcPr>
            <w:tcW w:type="dxa" w:w="4680"/>
            <w:tcMar>
              <w:top w:w="110" w:type="dxa"/>
              <w:start w:w="120" w:type="dxa"/>
              <w:bottom w:w="110" w:type="dxa"/>
              <w:end w:w="120" w:type="dxa"/>
            </w:tcMar>
            <w:vAlign w:val="center"/>
          </w:tcPr>
          <w:p>
            <w:pPr>
              <w:spacing w:after="0" w:line="252" w:lineRule="auto"/>
            </w:pPr>
            <w:r>
              <w:rPr>
                <w:rFonts w:ascii="Aptos" w:hAnsi="Aptos"/>
                <w:b w:val="0"/>
                <w:color w:val="000000"/>
                <w:sz w:val="18"/>
              </w:rPr>
              <w:t>Instancia general sin acelerador</w:t>
            </w:r>
          </w:p>
        </w:tc>
        <w:tc>
          <w:tcPr>
            <w:tcW w:type="dxa" w:w="2520"/>
            <w:tcMar>
              <w:top w:w="110" w:type="dxa"/>
              <w:start w:w="120" w:type="dxa"/>
              <w:bottom w:w="110" w:type="dxa"/>
              <w:end w:w="120" w:type="dxa"/>
            </w:tcMar>
            <w:vAlign w:val="center"/>
          </w:tcPr>
          <w:p>
            <w:pPr>
              <w:spacing w:after="0" w:line="252" w:lineRule="auto"/>
            </w:pPr>
            <w:r>
              <w:rPr>
                <w:rFonts w:ascii="Aptos" w:hAnsi="Aptos"/>
                <w:b w:val="0"/>
                <w:color w:val="000000"/>
                <w:sz w:val="18"/>
              </w:rPr>
              <w:t>CPU</w:t>
            </w:r>
          </w:p>
        </w:tc>
      </w:tr>
      <w:tr>
        <w:tc>
          <w:tcPr>
            <w:tcW w:type="dxa" w:w="2088"/>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Escenario futuro</w:t>
            </w:r>
          </w:p>
        </w:tc>
        <w:tc>
          <w:tcPr>
            <w:tcW w:type="dxa" w:w="468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Modelo ≥7B, streaming fluido, concurrencia o SLA estricto</w:t>
            </w:r>
          </w:p>
        </w:tc>
        <w:tc>
          <w:tcPr>
            <w:tcW w:type="dxa" w:w="2520"/>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Evaluar GPU</w:t>
            </w:r>
          </w:p>
        </w:tc>
      </w:tr>
    </w:tbl>
    <w:p>
      <w:pPr>
        <w:spacing w:after="0"/>
      </w:pPr>
    </w:p>
    <w:p>
      <w:pPr>
        <w:pStyle w:val="Heading2"/>
        <w:keepNext/>
        <w:spacing w:before="100" w:after="120"/>
      </w:pPr>
      <w:r>
        <w:rPr>
          <w:rFonts w:ascii="Aptos" w:hAnsi="Aptos"/>
          <w:b/>
          <w:color w:val="000000"/>
          <w:sz w:val="25"/>
        </w:rPr>
        <w:t>Conclusión</w:t>
      </w:r>
    </w:p>
    <w:p>
      <w:pPr>
        <w:spacing w:before="0" w:after="120" w:line="269" w:lineRule="auto"/>
      </w:pPr>
      <w:r>
        <w:rPr>
          <w:rFonts w:ascii="Aptos" w:hAnsi="Aptos"/>
          <w:b w:val="0"/>
          <w:i w:val="0"/>
          <w:color w:val="000000"/>
          <w:sz w:val="21"/>
        </w:rPr>
        <w:t>La GPU no se justifica para llama3.2:1b y una demo académica de bajo volumen. Sí convendría evaluarla si el proyecto exige un modelo mayor, respuestas de baja latencia, múltiples usuarios simultáneos o procesamiento por lotes que mantenga el acelerador ocupado. La decisión debe repetirse con un benchmark de esa carga futura y con el costo horario vigente.</w:t>
      </w:r>
    </w:p>
    <w:p>
      <w:r>
        <w:br w:type="page"/>
      </w:r>
    </w:p>
    <w:p>
      <w:pPr>
        <w:pStyle w:val="Heading1"/>
        <w:keepNext/>
        <w:spacing w:before="160" w:after="120"/>
      </w:pPr>
      <w:r>
        <w:rPr>
          <w:rFonts w:ascii="Aptos" w:hAnsi="Aptos"/>
          <w:b/>
          <w:color w:val="000000"/>
          <w:sz w:val="32"/>
        </w:rPr>
        <w:t>Entregable 4.1 Limpieza de los recursos</w:t>
      </w:r>
    </w:p>
    <w:p>
      <w:pPr>
        <w:spacing w:before="0" w:after="160" w:line="269" w:lineRule="auto"/>
      </w:pPr>
      <w:r>
        <w:rPr>
          <w:rFonts w:ascii="Aptos" w:hAnsi="Aptos"/>
          <w:b w:val="0"/>
          <w:i w:val="0"/>
          <w:color w:val="000000"/>
          <w:sz w:val="21"/>
        </w:rPr>
        <w:t>La limpieza se ejecutó con un plan de destrucción de Terraform después de guardar el estado y las evidencias. La verificación posterior confirmó que los recursos propios del laboratorio ya no permanecen en la cuenta.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110" w:type="dxa"/>
              <w:start w:w="120" w:type="dxa"/>
              <w:bottom w:w="110" w:type="dxa"/>
              <w:end w:w="120" w:type="dxa"/>
            </w:tcMar>
            <w:vAlign w:val="center"/>
          </w:tcPr>
          <w:p>
            <w:pPr>
              <w:spacing w:after="0"/>
              <w:jc w:val="center"/>
            </w:pPr>
            <w:r>
              <w:rPr>
                <w:rFonts w:ascii="Aptos" w:hAnsi="Aptos"/>
                <w:b/>
                <w:color w:val="FFFFFF"/>
                <w:sz w:val="18"/>
              </w:rPr>
              <w:t>Comprobación</w:t>
            </w:r>
          </w:p>
        </w:tc>
        <w:tc>
          <w:tcPr>
            <w:tcW w:type="dxa" w:w="6264"/>
            <w:shd w:fill="17365D"/>
            <w:tcMar>
              <w:top w:w="110" w:type="dxa"/>
              <w:start w:w="120" w:type="dxa"/>
              <w:bottom w:w="110" w:type="dxa"/>
              <w:end w:w="120" w:type="dxa"/>
            </w:tcMar>
            <w:vAlign w:val="center"/>
          </w:tcPr>
          <w:p>
            <w:pPr>
              <w:spacing w:after="0"/>
              <w:jc w:val="center"/>
            </w:pPr>
            <w:r>
              <w:rPr>
                <w:rFonts w:ascii="Aptos" w:hAnsi="Aptos"/>
                <w:b/>
                <w:color w:val="FFFFFF"/>
                <w:sz w:val="18"/>
              </w:rPr>
              <w:t>Resultado verificado</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Plan de destrucción</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0 agregados, 0 modificados y 9 destruidos</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Instancia EC2 del laboratorio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Terminada</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Volumen EBS del laboratorio</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Eliminado; AWS respondió InvalidVolume.NotFound</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Security group del laboratorio</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Eliminado; AWS respondió InvalidGroup.NotFound</w:t>
            </w:r>
          </w:p>
        </w:tc>
      </w:tr>
      <w:tr>
        <w:tc>
          <w:tcPr>
            <w:tcW w:type="dxa" w:w="3024"/>
            <w:tcMar>
              <w:top w:w="110" w:type="dxa"/>
              <w:start w:w="120" w:type="dxa"/>
              <w:bottom w:w="110" w:type="dxa"/>
              <w:end w:w="120" w:type="dxa"/>
            </w:tcMar>
            <w:vAlign w:val="center"/>
          </w:tcPr>
          <w:p>
            <w:pPr>
              <w:spacing w:after="0" w:line="252" w:lineRule="auto"/>
              <w:jc w:val="left"/>
            </w:pPr>
            <w:r>
              <w:rPr>
                <w:rFonts w:ascii="Aptos" w:hAnsi="Aptos"/>
                <w:b w:val="0"/>
                <w:color w:val="000000"/>
                <w:sz w:val="18"/>
              </w:rPr>
              <w:t>Perfil y rol IAM</w:t>
            </w:r>
          </w:p>
        </w:tc>
        <w:tc>
          <w:tcPr>
            <w:tcW w:type="dxa" w:w="6264"/>
            <w:tcMar>
              <w:top w:w="110" w:type="dxa"/>
              <w:start w:w="120" w:type="dxa"/>
              <w:bottom w:w="110" w:type="dxa"/>
              <w:end w:w="120" w:type="dxa"/>
            </w:tcMar>
            <w:vAlign w:val="center"/>
          </w:tcPr>
          <w:p>
            <w:pPr>
              <w:spacing w:after="0" w:line="252" w:lineRule="auto"/>
            </w:pPr>
            <w:r>
              <w:rPr>
                <w:rFonts w:ascii="Aptos" w:hAnsi="Aptos"/>
                <w:b w:val="0"/>
                <w:color w:val="000000"/>
                <w:sz w:val="18"/>
              </w:rPr>
              <w:t>Rol y perfil eliminados; AWS respondió NoSuchEntity</w:t>
            </w:r>
          </w:p>
        </w:tc>
      </w:tr>
      <w:tr>
        <w:tc>
          <w:tcPr>
            <w:tcW w:type="dxa" w:w="3024"/>
            <w:shd w:fill="EAF1F8"/>
            <w:tcMar>
              <w:top w:w="110" w:type="dxa"/>
              <w:start w:w="120" w:type="dxa"/>
              <w:bottom w:w="110" w:type="dxa"/>
              <w:end w:w="120" w:type="dxa"/>
            </w:tcMar>
            <w:vAlign w:val="center"/>
          </w:tcPr>
          <w:p>
            <w:pPr>
              <w:spacing w:after="0" w:line="252" w:lineRule="auto"/>
              <w:jc w:val="left"/>
            </w:pPr>
            <w:r>
              <w:rPr>
                <w:rFonts w:ascii="Aptos" w:hAnsi="Aptos"/>
                <w:b w:val="0"/>
                <w:color w:val="000000"/>
                <w:sz w:val="18"/>
              </w:rPr>
              <w:t>Terraform</w:t>
            </w:r>
          </w:p>
        </w:tc>
        <w:tc>
          <w:tcPr>
            <w:tcW w:type="dxa" w:w="6264"/>
            <w:shd w:fill="EAF1F8"/>
            <w:tcMar>
              <w:top w:w="110" w:type="dxa"/>
              <w:start w:w="120" w:type="dxa"/>
              <w:bottom w:w="110" w:type="dxa"/>
              <w:end w:w="120" w:type="dxa"/>
            </w:tcMar>
            <w:vAlign w:val="center"/>
          </w:tcPr>
          <w:p>
            <w:pPr>
              <w:spacing w:after="0" w:line="252" w:lineRule="auto"/>
            </w:pPr>
            <w:r>
              <w:rPr>
                <w:rFonts w:ascii="Aptos" w:hAnsi="Aptos"/>
                <w:b w:val="0"/>
                <w:color w:val="000000"/>
                <w:sz w:val="18"/>
              </w:rPr>
              <w:t>Estado con 0 recursos y plan de destrucción sin cambios</w:t>
            </w:r>
          </w:p>
        </w:tc>
      </w:tr>
    </w:tbl>
    <w:p>
      <w:pPr>
        <w:spacing w:after="0"/>
      </w:pPr>
    </w:p>
    <w:p>
      <w:pPr>
        <w:pStyle w:val="Heading2"/>
        <w:keepNext/>
        <w:spacing w:before="100" w:after="120"/>
      </w:pPr>
      <w:r>
        <w:rPr>
          <w:rFonts w:ascii="Aptos" w:hAnsi="Aptos"/>
          <w:b/>
          <w:color w:val="000000"/>
          <w:sz w:val="25"/>
        </w:rPr>
        <w:t>Cierre</w:t>
      </w:r>
    </w:p>
    <w:p>
      <w:pPr>
        <w:spacing w:before="0" w:after="120" w:line="269" w:lineRule="auto"/>
      </w:pPr>
      <w:r>
        <w:rPr>
          <w:rFonts w:ascii="Aptos" w:hAnsi="Aptos"/>
          <w:b w:val="0"/>
          <w:i w:val="0"/>
          <w:color w:val="000000"/>
          <w:sz w:val="21"/>
        </w:rPr>
        <w:t>El respaldo privado final del estado previo a la limpieza quedó identificado por el SHA-256 92E56CB0AE56BF7FBAD1EBFF796402288956E23893FA180FF8CCEDAC043FE5E8. No se incluyeron credenciales, identificadores de cuenta, IDs de recursos ni direcciones IP en este documento.</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pPr>
            <w:jc w:val="left"/>
          </w:pPr>
          <w:r>
            <w:rPr>
              <w:rFonts w:ascii="Aptos" w:hAnsi="Aptos"/>
              <w:b w:val="0"/>
              <w:color w:val="555555"/>
              <w:sz w:val="16"/>
            </w:rPr>
            <w:t>Laboratorio 3 en AWS</w:t>
          </w:r>
        </w:p>
      </w:tc>
      <w:tc>
        <w:tcPr>
          <w:tcW w:type="dxa" w:w="4896"/>
        </w:tcPr>
        <w:p>
          <w:pPr>
            <w:jc w:val="right"/>
          </w:pPr>
          <w:r>
            <w:rPr>
              <w:rFonts w:ascii="Aptos" w:hAnsi="Aptos"/>
              <w:b w:val="0"/>
              <w:color w:val="555555"/>
              <w:sz w:val="16"/>
            </w:rPr>
            <w:t xml:space="preserve">Página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Servicio patrón stateful en AWS</dc:title>
  <dc:subject>Entregables 1.1 a 4.1 adaptados de GCP a AWS</dc:subject>
  <dc:creator>Katherine Aguirre</dc:creator>
  <cp:keywords>AWS, EC2, EBS, Terraform, Docker, Ollama, persistencia</cp:keywords>
  <dc:description>generated by python-docx</dc:description>
  <cp:lastModifiedBy/>
  <cp:revision>1</cp:revision>
  <dcterms:created xsi:type="dcterms:W3CDTF">2013-12-23T23:15:00Z</dcterms:created>
  <dcterms:modified xsi:type="dcterms:W3CDTF">2013-12-23T23:15:00Z</dcterms:modified>
  <cp:category/>
</cp:coreProperties>
</file>