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160" w:after="280"/>
        <w:jc w:val="left"/>
        <w:pBdr>
          <w:bottom w:val="nil"/>
        </w:pBdr>
      </w:pPr>
      <w:r>
        <w:rPr>
          <w:rFonts w:ascii="Aptos Display" w:hAnsi="Aptos Display"/>
          <w:b/>
          <w:color w:val="000000"/>
          <w:sz w:val="48"/>
        </w:rPr>
        <w:t>Laboratorio 3 Servicio patrón stateful en AWS</w:t>
      </w:r>
    </w:p>
    <w:p>
      <w:pPr>
        <w:spacing w:before="0" w:after="520" w:line="269" w:lineRule="auto"/>
      </w:pPr>
      <w:r>
        <w:rPr>
          <w:rFonts w:ascii="Aptos" w:hAnsi="Aptos"/>
          <w:b w:val="0"/>
          <w:i w:val="0"/>
          <w:color w:val="000000"/>
          <w:sz w:val="28"/>
        </w:rPr>
        <w:t>Adaptación del ejercicio de Compute Engine a Amazon EC2 y EBS</w:t>
      </w:r>
    </w:p>
    <w:p>
      <w:pPr>
        <w:spacing w:before="0" w:after="60" w:line="269" w:lineRule="auto"/>
      </w:pPr>
      <w:r>
        <w:rPr>
          <w:rFonts w:ascii="Aptos" w:hAnsi="Aptos"/>
          <w:b/>
          <w:i w:val="0"/>
          <w:color w:val="000000"/>
          <w:sz w:val="24"/>
        </w:rPr>
        <w:t>Katherine Aguirre</w:t>
      </w:r>
    </w:p>
    <w:p>
      <w:pPr>
        <w:spacing w:before="0" w:after="60" w:line="269" w:lineRule="auto"/>
      </w:pPr>
      <w:r>
        <w:rPr>
          <w:rFonts w:ascii="Aptos" w:hAnsi="Aptos"/>
          <w:b w:val="0"/>
          <w:i w:val="0"/>
          <w:color w:val="000000"/>
          <w:sz w:val="22"/>
        </w:rPr>
        <w:t>Infraestructura Tecnológica para Inteligencia Artificial</w:t>
      </w:r>
    </w:p>
    <w:p>
      <w:pPr>
        <w:spacing w:before="0" w:after="6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Diplomatura en Desarrollo de Soluciones de Inteligencia Artificial Generativa en la Nube</w:t>
      </w:r>
    </w:p>
    <w:p>
      <w:pPr>
        <w:spacing w:before="0" w:after="6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Universidad Nacional de Luján</w:t>
      </w:r>
    </w:p>
    <w:p>
      <w:pPr>
        <w:spacing w:before="0" w:after="48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13 de octubre de 2026</w:t>
      </w:r>
    </w:p>
    <w:p>
      <w:pPr>
        <w:pStyle w:val="Heading2"/>
        <w:keepNext/>
        <w:spacing w:before="100" w:after="120"/>
      </w:pPr>
      <w:r>
        <w:rPr>
          <w:rFonts w:ascii="Aptos" w:hAnsi="Aptos"/>
          <w:b/>
          <w:color w:val="000000"/>
          <w:sz w:val="25"/>
        </w:rPr>
        <w:t>Resultado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El laboratorio se implementó en AWS con infraestructura como código. La instancia EC2 ejecutó el servicio patrón y Ollama, mientras que un volumen EBS independiente conservó los datos y los pesos. Las comprobaciones se realizaron sobre recursos reales en us-east-1; los identificadores de cuenta, instancia, volumen e IP pública fueron omitidos de esta entrega.</w:t>
      </w:r>
    </w:p>
    <w:p>
      <w:pPr>
        <w:pStyle w:val="Heading2"/>
        <w:keepNext/>
        <w:spacing w:before="100" w:after="120"/>
      </w:pPr>
      <w:r>
        <w:rPr>
          <w:rFonts w:ascii="Aptos" w:hAnsi="Aptos"/>
          <w:b/>
          <w:color w:val="000000"/>
          <w:sz w:val="25"/>
        </w:rPr>
        <w:t>Equivalencias usadas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74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Guía original</w:t>
            </w:r>
          </w:p>
        </w:tc>
        <w:tc>
          <w:tcPr>
            <w:tcW w:type="dxa" w:w="554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Implementación en AWS</w:t>
            </w:r>
          </w:p>
        </w:tc>
      </w:tr>
      <w:tr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Compute Engine</w:t>
            </w:r>
          </w:p>
        </w:tc>
        <w:tc>
          <w:tcPr>
            <w:tcW w:type="dxa" w:w="55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Amazon EC2 c7i-flex.large</w:t>
            </w:r>
          </w:p>
        </w:tc>
      </w:tr>
      <w:tr>
        <w:tc>
          <w:tcPr>
            <w:tcW w:type="dxa" w:w="374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Persistent Disk</w:t>
            </w:r>
          </w:p>
        </w:tc>
        <w:tc>
          <w:tcPr>
            <w:tcW w:type="dxa" w:w="554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Amazon EBS gp3 cifrado de 10 GiB</w:t>
            </w:r>
          </w:p>
        </w:tc>
      </w:tr>
      <w:tr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Regla de firewall</w:t>
            </w:r>
          </w:p>
        </w:tc>
        <w:tc>
          <w:tcPr>
            <w:tcW w:type="dxa" w:w="55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Security group TCP 8080 restringido a /32</w:t>
            </w:r>
          </w:p>
        </w:tc>
      </w:tr>
      <w:tr>
        <w:tc>
          <w:tcPr>
            <w:tcW w:type="dxa" w:w="374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SSH</w:t>
            </w:r>
          </w:p>
        </w:tc>
        <w:tc>
          <w:tcPr>
            <w:tcW w:type="dxa" w:w="554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AWS Systems Manager Session Manager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60" w:after="120"/>
      </w:pPr>
      <w:r>
        <w:rPr>
          <w:rFonts w:ascii="Aptos" w:hAnsi="Aptos"/>
          <w:b/>
          <w:color w:val="000000"/>
          <w:sz w:val="32"/>
        </w:rPr>
        <w:t>Entregable 1.1 Montaje persistente por UUID</w:t>
      </w:r>
    </w:p>
    <w:p>
      <w:pPr>
        <w:spacing w:before="0" w:after="16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Se verificó el volumen EBS separado del disco raíz, formateado como ext4 y montado en /mnt/lab3-data. La entrada de fstab usa el UUID estable del filesystem.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02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Comprobación</w:t>
            </w:r>
          </w:p>
        </w:tc>
        <w:tc>
          <w:tcPr>
            <w:tcW w:type="dxa" w:w="626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verificado</w:t>
            </w:r>
          </w:p>
        </w:tc>
      </w:tr>
      <w:tr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Dispositivo de datos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nvme1n1 · ext4 · 10 GiB</w:t>
            </w:r>
          </w:p>
        </w:tc>
      </w:tr>
      <w:tr>
        <w:tc>
          <w:tcPr>
            <w:tcW w:type="dxa" w:w="302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Punto de montaje</w:t>
            </w:r>
          </w:p>
        </w:tc>
        <w:tc>
          <w:tcPr>
            <w:tcW w:type="dxa" w:w="626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/mnt/lab3-data</w:t>
            </w:r>
          </w:p>
        </w:tc>
      </w:tr>
      <w:tr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UUID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01d17fc9-36d0-4cc4-b473-1f1a336a58c3</w:t>
            </w:r>
          </w:p>
        </w:tc>
      </w:tr>
      <w:tr>
        <w:tc>
          <w:tcPr>
            <w:tcW w:type="dxa" w:w="302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fstab</w:t>
            </w:r>
          </w:p>
        </w:tc>
        <w:tc>
          <w:tcPr>
            <w:tcW w:type="dxa" w:w="626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UUID=01d17fc9-36d0-4cc4-b473-1f1a336a58c3 /mnt/lab3-data ext4 defaults,x-systemd.device-timeout=10min 0 2</w:t>
            </w:r>
          </w:p>
        </w:tc>
      </w:tr>
      <w:tr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Resultado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Montado en lectura y escritura; 8 GiB disponibles al verificar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120"/>
      </w:pPr>
      <w:r>
        <w:rPr>
          <w:rFonts w:ascii="Aptos" w:hAnsi="Aptos"/>
          <w:b/>
          <w:color w:val="000000"/>
          <w:sz w:val="25"/>
        </w:rPr>
        <w:t>Interpretación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El nombre NVMe puede cambiar entre instancias, pero el UUID identifica el filesystem. La opción de timeout permite que systemd gestione la espera del dispositivo sin vincular el montaje a un nombre volátil.</w:t>
      </w:r>
    </w:p>
    <w:p>
      <w:r>
        <w:br w:type="page"/>
      </w:r>
    </w:p>
    <w:p>
      <w:pPr>
        <w:pStyle w:val="Heading1"/>
        <w:keepNext/>
        <w:spacing w:before="160" w:after="120"/>
      </w:pPr>
      <w:r>
        <w:rPr>
          <w:rFonts w:ascii="Aptos" w:hAnsi="Aptos"/>
          <w:b/>
          <w:color w:val="000000"/>
          <w:sz w:val="32"/>
        </w:rPr>
        <w:t>Entregable 2.1 Servicio y métricas desde fuera de EC2</w:t>
      </w:r>
    </w:p>
    <w:p>
      <w:pPr>
        <w:spacing w:before="0" w:after="16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Las consultas se ejecutaron desde AWS CloudShell, fuera de la instancia. El security group expuso únicamente TCP 8080 al origen /32 autorizado.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02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Comprobación</w:t>
            </w:r>
          </w:p>
        </w:tc>
        <w:tc>
          <w:tcPr>
            <w:tcW w:type="dxa" w:w="626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verificado</w:t>
            </w:r>
          </w:p>
        </w:tc>
      </w:tr>
      <w:tr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GET /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Servicio patrón activo. Visitas persistidas en disco: 2</w:t>
            </w:r>
          </w:p>
        </w:tc>
      </w:tr>
      <w:tr>
        <w:tc>
          <w:tcPr>
            <w:tcW w:type="dxa" w:w="302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GET /metrics</w:t>
            </w:r>
          </w:p>
        </w:tc>
        <w:tc>
          <w:tcPr>
            <w:tcW w:type="dxa" w:w="626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servicio_patron_hits_total 2.0</w:t>
            </w:r>
          </w:p>
        </w:tc>
      </w:tr>
      <w:tr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GET /healthz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{"status":"ok"}</w:t>
            </w:r>
          </w:p>
        </w:tc>
      </w:tr>
      <w:tr>
        <w:tc>
          <w:tcPr>
            <w:tcW w:type="dxa" w:w="302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Exposición</w:t>
            </w:r>
          </w:p>
        </w:tc>
        <w:tc>
          <w:tcPr>
            <w:tcW w:type="dxa" w:w="626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TCP 8080 limitado a la IPv4 /32 de CloudShell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120"/>
      </w:pPr>
      <w:r>
        <w:rPr>
          <w:rFonts w:ascii="Aptos" w:hAnsi="Aptos"/>
          <w:b/>
          <w:color w:val="000000"/>
          <w:sz w:val="25"/>
        </w:rPr>
        <w:t>Resultado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El valor del contador y la métrica Prometheus coincidieron. Esto prueba conectividad externa, funcionamiento HTTP y actualización de la métrica de negocio.</w:t>
      </w:r>
    </w:p>
    <w:p>
      <w:r>
        <w:br w:type="page"/>
      </w:r>
    </w:p>
    <w:p>
      <w:pPr>
        <w:pStyle w:val="Heading1"/>
        <w:keepNext/>
        <w:spacing w:before="160" w:after="120"/>
      </w:pPr>
      <w:r>
        <w:rPr>
          <w:rFonts w:ascii="Aptos" w:hAnsi="Aptos"/>
          <w:b/>
          <w:color w:val="000000"/>
          <w:sz w:val="32"/>
        </w:rPr>
        <w:t>Entregable 2.2 Persistencia al recrear el contenedor</w:t>
      </w:r>
    </w:p>
    <w:p>
      <w:pPr>
        <w:spacing w:before="0" w:after="16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Se incrementó el contador, se eliminó completamente el contenedor servicio-patron y se creó otro desde la misma imagen con el mismo bind mount de EBS.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02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Comprobación</w:t>
            </w:r>
          </w:p>
        </w:tc>
        <w:tc>
          <w:tcPr>
            <w:tcW w:type="dxa" w:w="626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verificado</w:t>
            </w:r>
          </w:p>
        </w:tc>
      </w:tr>
      <w:tr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Valor antes de docker rm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302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Acción</w:t>
            </w:r>
          </w:p>
        </w:tc>
        <w:tc>
          <w:tcPr>
            <w:tcW w:type="dxa" w:w="626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docker rm -f servicio-patron y docker run con /mnt/lab3-data/app:/data</w:t>
            </w:r>
          </w:p>
        </w:tc>
      </w:tr>
      <w:tr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Valor después de recrear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7</w:t>
            </w:r>
          </w:p>
        </w:tc>
      </w:tr>
      <w:tr>
        <w:tc>
          <w:tcPr>
            <w:tcW w:type="dxa" w:w="302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Archivo persistente</w:t>
            </w:r>
          </w:p>
        </w:tc>
        <w:tc>
          <w:tcPr>
            <w:tcW w:type="dxa" w:w="626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6 inmediatamente después de recrear; 7 después de la primera consulta</w:t>
            </w:r>
          </w:p>
        </w:tc>
      </w:tr>
      <w:tr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Conclusión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contador continuó la secuencia y el contenedor quedó activo con el mismo bind mount.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160" w:after="120"/>
      </w:pPr>
      <w:r>
        <w:rPr>
          <w:rFonts w:ascii="Aptos" w:hAnsi="Aptos"/>
          <w:b/>
          <w:color w:val="000000"/>
          <w:sz w:val="32"/>
        </w:rPr>
        <w:t>Entregable 2.3 Persistencia al reemplazar la instancia</w:t>
      </w:r>
    </w:p>
    <w:p>
      <w:pPr>
        <w:spacing w:before="0" w:after="16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Terraform reemplazó EC2 y su asociación, pero conservó el volumen EBS como recurso no modificado. El bootstrap de la instancia nueva montó el mismo filesystem.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02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Comprobación</w:t>
            </w:r>
          </w:p>
        </w:tc>
        <w:tc>
          <w:tcPr>
            <w:tcW w:type="dxa" w:w="626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verificado</w:t>
            </w:r>
          </w:p>
        </w:tc>
      </w:tr>
      <w:tr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Plan aplicado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 recursos agregados, 0 modificados y 2 destruidos</w:t>
            </w:r>
          </w:p>
        </w:tc>
      </w:tr>
      <w:tr>
        <w:tc>
          <w:tcPr>
            <w:tcW w:type="dxa" w:w="302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Volumen EBS</w:t>
            </w:r>
          </w:p>
        </w:tc>
        <w:tc>
          <w:tcPr>
            <w:tcW w:type="dxa" w:w="626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no-op y el mismo identificador antes y después</w:t>
            </w:r>
          </w:p>
        </w:tc>
      </w:tr>
      <w:tr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Plan SHA-256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59580ab1bf47ed513e9c0827beada1ea</w:t>
              <w:br/>
              <w:t>30f285da230b317ca8659f028c439d04</w:t>
            </w:r>
          </w:p>
        </w:tc>
      </w:tr>
      <w:tr>
        <w:tc>
          <w:tcPr>
            <w:tcW w:type="dxa" w:w="302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Contador heredado</w:t>
            </w:r>
          </w:p>
        </w:tc>
        <w:tc>
          <w:tcPr>
            <w:tcW w:type="dxa" w:w="626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7 en la EC2 nueva, antes de consultar el servicio</w:t>
            </w:r>
          </w:p>
        </w:tc>
      </w:tr>
      <w:tr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Primera consulta en EC2 nueva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8 en la primera consulta</w:t>
            </w:r>
          </w:p>
        </w:tc>
      </w:tr>
      <w:tr>
        <w:tc>
          <w:tcPr>
            <w:tcW w:type="dxa" w:w="302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Resultado</w:t>
            </w:r>
          </w:p>
        </w:tc>
        <w:tc>
          <w:tcPr>
            <w:tcW w:type="dxa" w:w="626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mismo EBS conservó el contador y el modelo; Terraform quedó sin cambios.</w:t>
            </w:r>
          </w:p>
        </w:tc>
      </w:tr>
    </w:tbl>
    <w:p>
      <w:pPr>
        <w:spacing w:after="0"/>
      </w:pP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Se utilizó un plan guardado y validado por hash. La indisponibilidad se limitó al reemplazo de la instancia y al tiempo de bootstrap.</w:t>
      </w:r>
    </w:p>
    <w:p>
      <w:r>
        <w:br w:type="page"/>
      </w:r>
    </w:p>
    <w:p>
      <w:pPr>
        <w:pStyle w:val="Heading1"/>
        <w:keepNext/>
        <w:spacing w:before="160" w:after="120"/>
      </w:pPr>
      <w:r>
        <w:rPr>
          <w:rFonts w:ascii="Aptos" w:hAnsi="Aptos"/>
          <w:b/>
          <w:color w:val="000000"/>
          <w:sz w:val="32"/>
        </w:rPr>
        <w:t>Entregable 3.1 Pesos del modelo en almacenamiento persistente</w:t>
      </w:r>
    </w:p>
    <w:p>
      <w:pPr>
        <w:spacing w:before="0" w:after="16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La carga de IA elegida fue Ollama 0.40.3 con llama3.2:1b. El directorio de modelos del contenedor se vinculó a /mnt/lab3-data/ollama.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02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Comprobación</w:t>
            </w:r>
          </w:p>
        </w:tc>
        <w:tc>
          <w:tcPr>
            <w:tcW w:type="dxa" w:w="626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verificado</w:t>
            </w:r>
          </w:p>
        </w:tc>
      </w:tr>
      <w:tr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Runtime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Ollama 0.40.3 en Docker</w:t>
            </w:r>
          </w:p>
        </w:tc>
      </w:tr>
      <w:tr>
        <w:tc>
          <w:tcPr>
            <w:tcW w:type="dxa" w:w="302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Modelo</w:t>
            </w:r>
          </w:p>
        </w:tc>
        <w:tc>
          <w:tcPr>
            <w:tcW w:type="dxa" w:w="626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llama3.2:1b</w:t>
            </w:r>
          </w:p>
        </w:tc>
      </w:tr>
      <w:tr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Bind mount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/mnt/lab3-data/ollama → /root/.ollama</w:t>
            </w:r>
          </w:p>
        </w:tc>
      </w:tr>
      <w:tr>
        <w:tc>
          <w:tcPr>
            <w:tcW w:type="dxa" w:w="302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Uso medido</w:t>
            </w:r>
          </w:p>
        </w:tc>
        <w:tc>
          <w:tcPr>
            <w:tcW w:type="dxa" w:w="626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1.3 GiB en /mnt/lab3-data/ollama</w:t>
            </w:r>
          </w:p>
        </w:tc>
      </w:tr>
      <w:tr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Acceso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API sólo en 127.0.0.1:11434 dentro de EC2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120"/>
      </w:pPr>
      <w:r>
        <w:rPr>
          <w:rFonts w:ascii="Aptos" w:hAnsi="Aptos"/>
          <w:b/>
          <w:color w:val="000000"/>
          <w:sz w:val="25"/>
        </w:rPr>
        <w:t>Resultado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Los pesos quedaron fuera de la capa efímera del contenedor. Recrear Ollama no exige volver a descargar el modelo mientras el EBS se conserve.</w:t>
      </w:r>
    </w:p>
    <w:p>
      <w:r>
        <w:br w:type="page"/>
      </w:r>
    </w:p>
    <w:p>
      <w:pPr>
        <w:pStyle w:val="Heading1"/>
        <w:keepNext/>
        <w:spacing w:before="160" w:after="120"/>
      </w:pPr>
      <w:r>
        <w:rPr>
          <w:rFonts w:ascii="Aptos" w:hAnsi="Aptos"/>
          <w:b/>
          <w:color w:val="000000"/>
          <w:sz w:val="32"/>
        </w:rPr>
        <w:t>Entregable 3.2 Latencia de inferencia en CPU</w:t>
      </w:r>
    </w:p>
    <w:p>
      <w:pPr>
        <w:spacing w:before="0" w:after="16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Se enviaron diez solicitudes consecutivas a /api/generate con stream=false y el mismo prompt. La instancia no tenía GPU.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Solicitud</w:t>
            </w:r>
          </w:p>
        </w:tc>
        <w:tc>
          <w:tcPr>
            <w:tcW w:type="dxa" w:w="3456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Latencia total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4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12.449 s</w:t>
            </w:r>
          </w:p>
        </w:tc>
      </w:tr>
      <w:tr>
        <w:tc>
          <w:tcPr>
            <w:tcW w:type="dxa" w:w="2880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456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4.022 s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4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4.325 s</w:t>
            </w:r>
          </w:p>
        </w:tc>
      </w:tr>
      <w:tr>
        <w:tc>
          <w:tcPr>
            <w:tcW w:type="dxa" w:w="2880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456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5.606 s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4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8.403 s</w:t>
            </w:r>
          </w:p>
        </w:tc>
      </w:tr>
      <w:tr>
        <w:tc>
          <w:tcPr>
            <w:tcW w:type="dxa" w:w="2880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456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6.981 s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4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4.094 s</w:t>
            </w:r>
          </w:p>
        </w:tc>
      </w:tr>
      <w:tr>
        <w:tc>
          <w:tcPr>
            <w:tcW w:type="dxa" w:w="2880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456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6.462 s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4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4.113 s</w:t>
            </w:r>
          </w:p>
        </w:tc>
      </w:tr>
      <w:tr>
        <w:tc>
          <w:tcPr>
            <w:tcW w:type="dxa" w:w="2880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456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5.737 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403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Máquina</w:t>
            </w:r>
          </w:p>
        </w:tc>
        <w:tc>
          <w:tcPr>
            <w:tcW w:type="dxa" w:w="1656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656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Máximo</w:t>
            </w:r>
          </w:p>
        </w:tc>
        <w:tc>
          <w:tcPr>
            <w:tcW w:type="dxa" w:w="1656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Promedio</w:t>
            </w:r>
          </w:p>
        </w:tc>
      </w:tr>
      <w:tr>
        <w:tc>
          <w:tcPr>
            <w:tcW w:type="dxa" w:w="40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c7i-flex.large · 2 vCPU · 4 GiB</w:t>
            </w:r>
          </w:p>
        </w:tc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4.022 s</w:t>
            </w:r>
          </w:p>
        </w:tc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12.449 s</w:t>
            </w:r>
          </w:p>
        </w:tc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6.219 s</w:t>
            </w:r>
          </w:p>
        </w:tc>
      </w:tr>
    </w:tbl>
    <w:p>
      <w:pPr>
        <w:spacing w:after="0"/>
      </w:pP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La primera solicitud fue la más lenta por el calentamiento inicial. El promedio incluye ese costo y representa mejor una sesión corta de laboratorio.</w:t>
      </w:r>
    </w:p>
    <w:p>
      <w:r>
        <w:br w:type="page"/>
      </w:r>
    </w:p>
    <w:p>
      <w:pPr>
        <w:pStyle w:val="Heading1"/>
        <w:keepNext/>
        <w:spacing w:before="160" w:after="120"/>
      </w:pPr>
      <w:r>
        <w:rPr>
          <w:rFonts w:ascii="Aptos" w:hAnsi="Aptos"/>
          <w:b/>
          <w:color w:val="000000"/>
          <w:sz w:val="32"/>
        </w:rPr>
        <w:t>Entregable 3.3 Decisión CPU frente a GPU</w:t>
      </w:r>
    </w:p>
    <w:p>
      <w:pPr>
        <w:spacing w:before="0" w:after="16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Para esta carga de laboratorio, CPU es la opción proporcionada. La medición real no justifica una GPU para uso esporádico, aunque la conclusión cambia con modelos y demanda mayores.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8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4680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Situación medida</w:t>
            </w:r>
          </w:p>
        </w:tc>
        <w:tc>
          <w:tcPr>
            <w:tcW w:type="dxa" w:w="2520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Decisión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Modelo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llama3.2:1b cuantizado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CPU</w:t>
            </w:r>
          </w:p>
        </w:tc>
      </w:tr>
      <w:tr>
        <w:tc>
          <w:tcPr>
            <w:tcW w:type="dxa" w:w="2088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Demanda</w:t>
            </w:r>
          </w:p>
        </w:tc>
        <w:tc>
          <w:tcPr>
            <w:tcW w:type="dxa" w:w="4680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Diez solicitudes secuenciales de prueba</w:t>
            </w:r>
          </w:p>
        </w:tc>
        <w:tc>
          <w:tcPr>
            <w:tcW w:type="dxa" w:w="2520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CPU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Latencia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Promedio 6.219 s; máximo 12.449 s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Aceptable para demo</w:t>
            </w:r>
          </w:p>
        </w:tc>
      </w:tr>
      <w:tr>
        <w:tc>
          <w:tcPr>
            <w:tcW w:type="dxa" w:w="2088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Paralelismo</w:t>
            </w:r>
          </w:p>
        </w:tc>
        <w:tc>
          <w:tcPr>
            <w:tcW w:type="dxa" w:w="4680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Sin carga concurrente sostenida</w:t>
            </w:r>
          </w:p>
        </w:tc>
        <w:tc>
          <w:tcPr>
            <w:tcW w:type="dxa" w:w="2520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CPU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Costo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Instancia general sin acelerador</w:t>
            </w:r>
          </w:p>
        </w:tc>
        <w:tc>
          <w:tcPr>
            <w:tcW w:type="dxa" w:w="2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CPU</w:t>
            </w:r>
          </w:p>
        </w:tc>
      </w:tr>
      <w:tr>
        <w:tc>
          <w:tcPr>
            <w:tcW w:type="dxa" w:w="2088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Escenario futuro</w:t>
            </w:r>
          </w:p>
        </w:tc>
        <w:tc>
          <w:tcPr>
            <w:tcW w:type="dxa" w:w="4680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Modelo ≥7B, streaming fluido, concurrencia o SLA estricto</w:t>
            </w:r>
          </w:p>
        </w:tc>
        <w:tc>
          <w:tcPr>
            <w:tcW w:type="dxa" w:w="2520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Evaluar GPU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120"/>
      </w:pPr>
      <w:r>
        <w:rPr>
          <w:rFonts w:ascii="Aptos" w:hAnsi="Aptos"/>
          <w:b/>
          <w:color w:val="000000"/>
          <w:sz w:val="25"/>
        </w:rPr>
        <w:t>Conclusión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La GPU no se justifica para llama3.2:1b y una demo académica de bajo volumen. Sí convendría evaluarla si el proyecto exige un modelo mayor, respuestas de baja latencia, múltiples usuarios simultáneos o procesamiento por lotes que mantenga el acelerador ocupado. La decisión debe repetirse con un benchmark de esa carga futura y con el costo horario vigente.</w:t>
      </w:r>
    </w:p>
    <w:p>
      <w:r>
        <w:br w:type="page"/>
      </w:r>
    </w:p>
    <w:p>
      <w:pPr>
        <w:pStyle w:val="Heading1"/>
        <w:keepNext/>
        <w:spacing w:before="160" w:after="120"/>
      </w:pPr>
      <w:r>
        <w:rPr>
          <w:rFonts w:ascii="Aptos" w:hAnsi="Aptos"/>
          <w:b/>
          <w:color w:val="000000"/>
          <w:sz w:val="32"/>
        </w:rPr>
        <w:t>Entregable 4.1 Limpieza de los recursos</w:t>
      </w:r>
    </w:p>
    <w:p>
      <w:pPr>
        <w:spacing w:before="0" w:after="16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La limpieza se ejecutó con un plan de destrucción de Terraform después de guardar el estado y las evidencias. La verificación posterior confirmó que los recursos propios del laboratorio ya no permanecen en la cuenta.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302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Comprobación</w:t>
            </w:r>
          </w:p>
        </w:tc>
        <w:tc>
          <w:tcPr>
            <w:tcW w:type="dxa" w:w="626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verificado</w:t>
            </w:r>
          </w:p>
        </w:tc>
      </w:tr>
      <w:tr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Plan de destrucción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 agregados, 0 modificados y 9 destruidos</w:t>
            </w:r>
          </w:p>
        </w:tc>
      </w:tr>
      <w:tr>
        <w:tc>
          <w:tcPr>
            <w:tcW w:type="dxa" w:w="302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Instancia EC2 del laboratorio</w:t>
            </w:r>
          </w:p>
        </w:tc>
        <w:tc>
          <w:tcPr>
            <w:tcW w:type="dxa" w:w="626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Terminada</w:t>
            </w:r>
          </w:p>
        </w:tc>
      </w:tr>
      <w:tr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Volumen EBS del laboratorio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Eliminado; AWS respondió InvalidVolume.NotFound</w:t>
            </w:r>
          </w:p>
        </w:tc>
      </w:tr>
      <w:tr>
        <w:tc>
          <w:tcPr>
            <w:tcW w:type="dxa" w:w="302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Security group del laboratorio</w:t>
            </w:r>
          </w:p>
        </w:tc>
        <w:tc>
          <w:tcPr>
            <w:tcW w:type="dxa" w:w="626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Eliminado; AWS respondió InvalidGroup.NotFound</w:t>
            </w:r>
          </w:p>
        </w:tc>
      </w:tr>
      <w:tr>
        <w:tc>
          <w:tcPr>
            <w:tcW w:type="dxa" w:w="30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Perfil y rol IAM</w:t>
            </w:r>
          </w:p>
        </w:tc>
        <w:tc>
          <w:tcPr>
            <w:tcW w:type="dxa" w:w="62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Rol y perfil eliminados; AWS respondió NoSuchEntity</w:t>
            </w:r>
          </w:p>
        </w:tc>
      </w:tr>
      <w:tr>
        <w:tc>
          <w:tcPr>
            <w:tcW w:type="dxa" w:w="302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Terraform</w:t>
            </w:r>
          </w:p>
        </w:tc>
        <w:tc>
          <w:tcPr>
            <w:tcW w:type="dxa" w:w="6264"/>
            <w:shd w:fill="EAF1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Estado con 0 recursos y plan de destrucción sin cambios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00" w:after="120"/>
      </w:pPr>
      <w:r>
        <w:rPr>
          <w:rFonts w:ascii="Aptos" w:hAnsi="Aptos"/>
          <w:b/>
          <w:color w:val="000000"/>
          <w:sz w:val="25"/>
        </w:rPr>
        <w:t>Cierre</w:t>
      </w:r>
    </w:p>
    <w:p>
      <w:pPr>
        <w:spacing w:before="0" w:after="120" w:line="269" w:lineRule="auto"/>
      </w:pPr>
      <w:r>
        <w:rPr>
          <w:rFonts w:ascii="Aptos" w:hAnsi="Aptos"/>
          <w:b w:val="0"/>
          <w:i w:val="0"/>
          <w:color w:val="000000"/>
          <w:sz w:val="21"/>
        </w:rPr>
        <w:t>El respaldo privado final del estado previo a la limpieza quedó identificado por el SHA-256 92E56CB0AE56BF7FBAD1EBFF796402288956E23893FA180FF8CCEDAC043FE5E8. No se incluyeron credenciales, identificadores de cuenta, IDs de recursos ni direcciones IP en este documento.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96"/>
      <w:gridCol w:w="4896"/>
    </w:tblGrid>
    <w:tr>
      <w:tc>
        <w:tcPr>
          <w:tcW w:type="dxa" w:w="4896"/>
        </w:tcPr>
        <w:p>
          <w:pPr>
            <w:jc w:val="left"/>
          </w:pPr>
          <w:r>
            <w:rPr>
              <w:rFonts w:ascii="Aptos" w:hAnsi="Aptos"/>
              <w:b w:val="0"/>
              <w:color w:val="555555"/>
              <w:sz w:val="16"/>
            </w:rPr>
            <w:t>Laboratorio 3 en AWS</w:t>
          </w:r>
        </w:p>
      </w:tc>
      <w:tc>
        <w:tcPr>
          <w:tcW w:type="dxa" w:w="4896"/>
        </w:tcPr>
        <w:p>
          <w:pPr>
            <w:jc w:val="right"/>
          </w:pPr>
          <w:r>
            <w:rPr>
              <w:rFonts w:ascii="Aptos" w:hAnsi="Aptos"/>
              <w:b w:val="0"/>
              <w:color w:val="555555"/>
              <w:sz w:val="16"/>
            </w:rPr>
            <w:t xml:space="preserve">Página </w:t>
          </w:r>
          <w:fldSimple w:instr="PAGE"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3 Servicio patrón stateful en AWS</dc:title>
  <dc:subject>Entregables 1.1 a 4.1 adaptados de GCP a AWS</dc:subject>
  <dc:creator>Katherine Aguirre</dc:creator>
  <cp:keywords>AWS, EC2, EBS, Terraform, Docker, Ollama, persistencia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