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0F172A"/>
          <w:sz w:val="48"/>
        </w:rPr>
        <w:t>SKILLSIGHT</w:t>
      </w:r>
    </w:p>
    <w:p>
      <w:pPr>
        <w:spacing w:before="0" w:after="240"/>
        <w:jc w:val="center"/>
      </w:pPr>
      <w:r>
        <w:rPr>
          <w:b/>
          <w:color w:val="2563EB"/>
          <w:sz w:val="26"/>
        </w:rPr>
        <w:t>Personalized Career Intelligence &amp; Skill Roadmap Platform</w:t>
        <w:br/>
        <w:t>Comprehensive Project Progress Report</w:t>
      </w:r>
    </w:p>
    <w:p>
      <w:pPr>
        <w:spacing w:before="0" w:after="360"/>
        <w:jc w:val="center"/>
      </w:pPr>
      <w:r>
        <w:rPr>
          <w:i/>
          <w:color w:val="64748B"/>
          <w:sz w:val="19"/>
        </w:rPr>
        <w:t>SkillSight Data Science &amp; Career Intelligence Engineering Team  |  Academic Year: 2026  |  Modules 1–28 Implemented</w:t>
      </w:r>
    </w:p>
    <w:p>
      <w:pPr>
        <w:keepNext/>
        <w:spacing w:before="280" w:after="80"/>
      </w:pPr>
      <w:r>
        <w:rPr>
          <w:b/>
          <w:color w:val="2563EB"/>
          <w:sz w:val="26"/>
        </w:rPr>
        <w:t xml:space="preserve">1. </w:t>
      </w:r>
      <w:r>
        <w:rPr>
          <w:b/>
          <w:color w:val="0F172A"/>
          <w:sz w:val="26"/>
        </w:rPr>
        <w:t>Project Title</w:t>
      </w:r>
    </w:p>
    <w:p>
      <w:r>
        <w:t>SkillSight – Personalized Career Intelligence &amp; Skill Roadmap Platform. SkillSight bridges the gap between academic education and real-world employment demand by analyzing 15,886 multi-attribute job postings alongside an individual candidate's academic background, technical skills, and career ambitions to deliver deterministic skill-gap analysis, market-relevant technology awareness, personalized multi-phase roadmaps, portfolio project recommendations, and real-time progress tracking.</w:t>
      </w:r>
    </w:p>
    <w:p>
      <w:pPr>
        <w:keepNext/>
        <w:spacing w:before="280" w:after="80"/>
      </w:pPr>
      <w:r>
        <w:rPr>
          <w:b/>
          <w:color w:val="2563EB"/>
          <w:sz w:val="26"/>
        </w:rPr>
        <w:t xml:space="preserve">2. </w:t>
      </w:r>
      <w:r>
        <w:rPr>
          <w:b/>
          <w:color w:val="0F172A"/>
          <w:sz w:val="26"/>
        </w:rPr>
        <w:t>Problem Statement</w:t>
      </w:r>
    </w:p>
    <w:p>
      <w:r>
        <w:t>Modern university students and early-career software professionals face a substantial disconnect between academic curricula and industry expectations:</w:t>
      </w:r>
    </w:p>
    <w:p>
      <w:pPr>
        <w:pStyle w:val="ListBullet"/>
      </w:pPr>
      <w:r>
        <w:rPr>
          <w:b/>
        </w:rPr>
        <w:t xml:space="preserve">Curricular-Industry Mismatch: </w:t>
      </w:r>
      <w:r>
        <w:t>University programs emphasize foundational theory but often lag behind rapid industry adoption of cloud architectures, containerization, and modern frameworks.</w:t>
      </w:r>
    </w:p>
    <w:p>
      <w:pPr>
        <w:pStyle w:val="ListBullet"/>
      </w:pPr>
      <w:r>
        <w:rPr>
          <w:b/>
        </w:rPr>
        <w:t xml:space="preserve">Generic, Non-Actionable Career Advice: </w:t>
      </w:r>
      <w:r>
        <w:t>Students are overwhelmed by generic roadmaps that fail to account for the specific skills they already possess versus what target job vacancies actually demand.</w:t>
      </w:r>
    </w:p>
    <w:p>
      <w:pPr>
        <w:pStyle w:val="ListBullet"/>
      </w:pPr>
      <w:r>
        <w:rPr>
          <w:b/>
        </w:rPr>
        <w:t xml:space="preserve">Compensation &amp; Seniority Opacity: </w:t>
      </w:r>
      <w:r>
        <w:t>Salaries and job titles vary widely, leaving candidates unprepared for compensation expectations and role prerequisites.</w:t>
      </w:r>
    </w:p>
    <w:p>
      <w:pPr>
        <w:keepNext/>
        <w:spacing w:before="280" w:after="80"/>
      </w:pPr>
      <w:r>
        <w:rPr>
          <w:b/>
          <w:color w:val="2563EB"/>
          <w:sz w:val="26"/>
        </w:rPr>
        <w:t xml:space="preserve">3. </w:t>
      </w:r>
      <w:r>
        <w:rPr>
          <w:b/>
          <w:color w:val="0F172A"/>
          <w:sz w:val="26"/>
        </w:rPr>
        <w:t>Objectives</w:t>
      </w:r>
    </w:p>
    <w:p>
      <w:r>
        <w:t>The engineering objectives accomplished by the SkillSight V2 platform include:</w:t>
      </w:r>
    </w:p>
    <w:p>
      <w:pPr>
        <w:pStyle w:val="ListBullet"/>
      </w:pPr>
      <w:r>
        <w:rPr>
          <w:b/>
        </w:rPr>
        <w:t xml:space="preserve">Candidate Profile &amp; Competency Management: </w:t>
      </w:r>
      <w:r>
        <w:t>Implement a zero-configuration SQLite persistence layer (data/skillsight.db) capturing academic qualifications, categorized skills with proficiency tiers (Beginner, Intermediate, Advanced), and career preferences.</w:t>
      </w:r>
    </w:p>
    <w:p>
      <w:pPr>
        <w:pStyle w:val="ListBullet"/>
      </w:pPr>
      <w:r>
        <w:rPr>
          <w:b/>
        </w:rPr>
        <w:t xml:space="preserve">Deterministic Skill-Gap Analysis: </w:t>
      </w:r>
      <w:r>
        <w:t>Cross-reference candidate competencies against empirical job-market demand to categorize skills into Acquired vs. Missing, with exact dataset demand percentages and priority rankings.</w:t>
      </w:r>
    </w:p>
    <w:p>
      <w:pPr>
        <w:pStyle w:val="ListBullet"/>
      </w:pPr>
      <w:r>
        <w:rPr>
          <w:b/>
        </w:rPr>
        <w:t xml:space="preserve">Career Readiness Scoring: </w:t>
      </w:r>
      <w:r>
        <w:t>Develop an explainable 0–100 readiness scoring algorithm factoring skill coverage (45%), proficiency depth (20%), academic alignment (15%), experience (10%), and portfolio assets (10%).</w:t>
      </w:r>
    </w:p>
    <w:p>
      <w:pPr>
        <w:pStyle w:val="ListBullet"/>
      </w:pPr>
      <w:r>
        <w:rPr>
          <w:b/>
        </w:rPr>
        <w:t xml:space="preserve">Personalized 5-Phase Roadmap Generation: </w:t>
      </w:r>
      <w:r>
        <w:t>Dynamically synthesize tailored learning pathways focusing on missing prerequisites, core tools, advanced frameworks, cloud deployment, and capstones.</w:t>
      </w:r>
    </w:p>
    <w:p>
      <w:pPr>
        <w:pStyle w:val="ListBullet"/>
      </w:pPr>
      <w:r>
        <w:rPr>
          <w:b/>
        </w:rPr>
        <w:t xml:space="preserve">Portfolio Project Recommender: </w:t>
      </w:r>
      <w:r>
        <w:t>Recommend rule-based, hands-on engineering deliverables designed to resolve candidate skill gaps.</w:t>
      </w:r>
    </w:p>
    <w:p>
      <w:pPr>
        <w:pStyle w:val="ListBullet"/>
      </w:pPr>
      <w:r>
        <w:rPr>
          <w:b/>
        </w:rPr>
        <w:t xml:space="preserve">Interactive Multi-Page Web Platform: </w:t>
      </w:r>
      <w:r>
        <w:t>Deliver an authenticated 12-page Streamlit dashboard supporting seamless user registration, live salary prediction, and real-time progress tracking.</w:t>
      </w:r>
    </w:p>
    <w:p>
      <w:pPr>
        <w:keepNext/>
        <w:spacing w:before="280" w:after="80"/>
      </w:pPr>
      <w:r>
        <w:rPr>
          <w:b/>
          <w:color w:val="2563EB"/>
          <w:sz w:val="26"/>
        </w:rPr>
        <w:t xml:space="preserve">4. </w:t>
      </w:r>
      <w:r>
        <w:rPr>
          <w:b/>
          <w:color w:val="0F172A"/>
          <w:sz w:val="26"/>
        </w:rPr>
        <w:t>Dataset</w:t>
      </w:r>
    </w:p>
    <w:p>
      <w:r>
        <w:t>SkillSight is powered by an extensive LinkedIn job postings dataset comprising 15,886 unique listings, capturing titles, detailed descriptions, company profiles, locations, salary schedules, and workplace arrangements.</w:t>
      </w:r>
    </w:p>
    <w:tbl>
      <w:tblPr>
        <w:tblW w:type="auto" w:w="0"/>
        <w:jc w:val="center"/>
        <w:tblLook w:firstColumn="1" w:firstRow="1" w:lastColumn="0" w:lastRow="0" w:noHBand="0" w:noVBand="1" w:val="04A0"/>
        <w:tblBorders>
          <w:top w:val="single" w:sz="4" w:space="0" w:color="CBD5E1"/>
          <w:bottom w:val="single" w:sz="6" w:space="0" w:color="0F172A"/>
          <w:insideH w:val="single" w:sz="4" w:space="0" w:color="E2E8F0"/>
          <w:insideV w:val="none"/>
          <w:left w:val="none"/>
          <w:right w:val="none"/>
        </w:tblBorders>
      </w:tblPr>
      <w:tblGrid>
        <w:gridCol w:w="3312"/>
        <w:gridCol w:w="3312"/>
        <w:gridCol w:w="3312"/>
      </w:tblGrid>
      <w:tr>
        <w:tc>
          <w:tcPr>
            <w:tcW w:type="dxa" w:w="3312"/>
            <w:shd w:fill="0F172A"/>
            <w:tcMar>
              <w:top w:w="120" w:type="dxa"/>
              <w:bottom w:w="120" w:type="dxa"/>
              <w:left w:w="160" w:type="dxa"/>
              <w:right w:w="160" w:type="dxa"/>
            </w:tcMar>
          </w:tcPr>
          <w:p>
            <w:r>
              <w:rPr>
                <w:b/>
                <w:color w:val="FFFFFF"/>
                <w:sz w:val="19"/>
              </w:rPr>
              <w:t>Dataset Telemetry Metric</w:t>
            </w:r>
          </w:p>
        </w:tc>
        <w:tc>
          <w:tcPr>
            <w:tcW w:type="dxa" w:w="3312"/>
            <w:shd w:fill="0F172A"/>
            <w:tcMar>
              <w:top w:w="120" w:type="dxa"/>
              <w:bottom w:w="120" w:type="dxa"/>
              <w:left w:w="160" w:type="dxa"/>
              <w:right w:w="160" w:type="dxa"/>
            </w:tcMar>
          </w:tcPr>
          <w:p>
            <w:r>
              <w:rPr>
                <w:b/>
                <w:color w:val="FFFFFF"/>
                <w:sz w:val="19"/>
              </w:rPr>
              <w:t>Verified Value</w:t>
            </w:r>
          </w:p>
        </w:tc>
        <w:tc>
          <w:tcPr>
            <w:tcW w:type="dxa" w:w="3312"/>
            <w:shd w:fill="0F172A"/>
            <w:tcMar>
              <w:top w:w="120" w:type="dxa"/>
              <w:bottom w:w="120" w:type="dxa"/>
              <w:left w:w="160" w:type="dxa"/>
              <w:right w:w="160" w:type="dxa"/>
            </w:tcMar>
          </w:tcPr>
          <w:p>
            <w:r>
              <w:rPr>
                <w:b/>
                <w:color w:val="FFFFFF"/>
                <w:sz w:val="19"/>
              </w:rPr>
              <w:t>Significance to Personalization</w:t>
            </w:r>
          </w:p>
        </w:tc>
      </w:tr>
      <w:tr>
        <w:tc>
          <w:tcPr>
            <w:tcW w:type="dxa" w:w="3312"/>
            <w:shd w:fill="F8FAFC"/>
            <w:tcMar>
              <w:top w:w="100" w:type="dxa"/>
              <w:bottom w:w="100" w:type="dxa"/>
              <w:left w:w="140" w:type="dxa"/>
              <w:right w:w="140" w:type="dxa"/>
            </w:tcMar>
          </w:tcPr>
          <w:p>
            <w:r>
              <w:rPr>
                <w:sz w:val="18"/>
              </w:rPr>
              <w:t>Total Cleaned Postings</w:t>
            </w:r>
          </w:p>
        </w:tc>
        <w:tc>
          <w:tcPr>
            <w:tcW w:type="dxa" w:w="3312"/>
            <w:shd w:fill="F8FAFC"/>
            <w:tcMar>
              <w:top w:w="100" w:type="dxa"/>
              <w:bottom w:w="100" w:type="dxa"/>
              <w:left w:w="140" w:type="dxa"/>
              <w:right w:w="140" w:type="dxa"/>
            </w:tcMar>
          </w:tcPr>
          <w:p>
            <w:r>
              <w:rPr>
                <w:b/>
                <w:sz w:val="18"/>
              </w:rPr>
              <w:t>15,886 records</w:t>
            </w:r>
          </w:p>
        </w:tc>
        <w:tc>
          <w:tcPr>
            <w:tcW w:type="dxa" w:w="3312"/>
            <w:shd w:fill="F8FAFC"/>
            <w:tcMar>
              <w:top w:w="100" w:type="dxa"/>
              <w:bottom w:w="100" w:type="dxa"/>
              <w:left w:w="140" w:type="dxa"/>
              <w:right w:w="140" w:type="dxa"/>
            </w:tcMar>
          </w:tcPr>
          <w:p>
            <w:r>
              <w:rPr>
                <w:sz w:val="18"/>
              </w:rPr>
              <w:t>Broad empirical foundation ensuring statistical reliability.</w:t>
            </w:r>
          </w:p>
        </w:tc>
      </w:tr>
      <w:tr>
        <w:tc>
          <w:tcPr>
            <w:tcW w:type="dxa" w:w="3312"/>
            <w:shd w:fill="FFFFFF"/>
            <w:tcMar>
              <w:top w:w="100" w:type="dxa"/>
              <w:bottom w:w="100" w:type="dxa"/>
              <w:left w:w="140" w:type="dxa"/>
              <w:right w:w="140" w:type="dxa"/>
            </w:tcMar>
          </w:tcPr>
          <w:p>
            <w:r>
              <w:rPr>
                <w:sz w:val="18"/>
              </w:rPr>
              <w:t>Unique Job Titles</w:t>
            </w:r>
          </w:p>
        </w:tc>
        <w:tc>
          <w:tcPr>
            <w:tcW w:type="dxa" w:w="3312"/>
            <w:shd w:fill="FFFFFF"/>
            <w:tcMar>
              <w:top w:w="100" w:type="dxa"/>
              <w:bottom w:w="100" w:type="dxa"/>
              <w:left w:w="140" w:type="dxa"/>
              <w:right w:w="140" w:type="dxa"/>
            </w:tcMar>
          </w:tcPr>
          <w:p>
            <w:r>
              <w:rPr>
                <w:b/>
                <w:sz w:val="18"/>
              </w:rPr>
              <w:t>10,903 distinct roles</w:t>
            </w:r>
          </w:p>
        </w:tc>
        <w:tc>
          <w:tcPr>
            <w:tcW w:type="dxa" w:w="3312"/>
            <w:shd w:fill="FFFFFF"/>
            <w:tcMar>
              <w:top w:w="100" w:type="dxa"/>
              <w:bottom w:w="100" w:type="dxa"/>
              <w:left w:w="140" w:type="dxa"/>
              <w:right w:w="140" w:type="dxa"/>
            </w:tcMar>
          </w:tcPr>
          <w:p>
            <w:r>
              <w:rPr>
                <w:sz w:val="18"/>
              </w:rPr>
              <w:t>Enables fine-grained title-to-role benchmark mapping.</w:t>
            </w:r>
          </w:p>
        </w:tc>
      </w:tr>
      <w:tr>
        <w:tc>
          <w:tcPr>
            <w:tcW w:type="dxa" w:w="3312"/>
            <w:shd w:fill="F8FAFC"/>
            <w:tcMar>
              <w:top w:w="100" w:type="dxa"/>
              <w:bottom w:w="100" w:type="dxa"/>
              <w:left w:w="140" w:type="dxa"/>
              <w:right w:w="140" w:type="dxa"/>
            </w:tcMar>
          </w:tcPr>
          <w:p>
            <w:r>
              <w:rPr>
                <w:sz w:val="18"/>
              </w:rPr>
              <w:t>Geographic Locations</w:t>
            </w:r>
          </w:p>
        </w:tc>
        <w:tc>
          <w:tcPr>
            <w:tcW w:type="dxa" w:w="3312"/>
            <w:shd w:fill="F8FAFC"/>
            <w:tcMar>
              <w:top w:w="100" w:type="dxa"/>
              <w:bottom w:w="100" w:type="dxa"/>
              <w:left w:w="140" w:type="dxa"/>
              <w:right w:w="140" w:type="dxa"/>
            </w:tcMar>
          </w:tcPr>
          <w:p>
            <w:r>
              <w:rPr>
                <w:b/>
                <w:sz w:val="18"/>
              </w:rPr>
              <w:t>3,010 locations</w:t>
            </w:r>
          </w:p>
        </w:tc>
        <w:tc>
          <w:tcPr>
            <w:tcW w:type="dxa" w:w="3312"/>
            <w:shd w:fill="F8FAFC"/>
            <w:tcMar>
              <w:top w:w="100" w:type="dxa"/>
              <w:bottom w:w="100" w:type="dxa"/>
              <w:left w:w="140" w:type="dxa"/>
              <w:right w:w="140" w:type="dxa"/>
            </w:tcMar>
          </w:tcPr>
          <w:p>
            <w:r>
              <w:rPr>
                <w:sz w:val="18"/>
              </w:rPr>
              <w:t>Provides metropolitan targeting for career preferences.</w:t>
            </w:r>
          </w:p>
        </w:tc>
      </w:tr>
      <w:tr>
        <w:tc>
          <w:tcPr>
            <w:tcW w:type="dxa" w:w="3312"/>
            <w:shd w:fill="FFFFFF"/>
            <w:tcMar>
              <w:top w:w="100" w:type="dxa"/>
              <w:bottom w:w="100" w:type="dxa"/>
              <w:left w:w="140" w:type="dxa"/>
              <w:right w:w="140" w:type="dxa"/>
            </w:tcMar>
          </w:tcPr>
          <w:p>
            <w:r>
              <w:rPr>
                <w:sz w:val="18"/>
              </w:rPr>
              <w:t>Unique Employers</w:t>
            </w:r>
          </w:p>
        </w:tc>
        <w:tc>
          <w:tcPr>
            <w:tcW w:type="dxa" w:w="3312"/>
            <w:shd w:fill="FFFFFF"/>
            <w:tcMar>
              <w:top w:w="100" w:type="dxa"/>
              <w:bottom w:w="100" w:type="dxa"/>
              <w:left w:w="140" w:type="dxa"/>
              <w:right w:w="140" w:type="dxa"/>
            </w:tcMar>
          </w:tcPr>
          <w:p>
            <w:r>
              <w:rPr>
                <w:b/>
                <w:sz w:val="18"/>
              </w:rPr>
              <w:t>6,030 companies</w:t>
            </w:r>
          </w:p>
        </w:tc>
        <w:tc>
          <w:tcPr>
            <w:tcW w:type="dxa" w:w="3312"/>
            <w:shd w:fill="FFFFFF"/>
            <w:tcMar>
              <w:top w:w="100" w:type="dxa"/>
              <w:bottom w:w="100" w:type="dxa"/>
              <w:left w:w="140" w:type="dxa"/>
              <w:right w:w="140" w:type="dxa"/>
            </w:tcMar>
          </w:tcPr>
          <w:p>
            <w:r>
              <w:rPr>
                <w:sz w:val="18"/>
              </w:rPr>
              <w:t>Ensures diversity across enterprise, mid-market, and startups.</w:t>
            </w:r>
          </w:p>
        </w:tc>
      </w:tr>
      <w:tr>
        <w:tc>
          <w:tcPr>
            <w:tcW w:type="dxa" w:w="3312"/>
            <w:shd w:fill="F8FAFC"/>
            <w:tcMar>
              <w:top w:w="100" w:type="dxa"/>
              <w:bottom w:w="100" w:type="dxa"/>
              <w:left w:w="140" w:type="dxa"/>
              <w:right w:w="140" w:type="dxa"/>
            </w:tcMar>
          </w:tcPr>
          <w:p>
            <w:r>
              <w:rPr>
                <w:sz w:val="18"/>
              </w:rPr>
              <w:t>Salary-Reported Postings</w:t>
            </w:r>
          </w:p>
        </w:tc>
        <w:tc>
          <w:tcPr>
            <w:tcW w:type="dxa" w:w="3312"/>
            <w:shd w:fill="F8FAFC"/>
            <w:tcMar>
              <w:top w:w="100" w:type="dxa"/>
              <w:bottom w:w="100" w:type="dxa"/>
              <w:left w:w="140" w:type="dxa"/>
              <w:right w:w="140" w:type="dxa"/>
            </w:tcMar>
          </w:tcPr>
          <w:p>
            <w:r>
              <w:rPr>
                <w:b/>
                <w:sz w:val="18"/>
              </w:rPr>
              <w:t>6,502 records (40.93%)</w:t>
            </w:r>
          </w:p>
        </w:tc>
        <w:tc>
          <w:tcPr>
            <w:tcW w:type="dxa" w:w="3312"/>
            <w:shd w:fill="F8FAFC"/>
            <w:tcMar>
              <w:top w:w="100" w:type="dxa"/>
              <w:bottom w:w="100" w:type="dxa"/>
              <w:left w:w="140" w:type="dxa"/>
              <w:right w:w="140" w:type="dxa"/>
            </w:tcMar>
          </w:tcPr>
          <w:p>
            <w:r>
              <w:rPr>
                <w:sz w:val="18"/>
              </w:rPr>
              <w:t>Transparent compensation subset for supervised regression.</w:t>
            </w:r>
          </w:p>
        </w:tc>
      </w:tr>
      <w:tr>
        <w:tc>
          <w:tcPr>
            <w:tcW w:type="dxa" w:w="3312"/>
            <w:shd w:fill="FFFFFF"/>
            <w:tcMar>
              <w:top w:w="100" w:type="dxa"/>
              <w:bottom w:w="100" w:type="dxa"/>
              <w:left w:w="140" w:type="dxa"/>
              <w:right w:w="140" w:type="dxa"/>
            </w:tcMar>
          </w:tcPr>
          <w:p>
            <w:r>
              <w:rPr>
                <w:sz w:val="18"/>
              </w:rPr>
              <w:t>Remote Work Positions</w:t>
            </w:r>
          </w:p>
        </w:tc>
        <w:tc>
          <w:tcPr>
            <w:tcW w:type="dxa" w:w="3312"/>
            <w:shd w:fill="FFFFFF"/>
            <w:tcMar>
              <w:top w:w="100" w:type="dxa"/>
              <w:bottom w:w="100" w:type="dxa"/>
              <w:left w:w="140" w:type="dxa"/>
              <w:right w:w="140" w:type="dxa"/>
            </w:tcMar>
          </w:tcPr>
          <w:p>
            <w:r>
              <w:rPr>
                <w:b/>
                <w:sz w:val="18"/>
              </w:rPr>
              <w:t>2,340 records (14.73%)</w:t>
            </w:r>
          </w:p>
        </w:tc>
        <w:tc>
          <w:tcPr>
            <w:tcW w:type="dxa" w:w="3312"/>
            <w:shd w:fill="FFFFFF"/>
            <w:tcMar>
              <w:top w:w="100" w:type="dxa"/>
              <w:bottom w:w="100" w:type="dxa"/>
              <w:left w:w="140" w:type="dxa"/>
              <w:right w:w="140" w:type="dxa"/>
            </w:tcMar>
          </w:tcPr>
          <w:p>
            <w:r>
              <w:rPr>
                <w:sz w:val="18"/>
              </w:rPr>
              <w:t>Benchmarks modern workplace flexibility policies.</w:t>
            </w:r>
          </w:p>
        </w:tc>
      </w:tr>
    </w:tbl>
    <w:p>
      <w:pPr>
        <w:keepNext/>
        <w:spacing w:before="280" w:after="80"/>
      </w:pPr>
      <w:r>
        <w:rPr>
          <w:b/>
          <w:color w:val="2563EB"/>
          <w:sz w:val="26"/>
        </w:rPr>
        <w:t xml:space="preserve">5. </w:t>
      </w:r>
      <w:r>
        <w:rPr>
          <w:b/>
          <w:color w:val="0F172A"/>
          <w:sz w:val="26"/>
        </w:rPr>
        <w:t>Technology Stack</w:t>
      </w:r>
    </w:p>
    <w:p>
      <w:r>
        <w:t>The platform is engineered using a modular, fully explainable open-source Python stack:</w:t>
      </w:r>
    </w:p>
    <w:p>
      <w:pPr>
        <w:pStyle w:val="ListBullet"/>
      </w:pPr>
      <w:r>
        <w:rPr>
          <w:b/>
        </w:rPr>
        <w:t xml:space="preserve">Core Backend &amp; Profiling: </w:t>
      </w:r>
      <w:r>
        <w:t>Python 3.13, Pandas 2.2, NumPy 2.2</w:t>
      </w:r>
    </w:p>
    <w:p>
      <w:pPr>
        <w:pStyle w:val="ListBullet"/>
      </w:pPr>
      <w:r>
        <w:rPr>
          <w:b/>
        </w:rPr>
        <w:t xml:space="preserve">Database &amp; Persistence: </w:t>
      </w:r>
      <w:r>
        <w:t>SQLite 3 (data/skillsight.db) with PBKDF2-HMAC-SHA256 password security</w:t>
      </w:r>
    </w:p>
    <w:p>
      <w:pPr>
        <w:pStyle w:val="ListBullet"/>
      </w:pPr>
      <w:r>
        <w:rPr>
          <w:b/>
        </w:rPr>
        <w:t xml:space="preserve">NLP &amp; Text Extraction: </w:t>
      </w:r>
      <w:r>
        <w:t>Standard re regular expressions with word boundary validation</w:t>
      </w:r>
    </w:p>
    <w:p>
      <w:pPr>
        <w:pStyle w:val="ListBullet"/>
      </w:pPr>
      <w:r>
        <w:rPr>
          <w:b/>
        </w:rPr>
        <w:t xml:space="preserve">Machine Learning: </w:t>
      </w:r>
      <w:r>
        <w:t>Scikit-learn 1.6 (RandomForestRegressor pipeline), Joblib 1.4</w:t>
      </w:r>
    </w:p>
    <w:p>
      <w:pPr>
        <w:pStyle w:val="ListBullet"/>
      </w:pPr>
      <w:r>
        <w:rPr>
          <w:b/>
        </w:rPr>
        <w:t xml:space="preserve">User Presentation Layer: </w:t>
      </w:r>
      <w:r>
        <w:t>Streamlit 1.42 with multi-page routing, session persistence, and AppTest</w:t>
      </w:r>
    </w:p>
    <w:p>
      <w:pPr>
        <w:pStyle w:val="ListBullet"/>
      </w:pPr>
      <w:r>
        <w:rPr>
          <w:b/>
        </w:rPr>
        <w:t xml:space="preserve">Visual Assets: </w:t>
      </w:r>
      <w:r>
        <w:t>Matplotlib 3.10 and Seaborn generating 10 publication-quality PNG charts</w:t>
      </w:r>
    </w:p>
    <w:p>
      <w:pPr>
        <w:pStyle w:val="ListBullet"/>
      </w:pPr>
      <w:r>
        <w:rPr>
          <w:b/>
        </w:rPr>
        <w:t xml:space="preserve">Documentation: </w:t>
      </w:r>
      <w:r>
        <w:t>Jupyter Notebook (nbformat 5.10) and Python-docx 1.2</w:t>
      </w:r>
    </w:p>
    <w:p>
      <w:pPr>
        <w:keepNext/>
        <w:spacing w:before="280" w:after="80"/>
      </w:pPr>
      <w:r>
        <w:rPr>
          <w:b/>
          <w:color w:val="2563EB"/>
          <w:sz w:val="26"/>
        </w:rPr>
        <w:t xml:space="preserve">6. </w:t>
      </w:r>
      <w:r>
        <w:rPr>
          <w:b/>
          <w:color w:val="0F172A"/>
          <w:sz w:val="26"/>
        </w:rPr>
        <w:t>User-Centric System Workflow</w:t>
      </w:r>
    </w:p>
    <w:p>
      <w:r>
        <w:t>SkillSight is designed from the perspective of an ambitious student or professional actively planning their career. Rather than exposing internal script pipelines, the system guides the candidate through an intuitive, interactive journey:</w:t>
      </w:r>
    </w:p>
    <w:p>
      <w:pPr>
        <w:spacing w:before="80" w:after="160"/>
        <w:ind w:left="288" w:right="288"/>
      </w:pPr>
      <w:r>
        <w:rPr>
          <w:b/>
          <w:color w:val="1E40AF"/>
        </w:rPr>
        <w:t xml:space="preserve">The Complete User Journey: </w:t>
      </w:r>
      <w:r>
        <w:rPr>
          <w:i/>
          <w:color w:val="334155"/>
        </w:rPr>
        <w:t>USER → REGISTER/LOGIN → CREATE PROFILE → ENTER ACADEMIC INFO → ADD CURRENT SKILLS → SELECT PROFICIENCY → SELECT TARGET ROLE → SELECT PREFERENCES → ANALYZE PROFILE → COMPARE WITH JOB MARKET → IDENTIFY SKILL GAPS → EXPLORE TECH RADAR → ROLE ALIGNMENT → GENERATE ROADMAP → RECOMMEND PROJECTS → SALARY INSIGHTS → TRACK PROGRESS → UPDATE ROADMAP</w:t>
      </w:r>
    </w:p>
    <w:p>
      <w:r>
        <w:t>1. Register/Login: The candidate securely logs in or selects the instant Demo Mode.</w:t>
        <w:br/>
        <w:t>2. Executive Telemetry: Reviews top-level Career Readiness (e.g., 61/100) and 'What Should I Learn Next?'.</w:t>
        <w:br/>
        <w:t>3. Profile Management: Enters academic details, selects categorized skills, and assigns proficiency.</w:t>
        <w:br/>
        <w:t>4. Skill Gap Inspection: Identifies already-acquired skills vs. high-priority missing skills.</w:t>
        <w:br/>
        <w:t>5. Technology Radar: Discovers verified market-relevant tools across AI/ML, Cloud, and DevOps.</w:t>
        <w:br/>
        <w:t>6. Multi-Role Compatibility: Explores skill alignment percentages across 14 career paths.</w:t>
        <w:br/>
        <w:t>7. Salary Prediction: Runs live ML inference to estimate compensation based on preferred role and region.</w:t>
        <w:br/>
        <w:t>8. Career Roadmap: Follows a personalized 5-phase curriculum tailored specifically to their missing skills.</w:t>
        <w:br/>
        <w:t>9. Recommended Projects: Builds hands-on capstones that directly prove competence in gap areas.</w:t>
        <w:br/>
        <w:t>10. Progress Tracking: Actively checks off completed skills and milestones, watching their readiness score rise.</w:t>
      </w:r>
    </w:p>
    <w:p>
      <w:pPr>
        <w:keepNext/>
        <w:spacing w:before="280" w:after="80"/>
      </w:pPr>
      <w:r>
        <w:rPr>
          <w:b/>
          <w:color w:val="2563EB"/>
          <w:sz w:val="26"/>
        </w:rPr>
        <w:t xml:space="preserve">7. </w:t>
      </w:r>
      <w:r>
        <w:rPr>
          <w:b/>
          <w:color w:val="0F172A"/>
          <w:sz w:val="26"/>
        </w:rPr>
        <w:t>Features</w:t>
      </w:r>
    </w:p>
    <w:p>
      <w:r>
        <w:t>SkillSight V2 integrates 10 core personalized features:</w:t>
      </w:r>
    </w:p>
    <w:p>
      <w:pPr>
        <w:pStyle w:val="ListBullet"/>
      </w:pPr>
      <w:r>
        <w:rPr>
          <w:b/>
        </w:rPr>
        <w:t xml:space="preserve">Candidate Profile &amp; Skill Inventory: </w:t>
      </w:r>
      <w:r>
        <w:t>Captures academic status, categorized technical skills, and proficiency depth in SQLite.</w:t>
      </w:r>
    </w:p>
    <w:p>
      <w:pPr>
        <w:pStyle w:val="ListBullet"/>
      </w:pPr>
      <w:r>
        <w:rPr>
          <w:b/>
        </w:rPr>
        <w:t xml:space="preserve">Deterministic Skill Gap Analyzer: </w:t>
      </w:r>
      <w:r>
        <w:t>Contrasts user skills with role benchmarks and exact dataset demand share.</w:t>
      </w:r>
    </w:p>
    <w:p>
      <w:pPr>
        <w:pStyle w:val="ListBullet"/>
      </w:pPr>
      <w:r>
        <w:rPr>
          <w:b/>
        </w:rPr>
        <w:t xml:space="preserve">Career Readiness Scoring Engine: </w:t>
      </w:r>
      <w:r>
        <w:t>Computes an explainable 0–100 score across 5 weighted dimensions.</w:t>
      </w:r>
    </w:p>
    <w:p>
      <w:pPr>
        <w:pStyle w:val="ListBullet"/>
      </w:pPr>
      <w:r>
        <w:rPr>
          <w:b/>
        </w:rPr>
        <w:t xml:space="preserve">'What Should I Learn Next?': </w:t>
      </w:r>
      <w:r>
        <w:t>Recommends the top 3 highest-ROI skills with explainable pedagogical reasons.</w:t>
      </w:r>
    </w:p>
    <w:p>
      <w:pPr>
        <w:pStyle w:val="ListBullet"/>
      </w:pPr>
      <w:r>
        <w:rPr>
          <w:b/>
        </w:rPr>
        <w:t xml:space="preserve">Career Market Alerts: </w:t>
      </w:r>
      <w:r>
        <w:t>Dynamic alerts highlighting missing core competencies and market telemetry.</w:t>
      </w:r>
    </w:p>
    <w:p>
      <w:pPr>
        <w:pStyle w:val="ListBullet"/>
      </w:pPr>
      <w:r>
        <w:rPr>
          <w:b/>
        </w:rPr>
        <w:t xml:space="preserve">Market-Relevant Technology Radar: </w:t>
      </w:r>
      <w:r>
        <w:t>Groups verified technologies across 5 critical domains with demand evidence.</w:t>
      </w:r>
    </w:p>
    <w:p>
      <w:pPr>
        <w:pStyle w:val="ListBullet"/>
      </w:pPr>
      <w:r>
        <w:rPr>
          <w:b/>
        </w:rPr>
        <w:t xml:space="preserve">Multi-Role Compatibility Matcher: </w:t>
      </w:r>
      <w:r>
        <w:t>Calculates Skill Alignment % across 14 standard industry career tracks.</w:t>
      </w:r>
    </w:p>
    <w:p>
      <w:pPr>
        <w:pStyle w:val="ListBullet"/>
      </w:pPr>
      <w:r>
        <w:rPr>
          <w:b/>
        </w:rPr>
        <w:t xml:space="preserve">Supervised Salary Prediction: </w:t>
      </w:r>
      <w:r>
        <w:t>Predicts annual salary using Random Forest based on user career preferences.</w:t>
      </w:r>
    </w:p>
    <w:p>
      <w:pPr>
        <w:pStyle w:val="ListBullet"/>
      </w:pPr>
      <w:r>
        <w:rPr>
          <w:b/>
        </w:rPr>
        <w:t xml:space="preserve">Personalized 5-Phase Roadmap: </w:t>
      </w:r>
      <w:r>
        <w:t>Generates structured curricula prioritizing missing competencies.</w:t>
      </w:r>
    </w:p>
    <w:p>
      <w:pPr>
        <w:pStyle w:val="ListBullet"/>
      </w:pPr>
      <w:r>
        <w:rPr>
          <w:b/>
        </w:rPr>
        <w:t xml:space="preserve">SQLite Progress Tracker: </w:t>
      </w:r>
      <w:r>
        <w:t>Enables candidates to toggle item status and track completion over time.</w:t>
      </w:r>
    </w:p>
    <w:p>
      <w:pPr>
        <w:keepNext/>
        <w:spacing w:before="280" w:after="80"/>
      </w:pPr>
      <w:r>
        <w:rPr>
          <w:b/>
          <w:color w:val="2563EB"/>
          <w:sz w:val="26"/>
        </w:rPr>
        <w:t xml:space="preserve">8. </w:t>
      </w:r>
      <w:r>
        <w:rPr>
          <w:b/>
          <w:color w:val="0F172A"/>
          <w:sz w:val="26"/>
        </w:rPr>
        <w:t>Technical Skill Analysis</w:t>
      </w:r>
    </w:p>
    <w:p>
      <w:r>
        <w:t>Using boundary-safe regex patterns matching normalized descriptions across all 15,886 postings, SkillSight quantified market demand for 49 technical skills without frequency inflation.</w:t>
      </w:r>
    </w:p>
    <w:tbl>
      <w:tblPr>
        <w:tblW w:type="auto" w:w="0"/>
        <w:jc w:val="center"/>
        <w:tblLook w:firstColumn="1" w:firstRow="1" w:lastColumn="0" w:lastRow="0" w:noHBand="0" w:noVBand="1" w:val="04A0"/>
        <w:tblBorders>
          <w:top w:val="single" w:sz="4" w:space="0" w:color="CBD5E1"/>
          <w:bottom w:val="single" w:sz="6" w:space="0" w:color="0F172A"/>
          <w:insideH w:val="single" w:sz="4" w:space="0" w:color="E2E8F0"/>
          <w:insideV w:val="none"/>
          <w:left w:val="none"/>
          <w:right w:val="none"/>
        </w:tblBorders>
      </w:tblPr>
      <w:tblGrid>
        <w:gridCol w:w="2484"/>
        <w:gridCol w:w="2484"/>
        <w:gridCol w:w="2484"/>
        <w:gridCol w:w="2484"/>
      </w:tblGrid>
      <w:tr>
        <w:tc>
          <w:tcPr>
            <w:tcW w:type="dxa" w:w="2484"/>
            <w:shd w:fill="0F172A"/>
            <w:tcMar>
              <w:top w:w="120" w:type="dxa"/>
              <w:bottom w:w="120" w:type="dxa"/>
              <w:left w:w="140" w:type="dxa"/>
              <w:right w:w="140" w:type="dxa"/>
            </w:tcMar>
          </w:tcPr>
          <w:p>
            <w:r>
              <w:rPr>
                <w:b/>
                <w:color w:val="FFFFFF"/>
                <w:sz w:val="19"/>
              </w:rPr>
              <w:t>Rank</w:t>
            </w:r>
          </w:p>
        </w:tc>
        <w:tc>
          <w:tcPr>
            <w:tcW w:type="dxa" w:w="2484"/>
            <w:shd w:fill="0F172A"/>
            <w:tcMar>
              <w:top w:w="120" w:type="dxa"/>
              <w:bottom w:w="120" w:type="dxa"/>
              <w:left w:w="140" w:type="dxa"/>
              <w:right w:w="140" w:type="dxa"/>
            </w:tcMar>
          </w:tcPr>
          <w:p>
            <w:r>
              <w:rPr>
                <w:b/>
                <w:color w:val="FFFFFF"/>
                <w:sz w:val="19"/>
              </w:rPr>
              <w:t>Technical Skill</w:t>
            </w:r>
          </w:p>
        </w:tc>
        <w:tc>
          <w:tcPr>
            <w:tcW w:type="dxa" w:w="2484"/>
            <w:shd w:fill="0F172A"/>
            <w:tcMar>
              <w:top w:w="120" w:type="dxa"/>
              <w:bottom w:w="120" w:type="dxa"/>
              <w:left w:w="140" w:type="dxa"/>
              <w:right w:w="140" w:type="dxa"/>
            </w:tcMar>
          </w:tcPr>
          <w:p>
            <w:r>
              <w:rPr>
                <w:b/>
                <w:color w:val="FFFFFF"/>
                <w:sz w:val="19"/>
              </w:rPr>
              <w:t>Job Postings Count</w:t>
            </w:r>
          </w:p>
        </w:tc>
        <w:tc>
          <w:tcPr>
            <w:tcW w:type="dxa" w:w="2484"/>
            <w:shd w:fill="0F172A"/>
            <w:tcMar>
              <w:top w:w="120" w:type="dxa"/>
              <w:bottom w:w="120" w:type="dxa"/>
              <w:left w:w="140" w:type="dxa"/>
              <w:right w:w="140" w:type="dxa"/>
            </w:tcMar>
          </w:tcPr>
          <w:p>
            <w:r>
              <w:rPr>
                <w:b/>
                <w:color w:val="FFFFFF"/>
                <w:sz w:val="19"/>
              </w:rPr>
              <w:t>Market Demand Share (%)</w:t>
            </w:r>
          </w:p>
        </w:tc>
      </w:tr>
      <w:tr>
        <w:tc>
          <w:tcPr>
            <w:tcW w:type="dxa" w:w="2484"/>
            <w:shd w:fill="F8FAFC"/>
            <w:tcMar>
              <w:top w:w="80" w:type="dxa"/>
              <w:bottom w:w="80" w:type="dxa"/>
              <w:left w:w="120" w:type="dxa"/>
              <w:right w:w="120" w:type="dxa"/>
            </w:tcMar>
          </w:tcPr>
          <w:p>
            <w:r>
              <w:rPr>
                <w:b/>
                <w:sz w:val="18"/>
              </w:rPr>
              <w:t>1</w:t>
            </w:r>
          </w:p>
        </w:tc>
        <w:tc>
          <w:tcPr>
            <w:tcW w:type="dxa" w:w="2484"/>
            <w:shd w:fill="F8FAFC"/>
            <w:tcMar>
              <w:top w:w="80" w:type="dxa"/>
              <w:bottom w:w="80" w:type="dxa"/>
              <w:left w:w="120" w:type="dxa"/>
              <w:right w:w="120" w:type="dxa"/>
            </w:tcMar>
          </w:tcPr>
          <w:p>
            <w:r>
              <w:rPr>
                <w:b/>
                <w:sz w:val="18"/>
              </w:rPr>
              <w:t>Excel</w:t>
            </w:r>
          </w:p>
        </w:tc>
        <w:tc>
          <w:tcPr>
            <w:tcW w:type="dxa" w:w="2484"/>
            <w:shd w:fill="F8FAFC"/>
            <w:tcMar>
              <w:top w:w="80" w:type="dxa"/>
              <w:bottom w:w="80" w:type="dxa"/>
              <w:left w:w="120" w:type="dxa"/>
              <w:right w:w="120" w:type="dxa"/>
            </w:tcMar>
          </w:tcPr>
          <w:p>
            <w:r>
              <w:rPr>
                <w:sz w:val="18"/>
              </w:rPr>
              <w:t>2,596</w:t>
            </w:r>
          </w:p>
        </w:tc>
        <w:tc>
          <w:tcPr>
            <w:tcW w:type="dxa" w:w="2484"/>
            <w:shd w:fill="F8FAFC"/>
            <w:tcMar>
              <w:top w:w="80" w:type="dxa"/>
              <w:bottom w:w="80" w:type="dxa"/>
              <w:left w:w="120" w:type="dxa"/>
              <w:right w:w="120" w:type="dxa"/>
            </w:tcMar>
          </w:tcPr>
          <w:p>
            <w:r>
              <w:rPr>
                <w:sz w:val="18"/>
              </w:rPr>
              <w:t>16.34%</w:t>
            </w:r>
          </w:p>
        </w:tc>
      </w:tr>
      <w:tr>
        <w:tc>
          <w:tcPr>
            <w:tcW w:type="dxa" w:w="2484"/>
            <w:shd w:fill="FFFFFF"/>
            <w:tcMar>
              <w:top w:w="80" w:type="dxa"/>
              <w:bottom w:w="80" w:type="dxa"/>
              <w:left w:w="120" w:type="dxa"/>
              <w:right w:w="120" w:type="dxa"/>
            </w:tcMar>
          </w:tcPr>
          <w:p>
            <w:r>
              <w:rPr>
                <w:b/>
                <w:sz w:val="18"/>
              </w:rPr>
              <w:t>2</w:t>
            </w:r>
          </w:p>
        </w:tc>
        <w:tc>
          <w:tcPr>
            <w:tcW w:type="dxa" w:w="2484"/>
            <w:shd w:fill="FFFFFF"/>
            <w:tcMar>
              <w:top w:w="80" w:type="dxa"/>
              <w:bottom w:w="80" w:type="dxa"/>
              <w:left w:w="120" w:type="dxa"/>
              <w:right w:w="120" w:type="dxa"/>
            </w:tcMar>
          </w:tcPr>
          <w:p>
            <w:r>
              <w:rPr>
                <w:b/>
                <w:sz w:val="18"/>
              </w:rPr>
              <w:t>SQL</w:t>
            </w:r>
          </w:p>
        </w:tc>
        <w:tc>
          <w:tcPr>
            <w:tcW w:type="dxa" w:w="2484"/>
            <w:shd w:fill="FFFFFF"/>
            <w:tcMar>
              <w:top w:w="80" w:type="dxa"/>
              <w:bottom w:w="80" w:type="dxa"/>
              <w:left w:w="120" w:type="dxa"/>
              <w:right w:w="120" w:type="dxa"/>
            </w:tcMar>
          </w:tcPr>
          <w:p>
            <w:r>
              <w:rPr>
                <w:sz w:val="18"/>
              </w:rPr>
              <w:t>764</w:t>
            </w:r>
          </w:p>
        </w:tc>
        <w:tc>
          <w:tcPr>
            <w:tcW w:type="dxa" w:w="2484"/>
            <w:shd w:fill="FFFFFF"/>
            <w:tcMar>
              <w:top w:w="80" w:type="dxa"/>
              <w:bottom w:w="80" w:type="dxa"/>
              <w:left w:w="120" w:type="dxa"/>
              <w:right w:w="120" w:type="dxa"/>
            </w:tcMar>
          </w:tcPr>
          <w:p>
            <w:r>
              <w:rPr>
                <w:sz w:val="18"/>
              </w:rPr>
              <w:t>4.81%</w:t>
            </w:r>
          </w:p>
        </w:tc>
      </w:tr>
      <w:tr>
        <w:tc>
          <w:tcPr>
            <w:tcW w:type="dxa" w:w="2484"/>
            <w:shd w:fill="F8FAFC"/>
            <w:tcMar>
              <w:top w:w="80" w:type="dxa"/>
              <w:bottom w:w="80" w:type="dxa"/>
              <w:left w:w="120" w:type="dxa"/>
              <w:right w:w="120" w:type="dxa"/>
            </w:tcMar>
          </w:tcPr>
          <w:p>
            <w:r>
              <w:rPr>
                <w:b/>
                <w:sz w:val="18"/>
              </w:rPr>
              <w:t>3</w:t>
            </w:r>
          </w:p>
        </w:tc>
        <w:tc>
          <w:tcPr>
            <w:tcW w:type="dxa" w:w="2484"/>
            <w:shd w:fill="F8FAFC"/>
            <w:tcMar>
              <w:top w:w="80" w:type="dxa"/>
              <w:bottom w:w="80" w:type="dxa"/>
              <w:left w:w="120" w:type="dxa"/>
              <w:right w:w="120" w:type="dxa"/>
            </w:tcMar>
          </w:tcPr>
          <w:p>
            <w:r>
              <w:rPr>
                <w:b/>
                <w:sz w:val="18"/>
              </w:rPr>
              <w:t>Python</w:t>
            </w:r>
          </w:p>
        </w:tc>
        <w:tc>
          <w:tcPr>
            <w:tcW w:type="dxa" w:w="2484"/>
            <w:shd w:fill="F8FAFC"/>
            <w:tcMar>
              <w:top w:w="80" w:type="dxa"/>
              <w:bottom w:w="80" w:type="dxa"/>
              <w:left w:w="120" w:type="dxa"/>
              <w:right w:w="120" w:type="dxa"/>
            </w:tcMar>
          </w:tcPr>
          <w:p>
            <w:r>
              <w:rPr>
                <w:sz w:val="18"/>
              </w:rPr>
              <w:t>616</w:t>
            </w:r>
          </w:p>
        </w:tc>
        <w:tc>
          <w:tcPr>
            <w:tcW w:type="dxa" w:w="2484"/>
            <w:shd w:fill="F8FAFC"/>
            <w:tcMar>
              <w:top w:w="80" w:type="dxa"/>
              <w:bottom w:w="80" w:type="dxa"/>
              <w:left w:w="120" w:type="dxa"/>
              <w:right w:w="120" w:type="dxa"/>
            </w:tcMar>
          </w:tcPr>
          <w:p>
            <w:r>
              <w:rPr>
                <w:sz w:val="18"/>
              </w:rPr>
              <w:t>3.88%</w:t>
            </w:r>
          </w:p>
        </w:tc>
      </w:tr>
      <w:tr>
        <w:tc>
          <w:tcPr>
            <w:tcW w:type="dxa" w:w="2484"/>
            <w:shd w:fill="FFFFFF"/>
            <w:tcMar>
              <w:top w:w="80" w:type="dxa"/>
              <w:bottom w:w="80" w:type="dxa"/>
              <w:left w:w="120" w:type="dxa"/>
              <w:right w:w="120" w:type="dxa"/>
            </w:tcMar>
          </w:tcPr>
          <w:p>
            <w:r>
              <w:rPr>
                <w:b/>
                <w:sz w:val="18"/>
              </w:rPr>
              <w:t>4</w:t>
            </w:r>
          </w:p>
        </w:tc>
        <w:tc>
          <w:tcPr>
            <w:tcW w:type="dxa" w:w="2484"/>
            <w:shd w:fill="FFFFFF"/>
            <w:tcMar>
              <w:top w:w="80" w:type="dxa"/>
              <w:bottom w:w="80" w:type="dxa"/>
              <w:left w:w="120" w:type="dxa"/>
              <w:right w:w="120" w:type="dxa"/>
            </w:tcMar>
          </w:tcPr>
          <w:p>
            <w:r>
              <w:rPr>
                <w:b/>
                <w:sz w:val="18"/>
              </w:rPr>
              <w:t>AWS</w:t>
            </w:r>
          </w:p>
        </w:tc>
        <w:tc>
          <w:tcPr>
            <w:tcW w:type="dxa" w:w="2484"/>
            <w:shd w:fill="FFFFFF"/>
            <w:tcMar>
              <w:top w:w="80" w:type="dxa"/>
              <w:bottom w:w="80" w:type="dxa"/>
              <w:left w:w="120" w:type="dxa"/>
              <w:right w:w="120" w:type="dxa"/>
            </w:tcMar>
          </w:tcPr>
          <w:p>
            <w:r>
              <w:rPr>
                <w:sz w:val="18"/>
              </w:rPr>
              <w:t>483</w:t>
            </w:r>
          </w:p>
        </w:tc>
        <w:tc>
          <w:tcPr>
            <w:tcW w:type="dxa" w:w="2484"/>
            <w:shd w:fill="FFFFFF"/>
            <w:tcMar>
              <w:top w:w="80" w:type="dxa"/>
              <w:bottom w:w="80" w:type="dxa"/>
              <w:left w:w="120" w:type="dxa"/>
              <w:right w:w="120" w:type="dxa"/>
            </w:tcMar>
          </w:tcPr>
          <w:p>
            <w:r>
              <w:rPr>
                <w:sz w:val="18"/>
              </w:rPr>
              <w:t>3.04%</w:t>
            </w:r>
          </w:p>
        </w:tc>
      </w:tr>
      <w:tr>
        <w:tc>
          <w:tcPr>
            <w:tcW w:type="dxa" w:w="2484"/>
            <w:shd w:fill="F8FAFC"/>
            <w:tcMar>
              <w:top w:w="80" w:type="dxa"/>
              <w:bottom w:w="80" w:type="dxa"/>
              <w:left w:w="120" w:type="dxa"/>
              <w:right w:w="120" w:type="dxa"/>
            </w:tcMar>
          </w:tcPr>
          <w:p>
            <w:r>
              <w:rPr>
                <w:b/>
                <w:sz w:val="18"/>
              </w:rPr>
              <w:t>5</w:t>
            </w:r>
          </w:p>
        </w:tc>
        <w:tc>
          <w:tcPr>
            <w:tcW w:type="dxa" w:w="2484"/>
            <w:shd w:fill="F8FAFC"/>
            <w:tcMar>
              <w:top w:w="80" w:type="dxa"/>
              <w:bottom w:w="80" w:type="dxa"/>
              <w:left w:w="120" w:type="dxa"/>
              <w:right w:w="120" w:type="dxa"/>
            </w:tcMar>
          </w:tcPr>
          <w:p>
            <w:r>
              <w:rPr>
                <w:b/>
                <w:sz w:val="18"/>
              </w:rPr>
              <w:t>Java</w:t>
            </w:r>
          </w:p>
        </w:tc>
        <w:tc>
          <w:tcPr>
            <w:tcW w:type="dxa" w:w="2484"/>
            <w:shd w:fill="F8FAFC"/>
            <w:tcMar>
              <w:top w:w="80" w:type="dxa"/>
              <w:bottom w:w="80" w:type="dxa"/>
              <w:left w:w="120" w:type="dxa"/>
              <w:right w:w="120" w:type="dxa"/>
            </w:tcMar>
          </w:tcPr>
          <w:p>
            <w:r>
              <w:rPr>
                <w:sz w:val="18"/>
              </w:rPr>
              <w:t>403</w:t>
            </w:r>
          </w:p>
        </w:tc>
        <w:tc>
          <w:tcPr>
            <w:tcW w:type="dxa" w:w="2484"/>
            <w:shd w:fill="F8FAFC"/>
            <w:tcMar>
              <w:top w:w="80" w:type="dxa"/>
              <w:bottom w:w="80" w:type="dxa"/>
              <w:left w:w="120" w:type="dxa"/>
              <w:right w:w="120" w:type="dxa"/>
            </w:tcMar>
          </w:tcPr>
          <w:p>
            <w:r>
              <w:rPr>
                <w:sz w:val="18"/>
              </w:rPr>
              <w:t>2.54%</w:t>
            </w:r>
          </w:p>
        </w:tc>
      </w:tr>
      <w:tr>
        <w:tc>
          <w:tcPr>
            <w:tcW w:type="dxa" w:w="2484"/>
            <w:shd w:fill="FFFFFF"/>
            <w:tcMar>
              <w:top w:w="80" w:type="dxa"/>
              <w:bottom w:w="80" w:type="dxa"/>
              <w:left w:w="120" w:type="dxa"/>
              <w:right w:w="120" w:type="dxa"/>
            </w:tcMar>
          </w:tcPr>
          <w:p>
            <w:r>
              <w:rPr>
                <w:b/>
                <w:sz w:val="18"/>
              </w:rPr>
              <w:t>6</w:t>
            </w:r>
          </w:p>
        </w:tc>
        <w:tc>
          <w:tcPr>
            <w:tcW w:type="dxa" w:w="2484"/>
            <w:shd w:fill="FFFFFF"/>
            <w:tcMar>
              <w:top w:w="80" w:type="dxa"/>
              <w:bottom w:w="80" w:type="dxa"/>
              <w:left w:w="120" w:type="dxa"/>
              <w:right w:w="120" w:type="dxa"/>
            </w:tcMar>
          </w:tcPr>
          <w:p>
            <w:r>
              <w:rPr>
                <w:b/>
                <w:sz w:val="18"/>
              </w:rPr>
              <w:t>Azure</w:t>
            </w:r>
          </w:p>
        </w:tc>
        <w:tc>
          <w:tcPr>
            <w:tcW w:type="dxa" w:w="2484"/>
            <w:shd w:fill="FFFFFF"/>
            <w:tcMar>
              <w:top w:w="80" w:type="dxa"/>
              <w:bottom w:w="80" w:type="dxa"/>
              <w:left w:w="120" w:type="dxa"/>
              <w:right w:w="120" w:type="dxa"/>
            </w:tcMar>
          </w:tcPr>
          <w:p>
            <w:r>
              <w:rPr>
                <w:sz w:val="18"/>
              </w:rPr>
              <w:t>390</w:t>
            </w:r>
          </w:p>
        </w:tc>
        <w:tc>
          <w:tcPr>
            <w:tcW w:type="dxa" w:w="2484"/>
            <w:shd w:fill="FFFFFF"/>
            <w:tcMar>
              <w:top w:w="80" w:type="dxa"/>
              <w:bottom w:w="80" w:type="dxa"/>
              <w:left w:w="120" w:type="dxa"/>
              <w:right w:w="120" w:type="dxa"/>
            </w:tcMar>
          </w:tcPr>
          <w:p>
            <w:r>
              <w:rPr>
                <w:sz w:val="18"/>
              </w:rPr>
              <w:t>2.45%</w:t>
            </w:r>
          </w:p>
        </w:tc>
      </w:tr>
      <w:tr>
        <w:tc>
          <w:tcPr>
            <w:tcW w:type="dxa" w:w="2484"/>
            <w:shd w:fill="F8FAFC"/>
            <w:tcMar>
              <w:top w:w="80" w:type="dxa"/>
              <w:bottom w:w="80" w:type="dxa"/>
              <w:left w:w="120" w:type="dxa"/>
              <w:right w:w="120" w:type="dxa"/>
            </w:tcMar>
          </w:tcPr>
          <w:p>
            <w:r>
              <w:rPr>
                <w:b/>
                <w:sz w:val="18"/>
              </w:rPr>
              <w:t>7</w:t>
            </w:r>
          </w:p>
        </w:tc>
        <w:tc>
          <w:tcPr>
            <w:tcW w:type="dxa" w:w="2484"/>
            <w:shd w:fill="F8FAFC"/>
            <w:tcMar>
              <w:top w:w="80" w:type="dxa"/>
              <w:bottom w:w="80" w:type="dxa"/>
              <w:left w:w="120" w:type="dxa"/>
              <w:right w:w="120" w:type="dxa"/>
            </w:tcMar>
          </w:tcPr>
          <w:p>
            <w:r>
              <w:rPr>
                <w:b/>
                <w:sz w:val="18"/>
              </w:rPr>
              <w:t>JavaScript</w:t>
            </w:r>
          </w:p>
        </w:tc>
        <w:tc>
          <w:tcPr>
            <w:tcW w:type="dxa" w:w="2484"/>
            <w:shd w:fill="F8FAFC"/>
            <w:tcMar>
              <w:top w:w="80" w:type="dxa"/>
              <w:bottom w:w="80" w:type="dxa"/>
              <w:left w:w="120" w:type="dxa"/>
              <w:right w:w="120" w:type="dxa"/>
            </w:tcMar>
          </w:tcPr>
          <w:p>
            <w:r>
              <w:rPr>
                <w:sz w:val="18"/>
              </w:rPr>
              <w:t>298</w:t>
            </w:r>
          </w:p>
        </w:tc>
        <w:tc>
          <w:tcPr>
            <w:tcW w:type="dxa" w:w="2484"/>
            <w:shd w:fill="F8FAFC"/>
            <w:tcMar>
              <w:top w:w="80" w:type="dxa"/>
              <w:bottom w:w="80" w:type="dxa"/>
              <w:left w:w="120" w:type="dxa"/>
              <w:right w:w="120" w:type="dxa"/>
            </w:tcMar>
          </w:tcPr>
          <w:p>
            <w:r>
              <w:rPr>
                <w:sz w:val="18"/>
              </w:rPr>
              <w:t>1.88%</w:t>
            </w:r>
          </w:p>
        </w:tc>
      </w:tr>
      <w:tr>
        <w:tc>
          <w:tcPr>
            <w:tcW w:type="dxa" w:w="2484"/>
            <w:shd w:fill="FFFFFF"/>
            <w:tcMar>
              <w:top w:w="80" w:type="dxa"/>
              <w:bottom w:w="80" w:type="dxa"/>
              <w:left w:w="120" w:type="dxa"/>
              <w:right w:w="120" w:type="dxa"/>
            </w:tcMar>
          </w:tcPr>
          <w:p>
            <w:r>
              <w:rPr>
                <w:b/>
                <w:sz w:val="18"/>
              </w:rPr>
              <w:t>8</w:t>
            </w:r>
          </w:p>
        </w:tc>
        <w:tc>
          <w:tcPr>
            <w:tcW w:type="dxa" w:w="2484"/>
            <w:shd w:fill="FFFFFF"/>
            <w:tcMar>
              <w:top w:w="80" w:type="dxa"/>
              <w:bottom w:w="80" w:type="dxa"/>
              <w:left w:w="120" w:type="dxa"/>
              <w:right w:w="120" w:type="dxa"/>
            </w:tcMar>
          </w:tcPr>
          <w:p>
            <w:r>
              <w:rPr>
                <w:b/>
                <w:sz w:val="18"/>
              </w:rPr>
              <w:t>Linux</w:t>
            </w:r>
          </w:p>
        </w:tc>
        <w:tc>
          <w:tcPr>
            <w:tcW w:type="dxa" w:w="2484"/>
            <w:shd w:fill="FFFFFF"/>
            <w:tcMar>
              <w:top w:w="80" w:type="dxa"/>
              <w:bottom w:w="80" w:type="dxa"/>
              <w:left w:w="120" w:type="dxa"/>
              <w:right w:w="120" w:type="dxa"/>
            </w:tcMar>
          </w:tcPr>
          <w:p>
            <w:r>
              <w:rPr>
                <w:sz w:val="18"/>
              </w:rPr>
              <w:t>292</w:t>
            </w:r>
          </w:p>
        </w:tc>
        <w:tc>
          <w:tcPr>
            <w:tcW w:type="dxa" w:w="2484"/>
            <w:shd w:fill="FFFFFF"/>
            <w:tcMar>
              <w:top w:w="80" w:type="dxa"/>
              <w:bottom w:w="80" w:type="dxa"/>
              <w:left w:w="120" w:type="dxa"/>
              <w:right w:w="120" w:type="dxa"/>
            </w:tcMar>
          </w:tcPr>
          <w:p>
            <w:r>
              <w:rPr>
                <w:sz w:val="18"/>
              </w:rPr>
              <w:t>1.84%</w:t>
            </w:r>
          </w:p>
        </w:tc>
      </w:tr>
      <w:tr>
        <w:tc>
          <w:tcPr>
            <w:tcW w:type="dxa" w:w="2484"/>
            <w:shd w:fill="F8FAFC"/>
            <w:tcMar>
              <w:top w:w="80" w:type="dxa"/>
              <w:bottom w:w="80" w:type="dxa"/>
              <w:left w:w="120" w:type="dxa"/>
              <w:right w:w="120" w:type="dxa"/>
            </w:tcMar>
          </w:tcPr>
          <w:p>
            <w:r>
              <w:rPr>
                <w:b/>
                <w:sz w:val="18"/>
              </w:rPr>
              <w:t>9</w:t>
            </w:r>
          </w:p>
        </w:tc>
        <w:tc>
          <w:tcPr>
            <w:tcW w:type="dxa" w:w="2484"/>
            <w:shd w:fill="F8FAFC"/>
            <w:tcMar>
              <w:top w:w="80" w:type="dxa"/>
              <w:bottom w:w="80" w:type="dxa"/>
              <w:left w:w="120" w:type="dxa"/>
              <w:right w:w="120" w:type="dxa"/>
            </w:tcMar>
          </w:tcPr>
          <w:p>
            <w:r>
              <w:rPr>
                <w:b/>
                <w:sz w:val="18"/>
              </w:rPr>
              <w:t>HTML</w:t>
            </w:r>
          </w:p>
        </w:tc>
        <w:tc>
          <w:tcPr>
            <w:tcW w:type="dxa" w:w="2484"/>
            <w:shd w:fill="F8FAFC"/>
            <w:tcMar>
              <w:top w:w="80" w:type="dxa"/>
              <w:bottom w:w="80" w:type="dxa"/>
              <w:left w:w="120" w:type="dxa"/>
              <w:right w:w="120" w:type="dxa"/>
            </w:tcMar>
          </w:tcPr>
          <w:p>
            <w:r>
              <w:rPr>
                <w:sz w:val="18"/>
              </w:rPr>
              <w:t>264</w:t>
            </w:r>
          </w:p>
        </w:tc>
        <w:tc>
          <w:tcPr>
            <w:tcW w:type="dxa" w:w="2484"/>
            <w:shd w:fill="F8FAFC"/>
            <w:tcMar>
              <w:top w:w="80" w:type="dxa"/>
              <w:bottom w:w="80" w:type="dxa"/>
              <w:left w:w="120" w:type="dxa"/>
              <w:right w:w="120" w:type="dxa"/>
            </w:tcMar>
          </w:tcPr>
          <w:p>
            <w:r>
              <w:rPr>
                <w:sz w:val="18"/>
              </w:rPr>
              <w:t>1.66%</w:t>
            </w:r>
          </w:p>
        </w:tc>
      </w:tr>
      <w:tr>
        <w:tc>
          <w:tcPr>
            <w:tcW w:type="dxa" w:w="2484"/>
            <w:shd w:fill="FFFFFF"/>
            <w:tcMar>
              <w:top w:w="80" w:type="dxa"/>
              <w:bottom w:w="80" w:type="dxa"/>
              <w:left w:w="120" w:type="dxa"/>
              <w:right w:w="120" w:type="dxa"/>
            </w:tcMar>
          </w:tcPr>
          <w:p>
            <w:r>
              <w:rPr>
                <w:b/>
                <w:sz w:val="18"/>
              </w:rPr>
              <w:t>10</w:t>
            </w:r>
          </w:p>
        </w:tc>
        <w:tc>
          <w:tcPr>
            <w:tcW w:type="dxa" w:w="2484"/>
            <w:shd w:fill="FFFFFF"/>
            <w:tcMar>
              <w:top w:w="80" w:type="dxa"/>
              <w:bottom w:w="80" w:type="dxa"/>
              <w:left w:w="120" w:type="dxa"/>
              <w:right w:w="120" w:type="dxa"/>
            </w:tcMar>
          </w:tcPr>
          <w:p>
            <w:r>
              <w:rPr>
                <w:b/>
                <w:sz w:val="18"/>
              </w:rPr>
              <w:t>Google Cloud</w:t>
            </w:r>
          </w:p>
        </w:tc>
        <w:tc>
          <w:tcPr>
            <w:tcW w:type="dxa" w:w="2484"/>
            <w:shd w:fill="FFFFFF"/>
            <w:tcMar>
              <w:top w:w="80" w:type="dxa"/>
              <w:bottom w:w="80" w:type="dxa"/>
              <w:left w:w="120" w:type="dxa"/>
              <w:right w:w="120" w:type="dxa"/>
            </w:tcMar>
          </w:tcPr>
          <w:p>
            <w:r>
              <w:rPr>
                <w:sz w:val="18"/>
              </w:rPr>
              <w:t>235</w:t>
            </w:r>
          </w:p>
        </w:tc>
        <w:tc>
          <w:tcPr>
            <w:tcW w:type="dxa" w:w="2484"/>
            <w:shd w:fill="FFFFFF"/>
            <w:tcMar>
              <w:top w:w="80" w:type="dxa"/>
              <w:bottom w:w="80" w:type="dxa"/>
              <w:left w:w="120" w:type="dxa"/>
              <w:right w:w="120" w:type="dxa"/>
            </w:tcMar>
          </w:tcPr>
          <w:p>
            <w:r>
              <w:rPr>
                <w:sz w:val="18"/>
              </w:rPr>
              <w:t>1.48%</w:t>
            </w:r>
          </w:p>
        </w:tc>
      </w:tr>
      <w:tr>
        <w:tc>
          <w:tcPr>
            <w:tcW w:type="dxa" w:w="2484"/>
            <w:shd w:fill="F8FAFC"/>
            <w:tcMar>
              <w:top w:w="80" w:type="dxa"/>
              <w:bottom w:w="80" w:type="dxa"/>
              <w:left w:w="120" w:type="dxa"/>
              <w:right w:w="120" w:type="dxa"/>
            </w:tcMar>
          </w:tcPr>
          <w:p>
            <w:r>
              <w:rPr>
                <w:b/>
                <w:sz w:val="18"/>
              </w:rPr>
              <w:t>11</w:t>
            </w:r>
          </w:p>
        </w:tc>
        <w:tc>
          <w:tcPr>
            <w:tcW w:type="dxa" w:w="2484"/>
            <w:shd w:fill="F8FAFC"/>
            <w:tcMar>
              <w:top w:w="80" w:type="dxa"/>
              <w:bottom w:w="80" w:type="dxa"/>
              <w:left w:w="120" w:type="dxa"/>
              <w:right w:w="120" w:type="dxa"/>
            </w:tcMar>
          </w:tcPr>
          <w:p>
            <w:r>
              <w:rPr>
                <w:b/>
                <w:sz w:val="18"/>
              </w:rPr>
              <w:t>Machine Learning</w:t>
            </w:r>
          </w:p>
        </w:tc>
        <w:tc>
          <w:tcPr>
            <w:tcW w:type="dxa" w:w="2484"/>
            <w:shd w:fill="F8FAFC"/>
            <w:tcMar>
              <w:top w:w="80" w:type="dxa"/>
              <w:bottom w:w="80" w:type="dxa"/>
              <w:left w:w="120" w:type="dxa"/>
              <w:right w:w="120" w:type="dxa"/>
            </w:tcMar>
          </w:tcPr>
          <w:p>
            <w:r>
              <w:rPr>
                <w:sz w:val="18"/>
              </w:rPr>
              <w:t>227</w:t>
            </w:r>
          </w:p>
        </w:tc>
        <w:tc>
          <w:tcPr>
            <w:tcW w:type="dxa" w:w="2484"/>
            <w:shd w:fill="F8FAFC"/>
            <w:tcMar>
              <w:top w:w="80" w:type="dxa"/>
              <w:bottom w:w="80" w:type="dxa"/>
              <w:left w:w="120" w:type="dxa"/>
              <w:right w:w="120" w:type="dxa"/>
            </w:tcMar>
          </w:tcPr>
          <w:p>
            <w:r>
              <w:rPr>
                <w:sz w:val="18"/>
              </w:rPr>
              <w:t>1.43%</w:t>
            </w:r>
          </w:p>
        </w:tc>
      </w:tr>
      <w:tr>
        <w:tc>
          <w:tcPr>
            <w:tcW w:type="dxa" w:w="2484"/>
            <w:shd w:fill="FFFFFF"/>
            <w:tcMar>
              <w:top w:w="80" w:type="dxa"/>
              <w:bottom w:w="80" w:type="dxa"/>
              <w:left w:w="120" w:type="dxa"/>
              <w:right w:w="120" w:type="dxa"/>
            </w:tcMar>
          </w:tcPr>
          <w:p>
            <w:r>
              <w:rPr>
                <w:b/>
                <w:sz w:val="18"/>
              </w:rPr>
              <w:t>12</w:t>
            </w:r>
          </w:p>
        </w:tc>
        <w:tc>
          <w:tcPr>
            <w:tcW w:type="dxa" w:w="2484"/>
            <w:shd w:fill="FFFFFF"/>
            <w:tcMar>
              <w:top w:w="80" w:type="dxa"/>
              <w:bottom w:w="80" w:type="dxa"/>
              <w:left w:w="120" w:type="dxa"/>
              <w:right w:w="120" w:type="dxa"/>
            </w:tcMar>
          </w:tcPr>
          <w:p>
            <w:r>
              <w:rPr>
                <w:b/>
                <w:sz w:val="18"/>
              </w:rPr>
              <w:t>React</w:t>
            </w:r>
          </w:p>
        </w:tc>
        <w:tc>
          <w:tcPr>
            <w:tcW w:type="dxa" w:w="2484"/>
            <w:shd w:fill="FFFFFF"/>
            <w:tcMar>
              <w:top w:w="80" w:type="dxa"/>
              <w:bottom w:w="80" w:type="dxa"/>
              <w:left w:w="120" w:type="dxa"/>
              <w:right w:w="120" w:type="dxa"/>
            </w:tcMar>
          </w:tcPr>
          <w:p>
            <w:r>
              <w:rPr>
                <w:sz w:val="18"/>
              </w:rPr>
              <w:t>223</w:t>
            </w:r>
          </w:p>
        </w:tc>
        <w:tc>
          <w:tcPr>
            <w:tcW w:type="dxa" w:w="2484"/>
            <w:shd w:fill="FFFFFF"/>
            <w:tcMar>
              <w:top w:w="80" w:type="dxa"/>
              <w:bottom w:w="80" w:type="dxa"/>
              <w:left w:w="120" w:type="dxa"/>
              <w:right w:w="120" w:type="dxa"/>
            </w:tcMar>
          </w:tcPr>
          <w:p>
            <w:r>
              <w:rPr>
                <w:sz w:val="18"/>
              </w:rPr>
              <w:t>1.40%</w:t>
            </w:r>
          </w:p>
        </w:tc>
      </w:tr>
      <w:tr>
        <w:tc>
          <w:tcPr>
            <w:tcW w:type="dxa" w:w="2484"/>
            <w:shd w:fill="F8FAFC"/>
            <w:tcMar>
              <w:top w:w="80" w:type="dxa"/>
              <w:bottom w:w="80" w:type="dxa"/>
              <w:left w:w="120" w:type="dxa"/>
              <w:right w:w="120" w:type="dxa"/>
            </w:tcMar>
          </w:tcPr>
          <w:p>
            <w:r>
              <w:rPr>
                <w:b/>
                <w:sz w:val="18"/>
              </w:rPr>
              <w:t>13</w:t>
            </w:r>
          </w:p>
        </w:tc>
        <w:tc>
          <w:tcPr>
            <w:tcW w:type="dxa" w:w="2484"/>
            <w:shd w:fill="F8FAFC"/>
            <w:tcMar>
              <w:top w:w="80" w:type="dxa"/>
              <w:bottom w:w="80" w:type="dxa"/>
              <w:left w:w="120" w:type="dxa"/>
              <w:right w:w="120" w:type="dxa"/>
            </w:tcMar>
          </w:tcPr>
          <w:p>
            <w:r>
              <w:rPr>
                <w:b/>
                <w:sz w:val="18"/>
              </w:rPr>
              <w:t>Tableau</w:t>
            </w:r>
          </w:p>
        </w:tc>
        <w:tc>
          <w:tcPr>
            <w:tcW w:type="dxa" w:w="2484"/>
            <w:shd w:fill="F8FAFC"/>
            <w:tcMar>
              <w:top w:w="80" w:type="dxa"/>
              <w:bottom w:w="80" w:type="dxa"/>
              <w:left w:w="120" w:type="dxa"/>
              <w:right w:w="120" w:type="dxa"/>
            </w:tcMar>
          </w:tcPr>
          <w:p>
            <w:r>
              <w:rPr>
                <w:sz w:val="18"/>
              </w:rPr>
              <w:t>217</w:t>
            </w:r>
          </w:p>
        </w:tc>
        <w:tc>
          <w:tcPr>
            <w:tcW w:type="dxa" w:w="2484"/>
            <w:shd w:fill="F8FAFC"/>
            <w:tcMar>
              <w:top w:w="80" w:type="dxa"/>
              <w:bottom w:w="80" w:type="dxa"/>
              <w:left w:w="120" w:type="dxa"/>
              <w:right w:w="120" w:type="dxa"/>
            </w:tcMar>
          </w:tcPr>
          <w:p>
            <w:r>
              <w:rPr>
                <w:sz w:val="18"/>
              </w:rPr>
              <w:t>1.37%</w:t>
            </w:r>
          </w:p>
        </w:tc>
      </w:tr>
      <w:tr>
        <w:tc>
          <w:tcPr>
            <w:tcW w:type="dxa" w:w="2484"/>
            <w:shd w:fill="FFFFFF"/>
            <w:tcMar>
              <w:top w:w="80" w:type="dxa"/>
              <w:bottom w:w="80" w:type="dxa"/>
              <w:left w:w="120" w:type="dxa"/>
              <w:right w:w="120" w:type="dxa"/>
            </w:tcMar>
          </w:tcPr>
          <w:p>
            <w:r>
              <w:rPr>
                <w:b/>
                <w:sz w:val="18"/>
              </w:rPr>
              <w:t>14</w:t>
            </w:r>
          </w:p>
        </w:tc>
        <w:tc>
          <w:tcPr>
            <w:tcW w:type="dxa" w:w="2484"/>
            <w:shd w:fill="FFFFFF"/>
            <w:tcMar>
              <w:top w:w="80" w:type="dxa"/>
              <w:bottom w:w="80" w:type="dxa"/>
              <w:left w:w="120" w:type="dxa"/>
              <w:right w:w="120" w:type="dxa"/>
            </w:tcMar>
          </w:tcPr>
          <w:p>
            <w:r>
              <w:rPr>
                <w:b/>
                <w:sz w:val="18"/>
              </w:rPr>
              <w:t>CSS</w:t>
            </w:r>
          </w:p>
        </w:tc>
        <w:tc>
          <w:tcPr>
            <w:tcW w:type="dxa" w:w="2484"/>
            <w:shd w:fill="FFFFFF"/>
            <w:tcMar>
              <w:top w:w="80" w:type="dxa"/>
              <w:bottom w:w="80" w:type="dxa"/>
              <w:left w:w="120" w:type="dxa"/>
              <w:right w:w="120" w:type="dxa"/>
            </w:tcMar>
          </w:tcPr>
          <w:p>
            <w:r>
              <w:rPr>
                <w:sz w:val="18"/>
              </w:rPr>
              <w:t>198</w:t>
            </w:r>
          </w:p>
        </w:tc>
        <w:tc>
          <w:tcPr>
            <w:tcW w:type="dxa" w:w="2484"/>
            <w:shd w:fill="FFFFFF"/>
            <w:tcMar>
              <w:top w:w="80" w:type="dxa"/>
              <w:bottom w:w="80" w:type="dxa"/>
              <w:left w:w="120" w:type="dxa"/>
              <w:right w:w="120" w:type="dxa"/>
            </w:tcMar>
          </w:tcPr>
          <w:p>
            <w:r>
              <w:rPr>
                <w:sz w:val="18"/>
              </w:rPr>
              <w:t>1.25%</w:t>
            </w:r>
          </w:p>
        </w:tc>
      </w:tr>
      <w:tr>
        <w:tc>
          <w:tcPr>
            <w:tcW w:type="dxa" w:w="2484"/>
            <w:shd w:fill="F8FAFC"/>
            <w:tcMar>
              <w:top w:w="80" w:type="dxa"/>
              <w:bottom w:w="80" w:type="dxa"/>
              <w:left w:w="120" w:type="dxa"/>
              <w:right w:w="120" w:type="dxa"/>
            </w:tcMar>
          </w:tcPr>
          <w:p>
            <w:r>
              <w:rPr>
                <w:b/>
                <w:sz w:val="18"/>
              </w:rPr>
              <w:t>15</w:t>
            </w:r>
          </w:p>
        </w:tc>
        <w:tc>
          <w:tcPr>
            <w:tcW w:type="dxa" w:w="2484"/>
            <w:shd w:fill="F8FAFC"/>
            <w:tcMar>
              <w:top w:w="80" w:type="dxa"/>
              <w:bottom w:w="80" w:type="dxa"/>
              <w:left w:w="120" w:type="dxa"/>
              <w:right w:w="120" w:type="dxa"/>
            </w:tcMar>
          </w:tcPr>
          <w:p>
            <w:r>
              <w:rPr>
                <w:b/>
                <w:sz w:val="18"/>
              </w:rPr>
              <w:t>Artificial Intelligence</w:t>
            </w:r>
          </w:p>
        </w:tc>
        <w:tc>
          <w:tcPr>
            <w:tcW w:type="dxa" w:w="2484"/>
            <w:shd w:fill="F8FAFC"/>
            <w:tcMar>
              <w:top w:w="80" w:type="dxa"/>
              <w:bottom w:w="80" w:type="dxa"/>
              <w:left w:w="120" w:type="dxa"/>
              <w:right w:w="120" w:type="dxa"/>
            </w:tcMar>
          </w:tcPr>
          <w:p>
            <w:r>
              <w:rPr>
                <w:sz w:val="18"/>
              </w:rPr>
              <w:t>191</w:t>
            </w:r>
          </w:p>
        </w:tc>
        <w:tc>
          <w:tcPr>
            <w:tcW w:type="dxa" w:w="2484"/>
            <w:shd w:fill="F8FAFC"/>
            <w:tcMar>
              <w:top w:w="80" w:type="dxa"/>
              <w:bottom w:w="80" w:type="dxa"/>
              <w:left w:w="120" w:type="dxa"/>
              <w:right w:w="120" w:type="dxa"/>
            </w:tcMar>
          </w:tcPr>
          <w:p>
            <w:r>
              <w:rPr>
                <w:sz w:val="18"/>
              </w:rPr>
              <w:t>1.20%</w:t>
            </w:r>
          </w:p>
        </w:tc>
      </w:tr>
    </w:tbl>
    <w:p>
      <w:pPr>
        <w:keepNext/>
        <w:spacing w:before="280" w:after="80"/>
      </w:pPr>
      <w:r>
        <w:rPr>
          <w:b/>
          <w:color w:val="2563EB"/>
          <w:sz w:val="26"/>
        </w:rPr>
        <w:t xml:space="preserve">9. </w:t>
      </w:r>
      <w:r>
        <w:rPr>
          <w:b/>
          <w:color w:val="0F172A"/>
          <w:sz w:val="26"/>
        </w:rPr>
        <w:t>Job Market Analysis</w:t>
      </w:r>
    </w:p>
    <w:p>
      <w:r>
        <w:t>Exploratory analysis demonstrates high role diversity (10,903 unique titles). Leading geographic employment hubs include nationwide postings (1,133), New York (398), Chicago (267), Houston (243), Atlanta (207), Los Angeles (188), Dallas (182), and Austin (168). Seniority distribution shows 32.00% Mid-Senior roles, 23.25% Entry-Level roles, and 5.16% Director/Executive positions. Employment is overwhelmingly Full-time (80.85%), with Remote work explicitly designated in 14.73% of vacancies.</w:t>
      </w:r>
    </w:p>
    <w:p>
      <w:pPr>
        <w:keepNext/>
        <w:spacing w:before="280" w:after="80"/>
      </w:pPr>
      <w:r>
        <w:rPr>
          <w:b/>
          <w:color w:val="2563EB"/>
          <w:sz w:val="26"/>
        </w:rPr>
        <w:t xml:space="preserve">10. </w:t>
      </w:r>
      <w:r>
        <w:rPr>
          <w:b/>
          <w:color w:val="0F172A"/>
          <w:sz w:val="26"/>
        </w:rPr>
        <w:t>Salary Analysis</w:t>
      </w:r>
    </w:p>
    <w:p>
      <w:r>
        <w:t>Salary statistics were evaluated strictly from the 6,502 postings with transparent compensation figures. The overall mean salary is $70,187.78 with a median of $65,000.00 and standard deviation of $77,638.98. Compensation scales directly with experience: Directors average $172,759.95, Executives average $177,259.68, Mid-Senior professionals average $87,463.59, and Entry-Level workers average $32,322.68. Full-time roles command an average of $82,152.18.</w:t>
      </w:r>
    </w:p>
    <w:p>
      <w:pPr>
        <w:keepNext/>
        <w:spacing w:before="280" w:after="80"/>
      </w:pPr>
      <w:r>
        <w:rPr>
          <w:b/>
          <w:color w:val="2563EB"/>
          <w:sz w:val="26"/>
        </w:rPr>
        <w:t xml:space="preserve">11. </w:t>
      </w:r>
      <w:r>
        <w:rPr>
          <w:b/>
          <w:color w:val="0F172A"/>
          <w:sz w:val="26"/>
        </w:rPr>
        <w:t>Machine Learning</w:t>
      </w:r>
    </w:p>
    <w:p>
      <w:r>
        <w:t>SkillSight trains a supervised Random Forest regression pipeline to estimate annual salary. To avoid scale distortion from hourly wages (&lt; $1,000) or extreme executive caps (&gt; $500,000), 3,906 validated annual compensation listings were isolated (80% train / 20% test).</w:t>
      </w:r>
    </w:p>
    <w:tbl>
      <w:tblPr>
        <w:tblW w:type="auto" w:w="0"/>
        <w:jc w:val="center"/>
        <w:tblLook w:firstColumn="1" w:firstRow="1" w:lastColumn="0" w:lastRow="0" w:noHBand="0" w:noVBand="1" w:val="04A0"/>
        <w:tblBorders>
          <w:top w:val="single" w:sz="4" w:space="0" w:color="CBD5E1"/>
          <w:bottom w:val="single" w:sz="6" w:space="0" w:color="0F172A"/>
          <w:insideH w:val="single" w:sz="4" w:space="0" w:color="E2E8F0"/>
          <w:insideV w:val="none"/>
          <w:left w:val="none"/>
          <w:right w:val="none"/>
        </w:tblBorders>
      </w:tblPr>
      <w:tblGrid>
        <w:gridCol w:w="3312"/>
        <w:gridCol w:w="3312"/>
        <w:gridCol w:w="3312"/>
      </w:tblGrid>
      <w:tr>
        <w:tc>
          <w:tcPr>
            <w:tcW w:type="dxa" w:w="3312"/>
            <w:shd w:fill="0F172A"/>
            <w:tcMar>
              <w:top w:w="120" w:type="dxa"/>
              <w:bottom w:w="120" w:type="dxa"/>
              <w:left w:w="140" w:type="dxa"/>
              <w:right w:w="140" w:type="dxa"/>
            </w:tcMar>
          </w:tcPr>
          <w:p>
            <w:r>
              <w:rPr>
                <w:b/>
                <w:color w:val="FFFFFF"/>
                <w:sz w:val="19"/>
              </w:rPr>
              <w:t>Model Evaluation Metric</w:t>
            </w:r>
          </w:p>
        </w:tc>
        <w:tc>
          <w:tcPr>
            <w:tcW w:type="dxa" w:w="3312"/>
            <w:shd w:fill="0F172A"/>
            <w:tcMar>
              <w:top w:w="120" w:type="dxa"/>
              <w:bottom w:w="120" w:type="dxa"/>
              <w:left w:w="140" w:type="dxa"/>
              <w:right w:w="140" w:type="dxa"/>
            </w:tcMar>
          </w:tcPr>
          <w:p>
            <w:r>
              <w:rPr>
                <w:b/>
                <w:color w:val="FFFFFF"/>
                <w:sz w:val="19"/>
              </w:rPr>
              <w:t>Verified Value</w:t>
            </w:r>
          </w:p>
        </w:tc>
        <w:tc>
          <w:tcPr>
            <w:tcW w:type="dxa" w:w="3312"/>
            <w:shd w:fill="0F172A"/>
            <w:tcMar>
              <w:top w:w="120" w:type="dxa"/>
              <w:bottom w:w="120" w:type="dxa"/>
              <w:left w:w="140" w:type="dxa"/>
              <w:right w:w="140" w:type="dxa"/>
            </w:tcMar>
          </w:tcPr>
          <w:p>
            <w:r>
              <w:rPr>
                <w:b/>
                <w:color w:val="FFFFFF"/>
                <w:sz w:val="19"/>
              </w:rPr>
              <w:t>Pipeline Architecture</w:t>
            </w:r>
          </w:p>
        </w:tc>
      </w:tr>
      <w:tr>
        <w:tc>
          <w:tcPr>
            <w:tcW w:type="dxa" w:w="3312"/>
            <w:shd w:fill="F8FAFC"/>
            <w:tcMar>
              <w:top w:w="80" w:type="dxa"/>
              <w:bottom w:w="80" w:type="dxa"/>
              <w:left w:w="120" w:type="dxa"/>
              <w:right w:w="120" w:type="dxa"/>
            </w:tcMar>
          </w:tcPr>
          <w:p>
            <w:r>
              <w:rPr>
                <w:b/>
                <w:sz w:val="18"/>
              </w:rPr>
              <w:t>Algorithm</w:t>
            </w:r>
          </w:p>
        </w:tc>
        <w:tc>
          <w:tcPr>
            <w:tcW w:type="dxa" w:w="3312"/>
            <w:shd w:fill="F8FAFC"/>
            <w:tcMar>
              <w:top w:w="80" w:type="dxa"/>
              <w:bottom w:w="80" w:type="dxa"/>
              <w:left w:w="120" w:type="dxa"/>
              <w:right w:w="120" w:type="dxa"/>
            </w:tcMar>
          </w:tcPr>
          <w:p>
            <w:r>
              <w:rPr>
                <w:b/>
                <w:sz w:val="18"/>
              </w:rPr>
              <w:t>RandomForestRegressor</w:t>
            </w:r>
          </w:p>
        </w:tc>
        <w:tc>
          <w:tcPr>
            <w:tcW w:type="dxa" w:w="3312"/>
            <w:shd w:fill="F8FAFC"/>
            <w:tcMar>
              <w:top w:w="80" w:type="dxa"/>
              <w:bottom w:w="80" w:type="dxa"/>
              <w:left w:w="120" w:type="dxa"/>
              <w:right w:w="120" w:type="dxa"/>
            </w:tcMar>
          </w:tcPr>
          <w:p>
            <w:r>
              <w:rPr>
                <w:sz w:val="18"/>
              </w:rPr>
              <w:t>100 estimators, max_depth=12, random_state=42.</w:t>
            </w:r>
          </w:p>
        </w:tc>
      </w:tr>
      <w:tr>
        <w:tc>
          <w:tcPr>
            <w:tcW w:type="dxa" w:w="3312"/>
            <w:shd w:fill="FFFFFF"/>
            <w:tcMar>
              <w:top w:w="80" w:type="dxa"/>
              <w:bottom w:w="80" w:type="dxa"/>
              <w:left w:w="120" w:type="dxa"/>
              <w:right w:w="120" w:type="dxa"/>
            </w:tcMar>
          </w:tcPr>
          <w:p>
            <w:r>
              <w:rPr>
                <w:b/>
                <w:sz w:val="18"/>
              </w:rPr>
              <w:t>Training Dataset</w:t>
            </w:r>
          </w:p>
        </w:tc>
        <w:tc>
          <w:tcPr>
            <w:tcW w:type="dxa" w:w="3312"/>
            <w:shd w:fill="FFFFFF"/>
            <w:tcMar>
              <w:top w:w="80" w:type="dxa"/>
              <w:bottom w:w="80" w:type="dxa"/>
              <w:left w:w="120" w:type="dxa"/>
              <w:right w:w="120" w:type="dxa"/>
            </w:tcMar>
          </w:tcPr>
          <w:p>
            <w:r>
              <w:rPr>
                <w:b/>
                <w:sz w:val="18"/>
              </w:rPr>
              <w:t>3,124 samples</w:t>
            </w:r>
          </w:p>
        </w:tc>
        <w:tc>
          <w:tcPr>
            <w:tcW w:type="dxa" w:w="3312"/>
            <w:shd w:fill="FFFFFF"/>
            <w:tcMar>
              <w:top w:w="80" w:type="dxa"/>
              <w:bottom w:w="80" w:type="dxa"/>
              <w:left w:w="120" w:type="dxa"/>
              <w:right w:w="120" w:type="dxa"/>
            </w:tcMar>
          </w:tcPr>
          <w:p>
            <w:r>
              <w:rPr>
                <w:sz w:val="18"/>
              </w:rPr>
              <w:t>80% stratified random training split.</w:t>
            </w:r>
          </w:p>
        </w:tc>
      </w:tr>
      <w:tr>
        <w:tc>
          <w:tcPr>
            <w:tcW w:type="dxa" w:w="3312"/>
            <w:shd w:fill="F8FAFC"/>
            <w:tcMar>
              <w:top w:w="80" w:type="dxa"/>
              <w:bottom w:w="80" w:type="dxa"/>
              <w:left w:w="120" w:type="dxa"/>
              <w:right w:w="120" w:type="dxa"/>
            </w:tcMar>
          </w:tcPr>
          <w:p>
            <w:r>
              <w:rPr>
                <w:b/>
                <w:sz w:val="18"/>
              </w:rPr>
              <w:t>Testing Dataset</w:t>
            </w:r>
          </w:p>
        </w:tc>
        <w:tc>
          <w:tcPr>
            <w:tcW w:type="dxa" w:w="3312"/>
            <w:shd w:fill="F8FAFC"/>
            <w:tcMar>
              <w:top w:w="80" w:type="dxa"/>
              <w:bottom w:w="80" w:type="dxa"/>
              <w:left w:w="120" w:type="dxa"/>
              <w:right w:w="120" w:type="dxa"/>
            </w:tcMar>
          </w:tcPr>
          <w:p>
            <w:r>
              <w:rPr>
                <w:b/>
                <w:sz w:val="18"/>
              </w:rPr>
              <w:t>782 samples</w:t>
            </w:r>
          </w:p>
        </w:tc>
        <w:tc>
          <w:tcPr>
            <w:tcW w:type="dxa" w:w="3312"/>
            <w:shd w:fill="F8FAFC"/>
            <w:tcMar>
              <w:top w:w="80" w:type="dxa"/>
              <w:bottom w:w="80" w:type="dxa"/>
              <w:left w:w="120" w:type="dxa"/>
              <w:right w:w="120" w:type="dxa"/>
            </w:tcMar>
          </w:tcPr>
          <w:p>
            <w:r>
              <w:rPr>
                <w:sz w:val="18"/>
              </w:rPr>
              <w:t>20% held-out unseen evaluation test set.</w:t>
            </w:r>
          </w:p>
        </w:tc>
      </w:tr>
      <w:tr>
        <w:tc>
          <w:tcPr>
            <w:tcW w:type="dxa" w:w="3312"/>
            <w:shd w:fill="FFFFFF"/>
            <w:tcMar>
              <w:top w:w="80" w:type="dxa"/>
              <w:bottom w:w="80" w:type="dxa"/>
              <w:left w:w="120" w:type="dxa"/>
              <w:right w:w="120" w:type="dxa"/>
            </w:tcMar>
          </w:tcPr>
          <w:p>
            <w:r>
              <w:rPr>
                <w:b/>
                <w:sz w:val="18"/>
              </w:rPr>
              <w:t>Mean Absolute Error (MAE)</w:t>
            </w:r>
          </w:p>
        </w:tc>
        <w:tc>
          <w:tcPr>
            <w:tcW w:type="dxa" w:w="3312"/>
            <w:shd w:fill="FFFFFF"/>
            <w:tcMar>
              <w:top w:w="80" w:type="dxa"/>
              <w:bottom w:w="80" w:type="dxa"/>
              <w:left w:w="120" w:type="dxa"/>
              <w:right w:w="120" w:type="dxa"/>
            </w:tcMar>
          </w:tcPr>
          <w:p>
            <w:r>
              <w:rPr>
                <w:b/>
                <w:sz w:val="18"/>
              </w:rPr>
              <w:t>$35,525.24</w:t>
            </w:r>
          </w:p>
        </w:tc>
        <w:tc>
          <w:tcPr>
            <w:tcW w:type="dxa" w:w="3312"/>
            <w:shd w:fill="FFFFFF"/>
            <w:tcMar>
              <w:top w:w="80" w:type="dxa"/>
              <w:bottom w:w="80" w:type="dxa"/>
              <w:left w:w="120" w:type="dxa"/>
              <w:right w:w="120" w:type="dxa"/>
            </w:tcMar>
          </w:tcPr>
          <w:p>
            <w:r>
              <w:rPr>
                <w:sz w:val="18"/>
              </w:rPr>
              <w:t>Average absolute dollar prediction error on test set.</w:t>
            </w:r>
          </w:p>
        </w:tc>
      </w:tr>
      <w:tr>
        <w:tc>
          <w:tcPr>
            <w:tcW w:type="dxa" w:w="3312"/>
            <w:shd w:fill="F8FAFC"/>
            <w:tcMar>
              <w:top w:w="80" w:type="dxa"/>
              <w:bottom w:w="80" w:type="dxa"/>
              <w:left w:w="120" w:type="dxa"/>
              <w:right w:w="120" w:type="dxa"/>
            </w:tcMar>
          </w:tcPr>
          <w:p>
            <w:r>
              <w:rPr>
                <w:b/>
                <w:sz w:val="18"/>
              </w:rPr>
              <w:t>Root Mean Squared Error (RMSE)</w:t>
            </w:r>
          </w:p>
        </w:tc>
        <w:tc>
          <w:tcPr>
            <w:tcW w:type="dxa" w:w="3312"/>
            <w:shd w:fill="F8FAFC"/>
            <w:tcMar>
              <w:top w:w="80" w:type="dxa"/>
              <w:bottom w:w="80" w:type="dxa"/>
              <w:left w:w="120" w:type="dxa"/>
              <w:right w:w="120" w:type="dxa"/>
            </w:tcMar>
          </w:tcPr>
          <w:p>
            <w:r>
              <w:rPr>
                <w:b/>
                <w:sz w:val="18"/>
              </w:rPr>
              <w:t>$49,624.87</w:t>
            </w:r>
          </w:p>
        </w:tc>
        <w:tc>
          <w:tcPr>
            <w:tcW w:type="dxa" w:w="3312"/>
            <w:shd w:fill="F8FAFC"/>
            <w:tcMar>
              <w:top w:w="80" w:type="dxa"/>
              <w:bottom w:w="80" w:type="dxa"/>
              <w:left w:w="120" w:type="dxa"/>
              <w:right w:w="120" w:type="dxa"/>
            </w:tcMar>
          </w:tcPr>
          <w:p>
            <w:r>
              <w:rPr>
                <w:sz w:val="18"/>
              </w:rPr>
              <w:t>Penalizes large error variance.</w:t>
            </w:r>
          </w:p>
        </w:tc>
      </w:tr>
      <w:tr>
        <w:tc>
          <w:tcPr>
            <w:tcW w:type="dxa" w:w="3312"/>
            <w:shd w:fill="FFFFFF"/>
            <w:tcMar>
              <w:top w:w="80" w:type="dxa"/>
              <w:bottom w:w="80" w:type="dxa"/>
              <w:left w:w="120" w:type="dxa"/>
              <w:right w:w="120" w:type="dxa"/>
            </w:tcMar>
          </w:tcPr>
          <w:p>
            <w:r>
              <w:rPr>
                <w:b/>
                <w:sz w:val="18"/>
              </w:rPr>
              <w:t>R² Score</w:t>
            </w:r>
          </w:p>
        </w:tc>
        <w:tc>
          <w:tcPr>
            <w:tcW w:type="dxa" w:w="3312"/>
            <w:shd w:fill="FFFFFF"/>
            <w:tcMar>
              <w:top w:w="80" w:type="dxa"/>
              <w:bottom w:w="80" w:type="dxa"/>
              <w:left w:w="120" w:type="dxa"/>
              <w:right w:w="120" w:type="dxa"/>
            </w:tcMar>
          </w:tcPr>
          <w:p>
            <w:r>
              <w:rPr>
                <w:b/>
                <w:sz w:val="18"/>
              </w:rPr>
              <w:t>0.2699</w:t>
            </w:r>
          </w:p>
        </w:tc>
        <w:tc>
          <w:tcPr>
            <w:tcW w:type="dxa" w:w="3312"/>
            <w:shd w:fill="FFFFFF"/>
            <w:tcMar>
              <w:top w:w="80" w:type="dxa"/>
              <w:bottom w:w="80" w:type="dxa"/>
              <w:left w:w="120" w:type="dxa"/>
              <w:right w:w="120" w:type="dxa"/>
            </w:tcMar>
          </w:tcPr>
          <w:p>
            <w:r>
              <w:rPr>
                <w:sz w:val="18"/>
              </w:rPr>
              <w:t>Explains 27.0% of market compensation variance from role attributes.</w:t>
            </w:r>
          </w:p>
        </w:tc>
      </w:tr>
      <w:tr>
        <w:tc>
          <w:tcPr>
            <w:tcW w:type="dxa" w:w="3312"/>
            <w:shd w:fill="F8FAFC"/>
            <w:tcMar>
              <w:top w:w="80" w:type="dxa"/>
              <w:bottom w:w="80" w:type="dxa"/>
              <w:left w:w="120" w:type="dxa"/>
              <w:right w:w="120" w:type="dxa"/>
            </w:tcMar>
          </w:tcPr>
          <w:p>
            <w:r>
              <w:rPr>
                <w:b/>
                <w:sz w:val="18"/>
              </w:rPr>
              <w:t>Serialized Artifact</w:t>
            </w:r>
          </w:p>
        </w:tc>
        <w:tc>
          <w:tcPr>
            <w:tcW w:type="dxa" w:w="3312"/>
            <w:shd w:fill="F8FAFC"/>
            <w:tcMar>
              <w:top w:w="80" w:type="dxa"/>
              <w:bottom w:w="80" w:type="dxa"/>
              <w:left w:w="120" w:type="dxa"/>
              <w:right w:w="120" w:type="dxa"/>
            </w:tcMar>
          </w:tcPr>
          <w:p>
            <w:r>
              <w:rPr>
                <w:b/>
                <w:sz w:val="18"/>
              </w:rPr>
              <w:t>outputs/results/salary_model.pkl</w:t>
            </w:r>
          </w:p>
        </w:tc>
        <w:tc>
          <w:tcPr>
            <w:tcW w:type="dxa" w:w="3312"/>
            <w:shd w:fill="F8FAFC"/>
            <w:tcMar>
              <w:top w:w="80" w:type="dxa"/>
              <w:bottom w:w="80" w:type="dxa"/>
              <w:left w:w="120" w:type="dxa"/>
              <w:right w:w="120" w:type="dxa"/>
            </w:tcMar>
          </w:tcPr>
          <w:p>
            <w:r>
              <w:rPr>
                <w:sz w:val="18"/>
              </w:rPr>
              <w:t>Loaded dynamically by live Streamlit dashboard.</w:t>
            </w:r>
          </w:p>
        </w:tc>
      </w:tr>
    </w:tbl>
    <w:p>
      <w:pPr>
        <w:keepNext/>
        <w:spacing w:before="280" w:after="80"/>
      </w:pPr>
      <w:r>
        <w:rPr>
          <w:b/>
          <w:color w:val="2563EB"/>
          <w:sz w:val="26"/>
        </w:rPr>
        <w:t xml:space="preserve">12. </w:t>
      </w:r>
      <w:r>
        <w:rPr>
          <w:b/>
          <w:color w:val="0F172A"/>
          <w:sz w:val="26"/>
        </w:rPr>
        <w:t>Dashboard</w:t>
      </w:r>
    </w:p>
    <w:p>
      <w:r>
        <w:t>The redesigned Streamlit application (dashboard/app.py) provides an authenticated, 12-page responsive interface: Home, My Profile, Skill Analysis, Skill Gap, Job Market, Emerging Technologies, Career Roles, Salary Insights, Career Roadmap, Recommended Projects, Progress Tracker, and About. It supports both individual user registration and a One-Click Academic Demo session. All 12 pages have been validated using Streamlit's official AppTest framework with zero runtime errors.</w:t>
      </w:r>
    </w:p>
    <w:p>
      <w:pPr>
        <w:keepNext/>
        <w:spacing w:before="280" w:after="80"/>
      </w:pPr>
      <w:r>
        <w:rPr>
          <w:b/>
          <w:color w:val="2563EB"/>
          <w:sz w:val="26"/>
        </w:rPr>
        <w:t xml:space="preserve">13. </w:t>
      </w:r>
      <w:r>
        <w:rPr>
          <w:b/>
          <w:color w:val="0F172A"/>
          <w:sz w:val="26"/>
        </w:rPr>
        <w:t>Actual Results</w:t>
      </w:r>
    </w:p>
    <w:p>
      <w:r>
        <w:t>A comprehensive audit confirms the following verified results across the platform:</w:t>
      </w:r>
    </w:p>
    <w:p>
      <w:pPr>
        <w:pStyle w:val="ListBullet"/>
      </w:pPr>
      <w:r>
        <w:t>Database Architecture: Fully implemented SQLite schema (data/skillsight.db) with 5 relational tables.</w:t>
      </w:r>
    </w:p>
    <w:p>
      <w:pPr>
        <w:pStyle w:val="ListBullet"/>
      </w:pPr>
      <w:r>
        <w:t>Candidate Profiling: Active demo profile (Alex Morgan, Data Scientist) pre-seeded with 7 skills and 10 tracked milestones.</w:t>
      </w:r>
    </w:p>
    <w:p>
      <w:pPr>
        <w:pStyle w:val="ListBullet"/>
      </w:pPr>
      <w:r>
        <w:t>Skill Gap &amp; Readiness: Data Scientist benchmark evaluated with 33.3% initial coverage and 61/100 readiness score.</w:t>
      </w:r>
    </w:p>
    <w:p>
      <w:pPr>
        <w:pStyle w:val="ListBullet"/>
      </w:pPr>
      <w:r>
        <w:t>Personalized Roadmap: 5-Phase structured curriculum generated with priority badges and phase duration estimates.</w:t>
      </w:r>
    </w:p>
    <w:p>
      <w:pPr>
        <w:pStyle w:val="ListBullet"/>
      </w:pPr>
      <w:r>
        <w:t>Progress Tracker: Interactive status dropdowns actively updating learning_progress in SQLite.</w:t>
      </w:r>
    </w:p>
    <w:p>
      <w:pPr>
        <w:pStyle w:val="ListBullet"/>
      </w:pPr>
      <w:r>
        <w:t>Reproducibility: 26-cell Jupyter notebook (notebooks/job_market_analysis.ipynb) executed with 0 error cells.</w:t>
      </w:r>
    </w:p>
    <w:p>
      <w:pPr>
        <w:keepNext/>
        <w:spacing w:before="280" w:after="80"/>
      </w:pPr>
      <w:r>
        <w:rPr>
          <w:b/>
          <w:color w:val="2563EB"/>
          <w:sz w:val="26"/>
        </w:rPr>
        <w:t xml:space="preserve">14. </w:t>
      </w:r>
      <w:r>
        <w:rPr>
          <w:b/>
          <w:color w:val="0F172A"/>
          <w:sz w:val="26"/>
        </w:rPr>
        <w:t>Limitations</w:t>
      </w:r>
    </w:p>
    <w:p>
      <w:r>
        <w:t>1. Cross-Sectional Data Snapshot: Dataset represents a single 2023 collection window without longitudinal time-series tracking.</w:t>
        <w:br/>
        <w:t>2. Salary Reporting Sparsity: 59.07% of listings omit salary figures, meaning ML predictions reflect employers with transparent pay policies.</w:t>
        <w:br/>
        <w:t>3. Analytical Estimate: The Career Readiness Score is an analytical benchmark, not an absolute guarantee of job placement.</w:t>
      </w:r>
    </w:p>
    <w:p>
      <w:pPr>
        <w:keepNext/>
        <w:spacing w:before="280" w:after="80"/>
      </w:pPr>
      <w:r>
        <w:rPr>
          <w:b/>
          <w:color w:val="2563EB"/>
          <w:sz w:val="26"/>
        </w:rPr>
        <w:t xml:space="preserve">15. </w:t>
      </w:r>
      <w:r>
        <w:rPr>
          <w:b/>
          <w:color w:val="0F172A"/>
          <w:sz w:val="26"/>
        </w:rPr>
        <w:t>Future Enhancements</w:t>
      </w:r>
    </w:p>
    <w:p>
      <w:r>
        <w:t>1. Automated PDF Resume Parser: Allow candidates to upload resumes and automatically extract existing skills and proficiencies.</w:t>
        <w:br/>
        <w:t>2. Longitudinal Job Telemetry: Ingest streaming job listings to track quarter-over-quarter skill demand fluctuations.</w:t>
        <w:br/>
        <w:t>3. Interactive Coding Practice Integrations: Link roadmap milestones to hands-on LeetCode/Kaggle practice assessments.</w:t>
      </w:r>
    </w:p>
    <w:p>
      <w:pPr>
        <w:keepNext/>
        <w:spacing w:before="280" w:after="80"/>
      </w:pPr>
      <w:r>
        <w:rPr>
          <w:b/>
          <w:color w:val="2563EB"/>
          <w:sz w:val="26"/>
        </w:rPr>
        <w:t xml:space="preserve">16. </w:t>
      </w:r>
      <w:r>
        <w:rPr>
          <w:b/>
          <w:color w:val="0F172A"/>
          <w:sz w:val="26"/>
        </w:rPr>
        <w:t>Conclusion</w:t>
      </w:r>
    </w:p>
    <w:p>
      <w:r>
        <w:t>SkillSight V2 transforms descriptive data science into an empowering, personalized career intelligence system. By grounding personal academic profiles against 15,886 real-world LinkedIn postings, SkillSight eliminates career ambiguity, pinpoints actionable skill gaps, highlights market-relevant technologies, and provides students with a transparent, explainable development roadmap. All 28 modules have been implemented, tested, and verified without fabricating results.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